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A1B21">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附件</w:t>
      </w:r>
      <w:bookmarkStart w:id="0" w:name="_GoBack"/>
      <w:bookmarkEnd w:id="0"/>
    </w:p>
    <w:p w14:paraId="7E1F4A4F">
      <w:pPr>
        <w:keepNext w:val="0"/>
        <w:keepLines w:val="0"/>
        <w:pageBreakBefore w:val="0"/>
        <w:widowControl w:val="0"/>
        <w:kinsoku/>
        <w:wordWrap/>
        <w:overflowPunct/>
        <w:topLinePunct w:val="0"/>
        <w:autoSpaceDE/>
        <w:autoSpaceDN/>
        <w:bidi w:val="0"/>
        <w:adjustRightInd/>
        <w:snapToGrid/>
        <w:ind w:firstLine="4800" w:firstLineChars="1500"/>
        <w:textAlignment w:val="auto"/>
        <w:rPr>
          <w:rFonts w:hint="eastAsia" w:ascii="仿宋" w:hAnsi="仿宋" w:eastAsia="仿宋" w:cs="仿宋"/>
          <w:i w:val="0"/>
          <w:iCs w:val="0"/>
          <w:caps w:val="0"/>
          <w:color w:val="000000"/>
          <w:spacing w:val="0"/>
          <w:sz w:val="32"/>
          <w:szCs w:val="32"/>
          <w:lang w:eastAsia="zh-CN"/>
        </w:rPr>
      </w:pPr>
    </w:p>
    <w:tbl>
      <w:tblPr>
        <w:tblStyle w:val="3"/>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050"/>
        <w:gridCol w:w="6313"/>
      </w:tblGrid>
      <w:tr w14:paraId="1DC2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696" w:type="dxa"/>
            <w:noWrap w:val="0"/>
            <w:vAlign w:val="center"/>
          </w:tcPr>
          <w:p w14:paraId="24FE68D3">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评审因素</w:t>
            </w:r>
          </w:p>
        </w:tc>
        <w:tc>
          <w:tcPr>
            <w:tcW w:w="1050" w:type="dxa"/>
            <w:noWrap w:val="0"/>
            <w:vAlign w:val="center"/>
          </w:tcPr>
          <w:p w14:paraId="439380F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分值</w:t>
            </w:r>
          </w:p>
        </w:tc>
        <w:tc>
          <w:tcPr>
            <w:tcW w:w="6313" w:type="dxa"/>
            <w:noWrap w:val="0"/>
            <w:vAlign w:val="center"/>
          </w:tcPr>
          <w:p w14:paraId="0E6E7EE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评分标准</w:t>
            </w:r>
          </w:p>
        </w:tc>
      </w:tr>
      <w:tr w14:paraId="4875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noWrap w:val="0"/>
            <w:vAlign w:val="center"/>
          </w:tcPr>
          <w:p w14:paraId="650ED3E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0CA2DA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5C97AF1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135F7B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2D5493B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942B255">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22EF85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248C5943">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8D2CE8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E1E7079">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438D99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D36C23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818453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39AB78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287677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10F1058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设计方案</w:t>
            </w:r>
          </w:p>
          <w:p w14:paraId="3EDCB75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F5F278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18ED4D1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27F4518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6609F9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DD7C81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F9D2A5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1B6714D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2ADD853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01A3E0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9F8AD6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26EF35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229329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A1A2E5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A31052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1CC4F1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8F9CA2F">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 w:hAnsi="仿宋" w:eastAsia="仿宋" w:cs="仿宋"/>
                <w:color w:val="000000"/>
                <w:kern w:val="0"/>
                <w:sz w:val="21"/>
                <w:szCs w:val="21"/>
                <w:highlight w:val="none"/>
                <w:lang w:val="en-US" w:eastAsia="zh-CN" w:bidi="ar-SA"/>
              </w:rPr>
            </w:pPr>
          </w:p>
          <w:p w14:paraId="16846D4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A98098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color w:val="000000"/>
                <w:kern w:val="0"/>
                <w:sz w:val="21"/>
                <w:szCs w:val="21"/>
                <w:highlight w:val="none"/>
                <w:lang w:val="en-US" w:eastAsia="zh-CN" w:bidi="ar-SA"/>
              </w:rPr>
              <w:t>设计方案</w:t>
            </w:r>
          </w:p>
        </w:tc>
        <w:tc>
          <w:tcPr>
            <w:tcW w:w="1050" w:type="dxa"/>
            <w:noWrap w:val="0"/>
            <w:vAlign w:val="center"/>
          </w:tcPr>
          <w:p w14:paraId="12A9B07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40</w:t>
            </w:r>
            <w:r>
              <w:rPr>
                <w:rFonts w:hint="eastAsia" w:ascii="仿宋" w:hAnsi="仿宋" w:eastAsia="仿宋" w:cs="仿宋"/>
                <w:sz w:val="21"/>
                <w:szCs w:val="21"/>
              </w:rPr>
              <w:t>分</w:t>
            </w:r>
          </w:p>
        </w:tc>
        <w:tc>
          <w:tcPr>
            <w:tcW w:w="6313" w:type="dxa"/>
            <w:noWrap w:val="0"/>
            <w:vAlign w:val="center"/>
          </w:tcPr>
          <w:p w14:paraId="300FDFC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1.装配式及移动实施方案（8 分）</w:t>
            </w:r>
          </w:p>
          <w:p w14:paraId="18430D4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分）：装配式模块化设计完整，构件标准化；验票亭移动执行方案详尽，拆装流程、运输方式、重装调试各环节清晰可落地，完全满足整体 / 局部移动运营需求。</w:t>
            </w:r>
          </w:p>
          <w:p w14:paraId="790A1BF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良（6 分）：采用装配式模块化设计，移动方案基本完整，主要拆装、运输、重装环节有说明，部分细节需完善。</w:t>
            </w:r>
          </w:p>
          <w:p w14:paraId="0FC47E8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中（3 分）：为装配式结构，但移动执行方案内容笼统，关键环节缺失。</w:t>
            </w:r>
          </w:p>
          <w:p w14:paraId="379ED12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分）：非装配式结构，或无移动执行方案。</w:t>
            </w:r>
          </w:p>
          <w:p w14:paraId="515C2EE1">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2.独立 / 合并组合使用功能（8 分）</w:t>
            </w:r>
          </w:p>
          <w:p w14:paraId="1707C8FB">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分）：同时充分兼顾 2 个验票亭独立使用、合并一体使用两种场景，组合后结构稳固，通行布局合理，两种场景均提供效果图，标注关键尺寸。</w:t>
            </w:r>
          </w:p>
          <w:p w14:paraId="74F33F3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分）：具备独立、合并两种使用功能，效果图齐全，组合后结构基本稳固，局部布局有待优化。</w:t>
            </w:r>
          </w:p>
          <w:p w14:paraId="7F31CEF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分）：仅能较好实现单一场景，另一场景考虑不足，效果图信息不全。</w:t>
            </w:r>
          </w:p>
          <w:p w14:paraId="35B5EEF5">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分）：不能实现两种使用场景，无对应效果图。</w:t>
            </w:r>
          </w:p>
          <w:p w14:paraId="00D479A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3.风貌协调与外观设计（8 分）</w:t>
            </w:r>
          </w:p>
          <w:p w14:paraId="3E791515">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分）：外观风格、材质色彩充分贴合故居周边自然环境与传统建筑风貌，乡土化、生态化特点突出，造型不突兀，效果图细节完整。</w:t>
            </w:r>
          </w:p>
          <w:p w14:paraId="3614405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分）：外观基本与周边环境相协调，乡土生态特点有所体现，个别色彩造型细节可优化。</w:t>
            </w:r>
          </w:p>
          <w:p w14:paraId="2B129C69">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分）：外观协调性一般，乡土生态特点体现较弱。</w:t>
            </w:r>
          </w:p>
          <w:p w14:paraId="2CC12E0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分）：设计风格与现场环境风貌冲突。</w:t>
            </w:r>
          </w:p>
          <w:p w14:paraId="2CFCF5C6">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4.功能适配性（8 分）</w:t>
            </w:r>
          </w:p>
          <w:p w14:paraId="0AC2946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分）：布局完全适配 8 台验票闸机安装运行，防雨遮蔽效果可靠，亭内工作人员操作空间、游客通行空间规划科学合理。</w:t>
            </w:r>
          </w:p>
          <w:p w14:paraId="7A6E4111">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分）：可满足闸机防雨遮蔽及安装使用，空间布局基本合理，局部空间略有不足。</w:t>
            </w:r>
          </w:p>
          <w:p w14:paraId="3EDF59B6">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分）：可实现基础防雨，但空间布局合理性一般。</w:t>
            </w:r>
          </w:p>
          <w:p w14:paraId="029655F9">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分）：无法满足闸机安装、防雨或通行基本需求。</w:t>
            </w:r>
          </w:p>
          <w:p w14:paraId="733D9F26">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5.配套设备配置（8 分）</w:t>
            </w:r>
          </w:p>
          <w:p w14:paraId="35D8F04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分）：LED 信息条屏、空调等配套设备选型合理，安装位置、尺寸结合整体设计，可清晰展示排队、候场、参观指引信息，设备参数明确，运行稳定有保障。</w:t>
            </w:r>
          </w:p>
          <w:p w14:paraId="2618567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分）：配齐 LED 条屏、空调，主要参数齐全，安装位置基本合理。</w:t>
            </w:r>
          </w:p>
          <w:p w14:paraId="124AEDE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分）：配套设备齐全，但参数、安装位置描述简略。</w:t>
            </w:r>
          </w:p>
          <w:p w14:paraId="3BE49311">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分）：关键配套设备缺失。</w:t>
            </w:r>
          </w:p>
        </w:tc>
      </w:tr>
      <w:tr w14:paraId="427D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696" w:type="dxa"/>
            <w:noWrap w:val="0"/>
            <w:vAlign w:val="center"/>
          </w:tcPr>
          <w:p w14:paraId="106E41C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仿宋" w:hAnsi="仿宋" w:eastAsia="仿宋" w:cs="仿宋"/>
                <w:sz w:val="21"/>
                <w:szCs w:val="21"/>
                <w:lang w:val="en-US"/>
              </w:rPr>
            </w:pPr>
            <w:r>
              <w:rPr>
                <w:rFonts w:hint="eastAsia" w:ascii="仿宋" w:hAnsi="仿宋" w:eastAsia="仿宋" w:cs="仿宋"/>
                <w:color w:val="000000"/>
                <w:kern w:val="0"/>
                <w:sz w:val="21"/>
                <w:szCs w:val="21"/>
                <w:highlight w:val="none"/>
                <w:lang w:val="en-US" w:eastAsia="zh-CN" w:bidi="ar-SA"/>
              </w:rPr>
              <w:t>性能指标和现场勘察</w:t>
            </w:r>
          </w:p>
        </w:tc>
        <w:tc>
          <w:tcPr>
            <w:tcW w:w="1050" w:type="dxa"/>
            <w:noWrap w:val="0"/>
            <w:vAlign w:val="center"/>
          </w:tcPr>
          <w:p w14:paraId="013C9A4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16</w:t>
            </w:r>
            <w:r>
              <w:rPr>
                <w:rFonts w:hint="eastAsia" w:ascii="仿宋" w:hAnsi="仿宋" w:eastAsia="仿宋" w:cs="仿宋"/>
                <w:sz w:val="21"/>
                <w:szCs w:val="21"/>
              </w:rPr>
              <w:t>分</w:t>
            </w:r>
          </w:p>
        </w:tc>
        <w:tc>
          <w:tcPr>
            <w:tcW w:w="6313" w:type="dxa"/>
            <w:noWrap w:val="0"/>
            <w:vAlign w:val="center"/>
          </w:tcPr>
          <w:p w14:paraId="17D3A44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1.材料性能指标（6 分）</w:t>
            </w:r>
          </w:p>
          <w:p w14:paraId="6959DF4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分）：主体、屋面材料防腐、防雨、防晒、抗风性能指标明确，满足户外≥10 年使用寿命；屋面排水方案完善，无积水渗漏风险，关键性能可提供佐证说明。</w:t>
            </w:r>
          </w:p>
          <w:p w14:paraId="4D5D6B29">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良（3 分）：材料满足防腐防雨防晒抗风、使用寿命≥10 年基本要求，排水方案可行，部分性能参数描述简略。</w:t>
            </w:r>
          </w:p>
          <w:p w14:paraId="747868C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分）：满足基础户外使用，但部分指标未明确。</w:t>
            </w:r>
          </w:p>
          <w:p w14:paraId="4AA30FDB">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分）：使用寿命不足 10 年，或排水存在渗漏积水隐患。</w:t>
            </w:r>
          </w:p>
          <w:p w14:paraId="1602AFF9">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2.结构安全性能（4 分）</w:t>
            </w:r>
          </w:p>
          <w:p w14:paraId="6F3771D9">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优（4 分）：充分考虑当地抗风、抗倾覆要求，基础处理方案可靠，无尖锐棱角，全方面保障游客及设备安全。</w:t>
            </w:r>
          </w:p>
          <w:p w14:paraId="758D070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分）：满足抗风抗倾覆基础要求，基础处理方案可行，安全隐患考虑基本到位。</w:t>
            </w:r>
          </w:p>
          <w:p w14:paraId="3009374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中（1 分）：安全方面仅做简单描述，缺少针对性措施。</w:t>
            </w:r>
          </w:p>
          <w:p w14:paraId="1F0A3C7B">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分）：未考虑抗风抗倾覆及安全防护要求。</w:t>
            </w:r>
          </w:p>
          <w:p w14:paraId="3276119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3.现场施工保护措施（3 分）</w:t>
            </w:r>
          </w:p>
          <w:p w14:paraId="47107F5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优（3 分）：施工方案明确，对文物环境、现有设施保护措施完善；安全防护、文明施工措施详实，最大限度降低景区运营影响。</w:t>
            </w:r>
          </w:p>
          <w:p w14:paraId="713BEC5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分）：具备文物环境及设施保护、文明施工措施，内容基本完整。</w:t>
            </w:r>
          </w:p>
          <w:p w14:paraId="6F7151C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中（1 分）：仅有简单施工说明，保护措施笼统。</w:t>
            </w:r>
          </w:p>
          <w:p w14:paraId="38A7862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分）：未考虑文物环境保护及景区运营影响。</w:t>
            </w:r>
          </w:p>
          <w:p w14:paraId="4A37798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4.现场勘察（3分）</w:t>
            </w:r>
          </w:p>
          <w:p w14:paraId="1137045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 3分）：供应商已完成现场勘查，有采购单位提供额现场勘察证明。</w:t>
            </w:r>
          </w:p>
          <w:p w14:paraId="7ADE537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分）：未参与本项目现场勘查。</w:t>
            </w:r>
          </w:p>
        </w:tc>
      </w:tr>
      <w:tr w14:paraId="17CE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1696" w:type="dxa"/>
            <w:noWrap w:val="0"/>
            <w:vAlign w:val="center"/>
          </w:tcPr>
          <w:p w14:paraId="43CC20BF">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类似业绩</w:t>
            </w:r>
          </w:p>
        </w:tc>
        <w:tc>
          <w:tcPr>
            <w:tcW w:w="1050" w:type="dxa"/>
            <w:noWrap w:val="0"/>
            <w:vAlign w:val="center"/>
          </w:tcPr>
          <w:p w14:paraId="7E039D9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6</w:t>
            </w:r>
            <w:r>
              <w:rPr>
                <w:rFonts w:hint="eastAsia" w:ascii="仿宋" w:hAnsi="仿宋" w:eastAsia="仿宋" w:cs="仿宋"/>
                <w:sz w:val="21"/>
                <w:szCs w:val="21"/>
              </w:rPr>
              <w:t>分</w:t>
            </w:r>
          </w:p>
        </w:tc>
        <w:tc>
          <w:tcPr>
            <w:tcW w:w="6313" w:type="dxa"/>
            <w:noWrap w:val="0"/>
            <w:vAlign w:val="center"/>
          </w:tcPr>
          <w:p w14:paraId="403767D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提供近 3 年内验票亭、装配式设施类似项目业绩，提供合同或验收证明复印件并加盖公章，每个有效业绩计 2 分，最多3个，本项最高 12 分。无有效业绩本项计 0 分。</w:t>
            </w:r>
          </w:p>
          <w:p w14:paraId="50B3A25A">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p>
        </w:tc>
      </w:tr>
      <w:tr w14:paraId="5A84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trPr>
        <w:tc>
          <w:tcPr>
            <w:tcW w:w="1696" w:type="dxa"/>
            <w:noWrap w:val="0"/>
            <w:vAlign w:val="center"/>
          </w:tcPr>
          <w:p w14:paraId="598476F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color w:val="000000"/>
                <w:kern w:val="0"/>
                <w:sz w:val="21"/>
                <w:szCs w:val="21"/>
                <w:highlight w:val="none"/>
                <w:lang w:val="en-US" w:eastAsia="zh-CN" w:bidi="ar-SA"/>
              </w:rPr>
              <w:t>售后服务及工期</w:t>
            </w:r>
          </w:p>
        </w:tc>
        <w:tc>
          <w:tcPr>
            <w:tcW w:w="1050" w:type="dxa"/>
            <w:noWrap w:val="0"/>
            <w:vAlign w:val="center"/>
          </w:tcPr>
          <w:p w14:paraId="1851117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8分</w:t>
            </w:r>
          </w:p>
        </w:tc>
        <w:tc>
          <w:tcPr>
            <w:tcW w:w="6313" w:type="dxa"/>
            <w:noWrap w:val="0"/>
            <w:vAlign w:val="center"/>
          </w:tcPr>
          <w:p w14:paraId="10B804C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1.质保及售后响应（4分）</w:t>
            </w:r>
          </w:p>
          <w:p w14:paraId="2997952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优（4 分）：质保服务优于招标文件不少于 2 年的要求；明确质保期内 48 小时响应维修，故障处置、维保巡检、更换维修的售后方案完整详实。</w:t>
            </w:r>
          </w:p>
          <w:p w14:paraId="03C31FE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分）：满足不少于 2 年免费质保、48 小时响应维修的招标文件基本要求，售后方案内容完整。</w:t>
            </w:r>
          </w:p>
          <w:p w14:paraId="0E6491C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中（1 分）：满足基本质保年限，售后方案内容简单。</w:t>
            </w:r>
          </w:p>
          <w:p w14:paraId="043A522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分）：质保年限不满足招标文件要求，或未承诺 48 小时响应。</w:t>
            </w:r>
          </w:p>
          <w:p w14:paraId="408D566C">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2.项目工期计划（4 分）</w:t>
            </w:r>
          </w:p>
          <w:p w14:paraId="39890C3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优（4 分）：总工期、生产、运输、安装调试各节点计划清晰合理，工期保障措施完善。</w:t>
            </w:r>
          </w:p>
          <w:p w14:paraId="11A4DE5A">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分）：工期计划完整，主要节点齐全，保障措施基本可行。中（1 分）：工期计划粗略，关键节点缺失。</w:t>
            </w:r>
          </w:p>
          <w:p w14:paraId="20856DB1">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分）：无工期安排。</w:t>
            </w:r>
          </w:p>
          <w:p w14:paraId="1432AFDA">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p>
        </w:tc>
      </w:tr>
      <w:tr w14:paraId="4EFD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14:paraId="27207CF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投标报价</w:t>
            </w:r>
          </w:p>
        </w:tc>
        <w:tc>
          <w:tcPr>
            <w:tcW w:w="1050" w:type="dxa"/>
            <w:noWrap w:val="0"/>
            <w:vAlign w:val="center"/>
          </w:tcPr>
          <w:p w14:paraId="1A62786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w:t>
            </w:r>
            <w:r>
              <w:rPr>
                <w:rFonts w:hint="eastAsia" w:ascii="仿宋" w:hAnsi="仿宋" w:eastAsia="仿宋" w:cs="仿宋"/>
                <w:sz w:val="21"/>
                <w:szCs w:val="21"/>
              </w:rPr>
              <w:t>分</w:t>
            </w:r>
          </w:p>
        </w:tc>
        <w:tc>
          <w:tcPr>
            <w:tcW w:w="6313" w:type="dxa"/>
            <w:noWrap w:val="0"/>
            <w:vAlign w:val="center"/>
          </w:tcPr>
          <w:p w14:paraId="679054FD">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以经评委会一致认定满足招标文件要求且投标价格最低的投标报价为评标基准价，其价格得分</w:t>
            </w:r>
            <w:r>
              <w:rPr>
                <w:rFonts w:hint="eastAsia" w:ascii="仿宋" w:hAnsi="仿宋" w:eastAsia="仿宋" w:cs="仿宋"/>
                <w:sz w:val="21"/>
                <w:szCs w:val="21"/>
                <w:lang w:eastAsia="zh-CN"/>
              </w:rPr>
              <w:t>记</w:t>
            </w:r>
            <w:r>
              <w:rPr>
                <w:rFonts w:hint="eastAsia" w:ascii="仿宋" w:hAnsi="仿宋" w:eastAsia="仿宋" w:cs="仿宋"/>
                <w:sz w:val="21"/>
                <w:szCs w:val="21"/>
                <w:lang w:val="en-US" w:eastAsia="zh-CN"/>
              </w:rPr>
              <w:t>16</w:t>
            </w:r>
            <w:r>
              <w:rPr>
                <w:rFonts w:hint="eastAsia" w:ascii="仿宋" w:hAnsi="仿宋" w:eastAsia="仿宋" w:cs="仿宋"/>
                <w:sz w:val="21"/>
                <w:szCs w:val="21"/>
              </w:rPr>
              <w:t xml:space="preserve"> 分。其他投标人的价格得分统一按公式计算:报价得分=评标基准价</w:t>
            </w:r>
            <w:r>
              <w:rPr>
                <w:rFonts w:hint="eastAsia" w:ascii="仿宋" w:hAnsi="仿宋" w:eastAsia="仿宋" w:cs="仿宋"/>
                <w:sz w:val="21"/>
                <w:szCs w:val="21"/>
                <w:lang w:val="en-US" w:eastAsia="zh-CN"/>
              </w:rPr>
              <w:t>÷</w:t>
            </w:r>
            <w:r>
              <w:rPr>
                <w:rFonts w:hint="eastAsia" w:ascii="仿宋" w:hAnsi="仿宋" w:eastAsia="仿宋" w:cs="仿宋"/>
                <w:sz w:val="21"/>
                <w:szCs w:val="21"/>
              </w:rPr>
              <w:t>投标报价</w:t>
            </w:r>
            <w:r>
              <w:rPr>
                <w:rFonts w:hint="eastAsia" w:ascii="仿宋" w:hAnsi="仿宋" w:eastAsia="仿宋" w:cs="仿宋"/>
                <w:sz w:val="21"/>
                <w:szCs w:val="21"/>
                <w:lang w:val="en-US" w:eastAsia="zh-CN"/>
              </w:rPr>
              <w:t>×</w:t>
            </w:r>
            <w:r>
              <w:rPr>
                <w:rFonts w:hint="eastAsia" w:ascii="仿宋" w:hAnsi="仿宋" w:eastAsia="仿宋" w:cs="仿宋"/>
                <w:sz w:val="21"/>
                <w:szCs w:val="21"/>
              </w:rPr>
              <w:t>投标报价权值。</w:t>
            </w:r>
          </w:p>
          <w:p w14:paraId="4CC6E533">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p>
        </w:tc>
      </w:tr>
    </w:tbl>
    <w:p w14:paraId="515049AE">
      <w:pPr>
        <w:keepNext w:val="0"/>
        <w:keepLines w:val="0"/>
        <w:pageBreakBefore w:val="0"/>
        <w:widowControl w:val="0"/>
        <w:kinsoku/>
        <w:wordWrap/>
        <w:overflowPunct/>
        <w:topLinePunct w:val="0"/>
        <w:autoSpaceDE/>
        <w:autoSpaceDN/>
        <w:bidi w:val="0"/>
        <w:adjustRightInd/>
        <w:snapToGrid/>
        <w:ind w:firstLine="4800" w:firstLineChars="1500"/>
        <w:textAlignment w:val="auto"/>
        <w:rPr>
          <w:rFonts w:hint="eastAsia" w:ascii="仿宋" w:hAnsi="仿宋" w:eastAsia="仿宋" w:cs="仿宋"/>
          <w:i w:val="0"/>
          <w:iCs w:val="0"/>
          <w:caps w:val="0"/>
          <w:color w:val="000000"/>
          <w:spacing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520CAA"/>
    <w:rsid w:val="00191146"/>
    <w:rsid w:val="01BB05BD"/>
    <w:rsid w:val="07BE3F7B"/>
    <w:rsid w:val="094F2CD3"/>
    <w:rsid w:val="15693918"/>
    <w:rsid w:val="18BA6A94"/>
    <w:rsid w:val="1AF313E5"/>
    <w:rsid w:val="25E953F9"/>
    <w:rsid w:val="26996F47"/>
    <w:rsid w:val="28A21EA5"/>
    <w:rsid w:val="2DEE15D5"/>
    <w:rsid w:val="375C6385"/>
    <w:rsid w:val="3A543DA5"/>
    <w:rsid w:val="3D5628CD"/>
    <w:rsid w:val="3F0F4BFA"/>
    <w:rsid w:val="4366459B"/>
    <w:rsid w:val="43EA480F"/>
    <w:rsid w:val="4C857FE4"/>
    <w:rsid w:val="4F84101F"/>
    <w:rsid w:val="542B480B"/>
    <w:rsid w:val="558A355C"/>
    <w:rsid w:val="58B92F6E"/>
    <w:rsid w:val="5C9F57A5"/>
    <w:rsid w:val="65520CAA"/>
    <w:rsid w:val="67932CB9"/>
    <w:rsid w:val="764B40B5"/>
    <w:rsid w:val="786B1CDE"/>
    <w:rsid w:val="7B605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3830</Words>
  <Characters>3942</Characters>
  <Lines>0</Lines>
  <Paragraphs>0</Paragraphs>
  <TotalTime>371</TotalTime>
  <ScaleCrop>false</ScaleCrop>
  <LinksUpToDate>false</LinksUpToDate>
  <CharactersWithSpaces>4076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2026-10-09T00:55:00Z</dcterms:created>
  <dc:creator>晋</dc:creator>
  <cp:lastModifiedBy>天夕</cp:lastModifiedBy>
  <cp:lastPrinted>2026-10-23T02:22:00Z</cp:lastPrinted>
  <dcterms:modified xsi:type="dcterms:W3CDTF">2026-10-30T07:52:08Z</dcterms:modified>
  <dc:title>韶山毛泽东同志故居候场区验票亭</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38BD2D9DCE4F49BB9F92F3D8C42F4DE6_11</vt:lpwstr>
  </property>
  <property fmtid="{D5CDD505-2E9C-101B-9397-08002B2CF9AE}" pid="4" name="KSOTemplateDocerSaveRecord">
    <vt:lpwstr>eyJoZGlkIjoiNTRlZTUwNDQ1NWRmZWVlMjg4ZjIzYzc2NDk1ZmRkYzMiLCJ1c2VySWQiOiIzMTY0ODE3OTAifQ==</vt:lpwstr>
  </property>
</Properties>
</file>