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B2C0D">
      <w:pPr>
        <w:spacing w:before="156" w:line="219" w:lineRule="auto"/>
        <w:ind w:left="1375"/>
        <w:rPr>
          <w:rFonts w:ascii="宋体" w:hAnsi="宋体" w:eastAsia="宋体" w:cs="宋体"/>
          <w:sz w:val="48"/>
          <w:szCs w:val="48"/>
        </w:rPr>
      </w:pPr>
      <w:bookmarkStart w:id="0" w:name="_GoBack"/>
      <w:r>
        <w:rPr>
          <w:rFonts w:ascii="宋体" w:hAnsi="宋体" w:eastAsia="宋体" w:cs="宋体"/>
          <w:b/>
          <w:bCs/>
          <w:spacing w:val="-52"/>
          <w:sz w:val="48"/>
          <w:szCs w:val="48"/>
        </w:rPr>
        <w:t>岳阳市中心城区住房“以旧换新”</w:t>
      </w:r>
    </w:p>
    <w:p w14:paraId="35630C99">
      <w:pPr>
        <w:spacing w:before="1" w:line="220" w:lineRule="auto"/>
        <w:ind w:left="3526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32"/>
          <w:sz w:val="48"/>
          <w:szCs w:val="48"/>
        </w:rPr>
        <w:t>实施方案</w:t>
      </w:r>
    </w:p>
    <w:bookmarkEnd w:id="0"/>
    <w:p w14:paraId="11EB9F47">
      <w:pPr>
        <w:spacing w:line="326" w:lineRule="auto"/>
        <w:rPr>
          <w:rFonts w:ascii="Arial"/>
          <w:sz w:val="21"/>
        </w:rPr>
      </w:pPr>
    </w:p>
    <w:p w14:paraId="40EBDF8B">
      <w:pPr>
        <w:spacing w:line="327" w:lineRule="auto"/>
        <w:rPr>
          <w:rFonts w:ascii="Arial"/>
          <w:sz w:val="21"/>
        </w:rPr>
      </w:pPr>
    </w:p>
    <w:p w14:paraId="1FD76A74">
      <w:pPr>
        <w:pStyle w:val="2"/>
        <w:spacing w:before="108" w:line="330" w:lineRule="auto"/>
        <w:ind w:right="319" w:firstLine="619"/>
        <w:jc w:val="both"/>
      </w:pPr>
      <w:r>
        <w:rPr>
          <w:spacing w:val="-15"/>
        </w:rPr>
        <w:t>为贯彻落实党中央、国务院决策部署，切实激活中心城区改</w:t>
      </w:r>
      <w:r>
        <w:rPr>
          <w:spacing w:val="8"/>
        </w:rPr>
        <w:t xml:space="preserve"> </w:t>
      </w:r>
      <w:r>
        <w:rPr>
          <w:spacing w:val="-16"/>
        </w:rPr>
        <w:t>善性住房需求，促进房地产市场平稳健康发展，结合</w:t>
      </w:r>
      <w:r>
        <w:rPr>
          <w:spacing w:val="-17"/>
        </w:rPr>
        <w:t>当前我市房</w:t>
      </w:r>
      <w:r>
        <w:t xml:space="preserve"> </w:t>
      </w:r>
      <w:r>
        <w:rPr>
          <w:spacing w:val="-13"/>
        </w:rPr>
        <w:t>地产市场的发展态势，特制定本实施方案。</w:t>
      </w:r>
    </w:p>
    <w:p w14:paraId="3E9F26F0">
      <w:pPr>
        <w:spacing w:before="55" w:line="224" w:lineRule="auto"/>
        <w:ind w:left="61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8"/>
          <w:sz w:val="30"/>
          <w:szCs w:val="30"/>
        </w:rPr>
        <w:t>一</w:t>
      </w:r>
      <w:r>
        <w:rPr>
          <w:rFonts w:ascii="黑体" w:hAnsi="黑体" w:eastAsia="黑体" w:cs="黑体"/>
          <w:spacing w:val="-80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8"/>
          <w:sz w:val="30"/>
          <w:szCs w:val="30"/>
        </w:rPr>
        <w:t>、总体目标</w:t>
      </w:r>
    </w:p>
    <w:p w14:paraId="1A4559D0">
      <w:pPr>
        <w:pStyle w:val="2"/>
        <w:spacing w:before="210" w:line="329" w:lineRule="auto"/>
        <w:ind w:firstLine="619"/>
        <w:jc w:val="both"/>
      </w:pPr>
      <w:r>
        <w:rPr>
          <w:spacing w:val="-3"/>
        </w:rPr>
        <w:t>通过规范置换流程、落实配套政策，着力打通“以旧换新”</w:t>
      </w:r>
      <w:r>
        <w:rPr>
          <w:spacing w:val="15"/>
        </w:rPr>
        <w:t xml:space="preserve"> </w:t>
      </w:r>
      <w:r>
        <w:rPr>
          <w:spacing w:val="-15"/>
        </w:rPr>
        <w:t>堵点，更好满足中心城区居民改善性住房需求，促进房地产市场</w:t>
      </w:r>
      <w:r>
        <w:rPr>
          <w:spacing w:val="1"/>
        </w:rPr>
        <w:t xml:space="preserve">   </w:t>
      </w:r>
      <w:r>
        <w:rPr>
          <w:spacing w:val="-15"/>
        </w:rPr>
        <w:t>良性循环，实现民生改善与市场发展双向赋能。</w:t>
      </w:r>
    </w:p>
    <w:p w14:paraId="36B4109E">
      <w:pPr>
        <w:spacing w:before="16" w:line="222" w:lineRule="auto"/>
        <w:ind w:left="61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二、基本原则</w:t>
      </w:r>
    </w:p>
    <w:p w14:paraId="0FE186DB">
      <w:pPr>
        <w:pStyle w:val="2"/>
        <w:spacing w:before="204" w:line="282" w:lineRule="auto"/>
        <w:ind w:right="296" w:firstLine="764"/>
        <w:rPr>
          <w:sz w:val="32"/>
          <w:szCs w:val="32"/>
        </w:rPr>
      </w:pPr>
      <w:r>
        <w:rPr>
          <w:rFonts w:ascii="楷体" w:hAnsi="楷体" w:eastAsia="楷体" w:cs="楷体"/>
          <w:b/>
          <w:bCs/>
          <w:spacing w:val="2"/>
          <w:sz w:val="32"/>
          <w:szCs w:val="32"/>
        </w:rPr>
        <w:t>(一)市场运作。</w:t>
      </w:r>
      <w:r>
        <w:rPr>
          <w:spacing w:val="2"/>
          <w:sz w:val="32"/>
          <w:szCs w:val="32"/>
        </w:rPr>
        <w:t>引导房地产开发企业、中介机构、国</w:t>
      </w:r>
      <w:r>
        <w:rPr>
          <w:spacing w:val="1"/>
          <w:sz w:val="32"/>
          <w:szCs w:val="32"/>
        </w:rPr>
        <w:t>有企</w:t>
      </w:r>
      <w:r>
        <w:rPr>
          <w:sz w:val="32"/>
          <w:szCs w:val="32"/>
        </w:rPr>
        <w:t xml:space="preserve"> </w:t>
      </w:r>
      <w:r>
        <w:rPr>
          <w:spacing w:val="-16"/>
          <w:sz w:val="32"/>
          <w:szCs w:val="32"/>
        </w:rPr>
        <w:t>业等积极参与，保障“以旧换新”工作按照市场规律有序开展。</w:t>
      </w:r>
    </w:p>
    <w:p w14:paraId="6C2F0AF1">
      <w:pPr>
        <w:pStyle w:val="2"/>
        <w:spacing w:before="210" w:line="303" w:lineRule="auto"/>
        <w:ind w:right="351" w:firstLine="764"/>
        <w:rPr>
          <w:sz w:val="32"/>
          <w:szCs w:val="32"/>
        </w:rPr>
      </w:pPr>
      <w:r>
        <w:rPr>
          <w:rFonts w:ascii="楷体" w:hAnsi="楷体" w:eastAsia="楷体" w:cs="楷体"/>
          <w:b/>
          <w:bCs/>
          <w:spacing w:val="-4"/>
          <w:sz w:val="32"/>
          <w:szCs w:val="32"/>
        </w:rPr>
        <w:t>(二)自愿参与。</w:t>
      </w:r>
      <w:r>
        <w:rPr>
          <w:rFonts w:ascii="楷体" w:hAnsi="楷体" w:eastAsia="楷体" w:cs="楷体"/>
          <w:spacing w:val="-65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尊重房屋所有权人自主选择权，充分保障</w:t>
      </w:r>
      <w:r>
        <w:rPr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其自愿参与住房“以旧换新”的权利，任何单位和个人不得强制或</w:t>
      </w:r>
      <w:r>
        <w:rPr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变相强制其参与。</w:t>
      </w:r>
    </w:p>
    <w:p w14:paraId="6AE6C6C4">
      <w:pPr>
        <w:pStyle w:val="2"/>
        <w:spacing w:before="220" w:line="298" w:lineRule="auto"/>
        <w:ind w:right="319" w:firstLine="759"/>
        <w:rPr>
          <w:sz w:val="32"/>
          <w:szCs w:val="32"/>
        </w:rPr>
      </w:pPr>
      <w:r>
        <w:rPr>
          <w:rFonts w:ascii="华文行楷" w:hAnsi="华文行楷" w:eastAsia="华文行楷" w:cs="华文行楷"/>
          <w:spacing w:val="1"/>
          <w:sz w:val="32"/>
          <w:szCs w:val="32"/>
        </w:rPr>
        <w:t>(三)公平公正。</w:t>
      </w:r>
      <w:r>
        <w:rPr>
          <w:rFonts w:ascii="华文行楷" w:hAnsi="华文行楷" w:eastAsia="华文行楷" w:cs="华文行楷"/>
          <w:spacing w:val="61"/>
          <w:sz w:val="32"/>
          <w:szCs w:val="32"/>
        </w:rPr>
        <w:t xml:space="preserve"> </w:t>
      </w:r>
      <w:r>
        <w:rPr>
          <w:spacing w:val="1"/>
          <w:sz w:val="32"/>
          <w:szCs w:val="32"/>
        </w:rPr>
        <w:t>遵循公平、公正、公开的原则，在旧房收</w:t>
      </w:r>
      <w:r>
        <w:rPr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购、房屋评估、新房选购等环节做到标准统一、程</w:t>
      </w:r>
      <w:r>
        <w:rPr>
          <w:spacing w:val="-8"/>
          <w:sz w:val="32"/>
          <w:szCs w:val="32"/>
        </w:rPr>
        <w:t>序透明，自觉</w:t>
      </w:r>
      <w:r>
        <w:rPr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接受社会监督。</w:t>
      </w:r>
    </w:p>
    <w:p w14:paraId="76702D7B">
      <w:pPr>
        <w:spacing w:before="225" w:line="223" w:lineRule="auto"/>
        <w:ind w:left="61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8"/>
          <w:sz w:val="30"/>
          <w:szCs w:val="30"/>
        </w:rPr>
        <w:t>三、适用范围与参与条件</w:t>
      </w:r>
    </w:p>
    <w:p w14:paraId="4672CC41">
      <w:pPr>
        <w:spacing w:before="219" w:line="489" w:lineRule="exact"/>
        <w:ind w:left="759"/>
        <w:rPr>
          <w:rFonts w:ascii="楷体" w:hAnsi="楷体" w:eastAsia="楷体" w:cs="楷体"/>
          <w:sz w:val="33"/>
          <w:szCs w:val="33"/>
        </w:rPr>
      </w:pPr>
      <w:r>
        <w:rPr>
          <w:rFonts w:ascii="华文行楷" w:hAnsi="华文行楷" w:eastAsia="华文行楷" w:cs="华文行楷"/>
          <w:spacing w:val="-13"/>
          <w:position w:val="3"/>
          <w:sz w:val="33"/>
          <w:szCs w:val="33"/>
        </w:rPr>
        <w:t>(</w:t>
      </w:r>
      <w:r>
        <w:rPr>
          <w:rFonts w:ascii="华文行楷" w:hAnsi="华文行楷" w:eastAsia="华文行楷" w:cs="华文行楷"/>
          <w:spacing w:val="43"/>
          <w:position w:val="3"/>
          <w:sz w:val="33"/>
          <w:szCs w:val="33"/>
        </w:rPr>
        <w:t xml:space="preserve"> </w:t>
      </w:r>
      <w:r>
        <w:rPr>
          <w:rFonts w:ascii="华文行楷" w:hAnsi="华文行楷" w:eastAsia="华文行楷" w:cs="华文行楷"/>
          <w:spacing w:val="-13"/>
          <w:position w:val="3"/>
          <w:sz w:val="33"/>
          <w:szCs w:val="33"/>
        </w:rPr>
        <w:t>一</w:t>
      </w:r>
      <w:r>
        <w:rPr>
          <w:rFonts w:ascii="华文行楷" w:hAnsi="华文行楷" w:eastAsia="华文行楷" w:cs="华文行楷"/>
          <w:spacing w:val="36"/>
          <w:w w:val="101"/>
          <w:position w:val="3"/>
          <w:sz w:val="33"/>
          <w:szCs w:val="33"/>
        </w:rPr>
        <w:t xml:space="preserve"> </w:t>
      </w:r>
      <w:r>
        <w:rPr>
          <w:rFonts w:ascii="华文行楷" w:hAnsi="华文行楷" w:eastAsia="华文行楷" w:cs="华文行楷"/>
          <w:spacing w:val="-13"/>
          <w:position w:val="3"/>
          <w:sz w:val="33"/>
          <w:szCs w:val="33"/>
        </w:rPr>
        <w:t xml:space="preserve">) </w:t>
      </w:r>
      <w:r>
        <w:rPr>
          <w:rFonts w:ascii="楷体" w:hAnsi="楷体" w:eastAsia="楷体" w:cs="楷体"/>
          <w:b/>
          <w:bCs/>
          <w:spacing w:val="-13"/>
          <w:position w:val="3"/>
          <w:sz w:val="33"/>
          <w:szCs w:val="33"/>
        </w:rPr>
        <w:t>适用对象</w:t>
      </w:r>
    </w:p>
    <w:p w14:paraId="2CEF1198">
      <w:pPr>
        <w:pStyle w:val="2"/>
        <w:spacing w:before="99" w:line="222" w:lineRule="auto"/>
        <w:ind w:left="619"/>
        <w:rPr>
          <w:sz w:val="35"/>
          <w:szCs w:val="35"/>
        </w:rPr>
      </w:pPr>
      <w:r>
        <w:rPr>
          <w:spacing w:val="-27"/>
          <w:sz w:val="35"/>
          <w:szCs w:val="35"/>
        </w:rPr>
        <w:t>岳阳市中心城区(含岳阳楼区、君山区、云溪区、临港高新</w:t>
      </w:r>
    </w:p>
    <w:p w14:paraId="39F59432">
      <w:pPr>
        <w:spacing w:line="222" w:lineRule="auto"/>
        <w:rPr>
          <w:sz w:val="35"/>
          <w:szCs w:val="35"/>
        </w:rPr>
        <w:sectPr>
          <w:footerReference r:id="rId5" w:type="default"/>
          <w:pgSz w:w="11900" w:h="16830"/>
          <w:pgMar w:top="1430" w:right="1311" w:bottom="1139" w:left="1450" w:header="0" w:footer="998" w:gutter="0"/>
          <w:cols w:space="720" w:num="1"/>
        </w:sectPr>
      </w:pPr>
    </w:p>
    <w:p w14:paraId="7F72E07C">
      <w:pPr>
        <w:spacing w:line="248" w:lineRule="auto"/>
        <w:rPr>
          <w:rFonts w:ascii="Arial"/>
          <w:sz w:val="21"/>
        </w:rPr>
      </w:pPr>
    </w:p>
    <w:p w14:paraId="168D1547">
      <w:pPr>
        <w:spacing w:line="249" w:lineRule="auto"/>
        <w:rPr>
          <w:rFonts w:ascii="Arial"/>
          <w:sz w:val="21"/>
        </w:rPr>
      </w:pPr>
    </w:p>
    <w:p w14:paraId="22C4E68E">
      <w:pPr>
        <w:pStyle w:val="2"/>
        <w:spacing w:before="108" w:line="337" w:lineRule="auto"/>
        <w:ind w:right="153"/>
      </w:pPr>
      <w:r>
        <w:rPr>
          <w:spacing w:val="-9"/>
        </w:rPr>
        <w:t>区、岳阳经开区、南湖新区管委会)符合上市交易条件的</w:t>
      </w:r>
      <w:r>
        <w:rPr>
          <w:spacing w:val="-10"/>
        </w:rPr>
        <w:t>住房所</w:t>
      </w:r>
      <w:r>
        <w:t xml:space="preserve"> </w:t>
      </w:r>
      <w:r>
        <w:rPr>
          <w:spacing w:val="-20"/>
        </w:rPr>
        <w:t>有权人。</w:t>
      </w:r>
    </w:p>
    <w:p w14:paraId="01B7548B">
      <w:pPr>
        <w:spacing w:line="224" w:lineRule="auto"/>
        <w:ind w:left="744"/>
        <w:outlineLvl w:val="1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8"/>
          <w:sz w:val="33"/>
          <w:szCs w:val="33"/>
        </w:rPr>
        <w:t>(二)旧房准入条件</w:t>
      </w:r>
    </w:p>
    <w:p w14:paraId="75888FC0">
      <w:pPr>
        <w:pStyle w:val="2"/>
        <w:spacing w:before="240" w:line="302" w:lineRule="auto"/>
        <w:ind w:right="93" w:firstLine="639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1.</w:t>
      </w:r>
      <w:r>
        <w:rPr>
          <w:sz w:val="32"/>
          <w:szCs w:val="32"/>
        </w:rPr>
        <w:t xml:space="preserve">产权明晰。已依法取得《不动产权证书》或《房屋所有权 </w:t>
      </w:r>
      <w:r>
        <w:rPr>
          <w:spacing w:val="1"/>
          <w:sz w:val="32"/>
          <w:szCs w:val="32"/>
        </w:rPr>
        <w:t>证》,不存在抵押、查封、行政限制、产权纠纷等影响交易的情</w:t>
      </w:r>
      <w:r>
        <w:rPr>
          <w:spacing w:val="10"/>
          <w:sz w:val="32"/>
          <w:szCs w:val="32"/>
        </w:rPr>
        <w:t xml:space="preserve"> </w:t>
      </w:r>
      <w:r>
        <w:rPr>
          <w:spacing w:val="8"/>
          <w:sz w:val="32"/>
          <w:szCs w:val="32"/>
        </w:rPr>
        <w:t>形(居民自建房除外)。</w:t>
      </w:r>
    </w:p>
    <w:p w14:paraId="7F7CC35F">
      <w:pPr>
        <w:pStyle w:val="2"/>
        <w:spacing w:before="232" w:line="274" w:lineRule="auto"/>
        <w:ind w:right="95" w:firstLine="639"/>
      </w:pPr>
      <w:r>
        <w:rPr>
          <w:spacing w:val="-14"/>
        </w:rPr>
        <w:t>2.房屋安全。房屋符合安全要求，经鉴定为</w:t>
      </w:r>
      <w:r>
        <w:rPr>
          <w:rFonts w:ascii="Times New Roman" w:hAnsi="Times New Roman" w:eastAsia="Times New Roman" w:cs="Times New Roman"/>
          <w:spacing w:val="-14"/>
        </w:rPr>
        <w:t>C</w:t>
      </w:r>
      <w:r>
        <w:rPr>
          <w:rFonts w:ascii="Times New Roman" w:hAnsi="Times New Roman" w:eastAsia="Times New Roman" w:cs="Times New Roman"/>
          <w:spacing w:val="63"/>
        </w:rPr>
        <w:t xml:space="preserve"> </w:t>
      </w:r>
      <w:r>
        <w:rPr>
          <w:spacing w:val="-14"/>
        </w:rPr>
        <w:t>级及以下安全</w:t>
      </w:r>
      <w:r>
        <w:t xml:space="preserve"> </w:t>
      </w:r>
      <w:r>
        <w:rPr>
          <w:spacing w:val="-16"/>
        </w:rPr>
        <w:t>等级的，不得纳入置换范围。</w:t>
      </w:r>
    </w:p>
    <w:p w14:paraId="5D3CB877">
      <w:pPr>
        <w:pStyle w:val="2"/>
        <w:spacing w:before="181" w:line="222" w:lineRule="auto"/>
        <w:ind w:left="639"/>
      </w:pPr>
      <w:r>
        <w:rPr>
          <w:rFonts w:ascii="Times New Roman" w:hAnsi="Times New Roman" w:eastAsia="Times New Roman" w:cs="Times New Roman"/>
          <w:spacing w:val="-11"/>
        </w:rPr>
        <w:t>3.</w:t>
      </w:r>
      <w:r>
        <w:rPr>
          <w:spacing w:val="-11"/>
        </w:rPr>
        <w:t>功能完备。配套齐全，基本居住功能完备。</w:t>
      </w:r>
    </w:p>
    <w:p w14:paraId="669F395B">
      <w:pPr>
        <w:spacing w:before="208" w:line="224" w:lineRule="auto"/>
        <w:ind w:left="744"/>
        <w:outlineLvl w:val="1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8"/>
          <w:sz w:val="33"/>
          <w:szCs w:val="33"/>
        </w:rPr>
        <w:t>(三)新房准入条件</w:t>
      </w:r>
    </w:p>
    <w:p w14:paraId="0BC5A912">
      <w:pPr>
        <w:pStyle w:val="2"/>
        <w:spacing w:before="174" w:line="221" w:lineRule="auto"/>
        <w:jc w:val="right"/>
        <w:rPr>
          <w:sz w:val="35"/>
          <w:szCs w:val="35"/>
        </w:rPr>
      </w:pPr>
      <w:r>
        <w:rPr>
          <w:spacing w:val="-42"/>
          <w:sz w:val="35"/>
          <w:szCs w:val="35"/>
        </w:rPr>
        <w:t>纳入“以旧换新”房源库和符合条件的定向建设项目的房屋。</w:t>
      </w:r>
    </w:p>
    <w:p w14:paraId="0376B7FD">
      <w:pPr>
        <w:spacing w:before="226" w:line="223" w:lineRule="auto"/>
        <w:ind w:left="6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四、收购主体</w:t>
      </w:r>
    </w:p>
    <w:p w14:paraId="615112DB">
      <w:pPr>
        <w:pStyle w:val="2"/>
        <w:spacing w:before="219" w:line="313" w:lineRule="auto"/>
        <w:ind w:right="29" w:firstLine="639"/>
        <w:jc w:val="both"/>
        <w:rPr>
          <w:sz w:val="35"/>
          <w:szCs w:val="35"/>
        </w:rPr>
      </w:pPr>
      <w:r>
        <w:rPr>
          <w:spacing w:val="-31"/>
          <w:sz w:val="35"/>
          <w:szCs w:val="35"/>
        </w:rPr>
        <w:t>在岳阳楼区、临港高新区、岳阳经开区、南湖新区范围内，</w:t>
      </w:r>
      <w:r>
        <w:rPr>
          <w:spacing w:val="10"/>
          <w:sz w:val="35"/>
          <w:szCs w:val="35"/>
        </w:rPr>
        <w:t xml:space="preserve"> </w:t>
      </w:r>
      <w:r>
        <w:rPr>
          <w:spacing w:val="-35"/>
          <w:sz w:val="35"/>
          <w:szCs w:val="35"/>
        </w:rPr>
        <w:t>由市城发安居置业有限公司、市城运乐居置业有限公司作为收购</w:t>
      </w:r>
      <w:r>
        <w:rPr>
          <w:spacing w:val="5"/>
          <w:sz w:val="35"/>
          <w:szCs w:val="35"/>
        </w:rPr>
        <w:t xml:space="preserve"> </w:t>
      </w:r>
      <w:r>
        <w:rPr>
          <w:spacing w:val="-35"/>
          <w:sz w:val="35"/>
          <w:szCs w:val="35"/>
        </w:rPr>
        <w:t>主体；在君山区、云溪区范围内，由各区政府指定区属国有企业</w:t>
      </w:r>
      <w:r>
        <w:rPr>
          <w:sz w:val="35"/>
          <w:szCs w:val="35"/>
        </w:rPr>
        <w:t xml:space="preserve"> </w:t>
      </w:r>
      <w:r>
        <w:rPr>
          <w:spacing w:val="-35"/>
          <w:sz w:val="35"/>
          <w:szCs w:val="35"/>
        </w:rPr>
        <w:t>作为收购主体。</w:t>
      </w:r>
    </w:p>
    <w:p w14:paraId="2A4A82B5">
      <w:pPr>
        <w:spacing w:before="29" w:line="221" w:lineRule="auto"/>
        <w:ind w:left="6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五、实施方式</w:t>
      </w:r>
    </w:p>
    <w:p w14:paraId="34F30165">
      <w:pPr>
        <w:spacing w:before="235" w:line="499" w:lineRule="exact"/>
        <w:ind w:left="740"/>
        <w:rPr>
          <w:rFonts w:ascii="楷体" w:hAnsi="楷体" w:eastAsia="楷体" w:cs="楷体"/>
          <w:sz w:val="33"/>
          <w:szCs w:val="33"/>
        </w:rPr>
      </w:pPr>
      <w:r>
        <w:rPr>
          <w:rFonts w:ascii="华文行楷" w:hAnsi="华文行楷" w:eastAsia="华文行楷" w:cs="华文行楷"/>
          <w:spacing w:val="-16"/>
          <w:position w:val="3"/>
          <w:sz w:val="33"/>
          <w:szCs w:val="33"/>
        </w:rPr>
        <w:t>(</w:t>
      </w:r>
      <w:r>
        <w:rPr>
          <w:rFonts w:ascii="华文行楷" w:hAnsi="华文行楷" w:eastAsia="华文行楷" w:cs="华文行楷"/>
          <w:spacing w:val="36"/>
          <w:position w:val="3"/>
          <w:sz w:val="33"/>
          <w:szCs w:val="33"/>
        </w:rPr>
        <w:t xml:space="preserve"> </w:t>
      </w:r>
      <w:r>
        <w:rPr>
          <w:rFonts w:ascii="华文行楷" w:hAnsi="华文行楷" w:eastAsia="华文行楷" w:cs="华文行楷"/>
          <w:spacing w:val="-16"/>
          <w:position w:val="3"/>
          <w:sz w:val="33"/>
          <w:szCs w:val="33"/>
        </w:rPr>
        <w:t>一</w:t>
      </w:r>
      <w:r>
        <w:rPr>
          <w:rFonts w:ascii="华文行楷" w:hAnsi="华文行楷" w:eastAsia="华文行楷" w:cs="华文行楷"/>
          <w:spacing w:val="32"/>
          <w:position w:val="3"/>
          <w:sz w:val="33"/>
          <w:szCs w:val="33"/>
        </w:rPr>
        <w:t xml:space="preserve"> </w:t>
      </w:r>
      <w:r>
        <w:rPr>
          <w:rFonts w:ascii="华文行楷" w:hAnsi="华文行楷" w:eastAsia="华文行楷" w:cs="华文行楷"/>
          <w:spacing w:val="-16"/>
          <w:position w:val="3"/>
          <w:sz w:val="33"/>
          <w:szCs w:val="33"/>
        </w:rPr>
        <w:t>)</w:t>
      </w:r>
      <w:r>
        <w:rPr>
          <w:rFonts w:ascii="华文行楷" w:hAnsi="华文行楷" w:eastAsia="华文行楷" w:cs="华文行楷"/>
          <w:spacing w:val="34"/>
          <w:position w:val="3"/>
          <w:sz w:val="33"/>
          <w:szCs w:val="33"/>
        </w:rPr>
        <w:t xml:space="preserve"> </w:t>
      </w:r>
      <w:r>
        <w:rPr>
          <w:rFonts w:ascii="楷体" w:hAnsi="楷体" w:eastAsia="楷体" w:cs="楷体"/>
          <w:b/>
          <w:bCs/>
          <w:spacing w:val="-16"/>
          <w:position w:val="3"/>
          <w:sz w:val="33"/>
          <w:szCs w:val="33"/>
        </w:rPr>
        <w:t>置换模式</w:t>
      </w:r>
    </w:p>
    <w:p w14:paraId="3BB7CD27">
      <w:pPr>
        <w:pStyle w:val="2"/>
        <w:spacing w:before="113" w:line="330" w:lineRule="auto"/>
        <w:ind w:right="139" w:firstLine="639"/>
        <w:jc w:val="both"/>
      </w:pPr>
      <w:r>
        <w:rPr>
          <w:rFonts w:ascii="Times New Roman" w:hAnsi="Times New Roman" w:eastAsia="Times New Roman" w:cs="Times New Roman"/>
          <w:spacing w:val="-23"/>
        </w:rPr>
        <w:t>1.</w:t>
      </w:r>
      <w:r>
        <w:rPr>
          <w:spacing w:val="-23"/>
        </w:rPr>
        <w:t>收购置换模式。采用“评估定价、资金监管、差</w:t>
      </w:r>
      <w:r>
        <w:rPr>
          <w:spacing w:val="-24"/>
        </w:rPr>
        <w:t>价补足”方</w:t>
      </w:r>
      <w:r>
        <w:t xml:space="preserve"> </w:t>
      </w:r>
      <w:r>
        <w:rPr>
          <w:spacing w:val="-9"/>
        </w:rPr>
        <w:t>式收购旧房，房屋所有权人签订商品房买卖合同后2个月内缴纳</w:t>
      </w:r>
      <w:r>
        <w:rPr>
          <w:spacing w:val="11"/>
        </w:rPr>
        <w:t xml:space="preserve"> </w:t>
      </w:r>
      <w:r>
        <w:rPr>
          <w:spacing w:val="-15"/>
        </w:rPr>
        <w:t>契税的，可享受一次性购房补贴。旧房价值由房屋所有权人委托</w:t>
      </w:r>
      <w:r>
        <w:rPr>
          <w:spacing w:val="3"/>
        </w:rPr>
        <w:t xml:space="preserve"> </w:t>
      </w:r>
      <w:r>
        <w:rPr>
          <w:spacing w:val="-15"/>
        </w:rPr>
        <w:t>纳入房屋交易评估机构库的评估机构进行评估，收购主体参照评</w:t>
      </w:r>
    </w:p>
    <w:p w14:paraId="7ADA0C57">
      <w:pPr>
        <w:spacing w:line="330" w:lineRule="auto"/>
        <w:sectPr>
          <w:footerReference r:id="rId6" w:type="default"/>
          <w:pgSz w:w="11900" w:h="16830"/>
          <w:pgMar w:top="1430" w:right="1414" w:bottom="1137" w:left="1509" w:header="0" w:footer="933" w:gutter="0"/>
          <w:cols w:space="720" w:num="1"/>
        </w:sectPr>
      </w:pPr>
    </w:p>
    <w:p w14:paraId="4E6826F5">
      <w:pPr>
        <w:spacing w:line="467" w:lineRule="auto"/>
        <w:rPr>
          <w:rFonts w:ascii="Arial"/>
          <w:sz w:val="21"/>
        </w:rPr>
      </w:pPr>
    </w:p>
    <w:p w14:paraId="42A6F08A">
      <w:pPr>
        <w:pStyle w:val="2"/>
        <w:spacing w:before="107" w:line="335" w:lineRule="auto"/>
        <w:ind w:right="15"/>
        <w:jc w:val="both"/>
      </w:pPr>
      <w:r>
        <w:rPr>
          <w:spacing w:val="-15"/>
        </w:rPr>
        <w:t>估价协商确定收购价格；收购款项等额存入交通</w:t>
      </w:r>
      <w:r>
        <w:rPr>
          <w:spacing w:val="-16"/>
        </w:rPr>
        <w:t>银行专用监管账</w:t>
      </w:r>
      <w:r>
        <w:t xml:space="preserve"> </w:t>
      </w:r>
      <w:r>
        <w:rPr>
          <w:spacing w:val="-15"/>
        </w:rPr>
        <w:t>户；换购新房价款不得低于旧房收购价款，新房价格不得高于该</w:t>
      </w:r>
      <w:r>
        <w:rPr>
          <w:spacing w:val="2"/>
        </w:rPr>
        <w:t xml:space="preserve"> </w:t>
      </w:r>
      <w:r>
        <w:rPr>
          <w:spacing w:val="-9"/>
        </w:rPr>
        <w:t>项目同类型房屋本年度成交均价；旧房所有权人在6个月内选购</w:t>
      </w:r>
      <w:r>
        <w:rPr>
          <w:spacing w:val="2"/>
        </w:rPr>
        <w:t xml:space="preserve"> </w:t>
      </w:r>
      <w:r>
        <w:rPr>
          <w:spacing w:val="-15"/>
        </w:rPr>
        <w:t>纳入“以旧换新”房源库的新房，开发企业签订商品房买卖合同</w:t>
      </w:r>
      <w:r>
        <w:rPr>
          <w:spacing w:val="12"/>
        </w:rPr>
        <w:t xml:space="preserve"> </w:t>
      </w:r>
      <w:r>
        <w:rPr>
          <w:spacing w:val="-9"/>
        </w:rPr>
        <w:t>后2个工作日内，由资金监管方将专用监管账户内的对应旧房收</w:t>
      </w:r>
      <w:r>
        <w:rPr>
          <w:spacing w:val="15"/>
        </w:rPr>
        <w:t xml:space="preserve"> </w:t>
      </w:r>
      <w:r>
        <w:rPr>
          <w:spacing w:val="-13"/>
        </w:rPr>
        <w:t>购资金，全额转入开发企业对应收款账户。</w:t>
      </w:r>
    </w:p>
    <w:p w14:paraId="384B57F0">
      <w:pPr>
        <w:pStyle w:val="2"/>
        <w:spacing w:before="14" w:line="331" w:lineRule="auto"/>
        <w:ind w:right="8" w:firstLine="649"/>
        <w:jc w:val="both"/>
      </w:pPr>
      <w:r>
        <w:rPr>
          <w:spacing w:val="-15"/>
        </w:rPr>
        <w:t>2.自行置换模式。自本方案实施之日起，个人自行出售旧房</w:t>
      </w:r>
      <w:r>
        <w:rPr>
          <w:spacing w:val="2"/>
        </w:rPr>
        <w:t xml:space="preserve"> </w:t>
      </w:r>
      <w:r>
        <w:rPr>
          <w:spacing w:val="-14"/>
        </w:rPr>
        <w:t>后，在本方案有效期内选购纳入“以旧换新</w:t>
      </w:r>
      <w:r>
        <w:rPr>
          <w:spacing w:val="-15"/>
        </w:rPr>
        <w:t>”房源库的新房，签</w:t>
      </w:r>
      <w:r>
        <w:t xml:space="preserve"> </w:t>
      </w:r>
      <w:r>
        <w:rPr>
          <w:spacing w:val="-8"/>
        </w:rPr>
        <w:t>订商品房买卖合同后2个月内缴纳契税的，可享受</w:t>
      </w:r>
      <w:r>
        <w:rPr>
          <w:spacing w:val="-9"/>
        </w:rPr>
        <w:t>一次性购房补</w:t>
      </w:r>
      <w:r>
        <w:t xml:space="preserve"> </w:t>
      </w:r>
      <w:r>
        <w:rPr>
          <w:spacing w:val="-18"/>
        </w:rPr>
        <w:t>贴。</w:t>
      </w:r>
    </w:p>
    <w:p w14:paraId="4BDB67CE">
      <w:pPr>
        <w:spacing w:line="229" w:lineRule="auto"/>
        <w:ind w:left="744"/>
        <w:outlineLvl w:val="1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14"/>
          <w:sz w:val="33"/>
          <w:szCs w:val="33"/>
        </w:rPr>
        <w:t>(二)实施流程</w:t>
      </w:r>
    </w:p>
    <w:p w14:paraId="042BF2F2">
      <w:pPr>
        <w:pStyle w:val="2"/>
        <w:spacing w:before="216" w:line="300" w:lineRule="auto"/>
        <w:ind w:right="12" w:firstLine="649"/>
        <w:rPr>
          <w:sz w:val="32"/>
          <w:szCs w:val="32"/>
        </w:rPr>
      </w:pPr>
      <w:r>
        <w:rPr>
          <w:spacing w:val="-19"/>
          <w:sz w:val="32"/>
          <w:szCs w:val="32"/>
        </w:rPr>
        <w:t>1.</w:t>
      </w:r>
      <w:r>
        <w:rPr>
          <w:spacing w:val="-77"/>
          <w:sz w:val="32"/>
          <w:szCs w:val="32"/>
        </w:rPr>
        <w:t xml:space="preserve"> </w:t>
      </w:r>
      <w:r>
        <w:rPr>
          <w:spacing w:val="-19"/>
          <w:sz w:val="32"/>
          <w:szCs w:val="32"/>
        </w:rPr>
        <w:t>自主申请。参与“以旧换新”的房屋所有权人向收购主体提</w:t>
      </w:r>
      <w:r>
        <w:rPr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交《以旧换新收购申请表》、房屋《不动产权证书》或《房屋所</w:t>
      </w:r>
      <w:r>
        <w:rPr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有权证》、身份证等资料，提出申请。</w:t>
      </w:r>
    </w:p>
    <w:p w14:paraId="174C642F">
      <w:pPr>
        <w:pStyle w:val="2"/>
        <w:spacing w:before="217" w:line="297" w:lineRule="auto"/>
        <w:ind w:right="23" w:firstLine="649"/>
      </w:pPr>
      <w:r>
        <w:rPr>
          <w:rFonts w:ascii="Times New Roman" w:hAnsi="Times New Roman" w:eastAsia="Times New Roman" w:cs="Times New Roman"/>
          <w:spacing w:val="-12"/>
        </w:rPr>
        <w:t>2.</w:t>
      </w:r>
      <w:r>
        <w:rPr>
          <w:spacing w:val="-12"/>
        </w:rPr>
        <w:t>评估定价。房屋所有权人委托纳入房屋交易评估机构库的</w:t>
      </w:r>
      <w:r>
        <w:rPr>
          <w:spacing w:val="6"/>
        </w:rPr>
        <w:t xml:space="preserve"> </w:t>
      </w:r>
      <w:r>
        <w:rPr>
          <w:spacing w:val="-15"/>
        </w:rPr>
        <w:t>评估机构对房屋进行实地勘察和价值评估，评估结果经公</w:t>
      </w:r>
      <w:r>
        <w:rPr>
          <w:spacing w:val="-16"/>
        </w:rPr>
        <w:t>示，与</w:t>
      </w:r>
      <w:r>
        <w:t xml:space="preserve"> </w:t>
      </w:r>
      <w:r>
        <w:rPr>
          <w:spacing w:val="-15"/>
        </w:rPr>
        <w:t>收购主体协商无异议后，确认定价。</w:t>
      </w:r>
    </w:p>
    <w:p w14:paraId="2C00A2FE">
      <w:pPr>
        <w:pStyle w:val="2"/>
        <w:spacing w:before="207" w:line="302" w:lineRule="auto"/>
        <w:ind w:right="24" w:firstLine="649"/>
      </w:pPr>
      <w:r>
        <w:rPr>
          <w:rFonts w:ascii="Times New Roman" w:hAnsi="Times New Roman" w:eastAsia="Times New Roman" w:cs="Times New Roman"/>
          <w:spacing w:val="-17"/>
        </w:rPr>
        <w:t>3.</w:t>
      </w:r>
      <w:r>
        <w:rPr>
          <w:spacing w:val="-17"/>
        </w:rPr>
        <w:t>收购旧房。申请人与收购企业通过“住建360找房”小程序</w:t>
      </w:r>
      <w:r>
        <w:rPr>
          <w:spacing w:val="10"/>
        </w:rPr>
        <w:t xml:space="preserve"> </w:t>
      </w:r>
      <w:r>
        <w:rPr>
          <w:spacing w:val="-15"/>
        </w:rPr>
        <w:t>签订《岳阳市存量房买卖合同》后，收购主体向“以旧换新”专</w:t>
      </w:r>
      <w:r>
        <w:rPr>
          <w:spacing w:val="3"/>
        </w:rPr>
        <w:t xml:space="preserve"> </w:t>
      </w:r>
      <w:r>
        <w:rPr>
          <w:spacing w:val="-9"/>
        </w:rPr>
        <w:t>用监管账户存入等额收购资金。申请人需在2个月内将房屋移交</w:t>
      </w:r>
      <w:r>
        <w:rPr>
          <w:spacing w:val="3"/>
        </w:rPr>
        <w:t xml:space="preserve"> </w:t>
      </w:r>
      <w:r>
        <w:rPr>
          <w:spacing w:val="-14"/>
        </w:rPr>
        <w:t>给收购主体，并办理产权转移登记。</w:t>
      </w:r>
    </w:p>
    <w:p w14:paraId="4BC29009">
      <w:pPr>
        <w:pStyle w:val="2"/>
        <w:spacing w:before="251" w:line="219" w:lineRule="auto"/>
        <w:jc w:val="right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4.</w:t>
      </w:r>
      <w:r>
        <w:rPr>
          <w:spacing w:val="-2"/>
          <w:sz w:val="32"/>
          <w:szCs w:val="32"/>
        </w:rPr>
        <w:t>选购新房。申请人在“以旧换新”房源库中选购新房，与</w:t>
      </w:r>
    </w:p>
    <w:p w14:paraId="6F2B0623">
      <w:pPr>
        <w:spacing w:line="219" w:lineRule="auto"/>
        <w:rPr>
          <w:sz w:val="32"/>
          <w:szCs w:val="32"/>
        </w:rPr>
        <w:sectPr>
          <w:footerReference r:id="rId7" w:type="default"/>
          <w:pgSz w:w="11900" w:h="16830"/>
          <w:pgMar w:top="1430" w:right="1604" w:bottom="1162" w:left="1440" w:header="0" w:footer="1027" w:gutter="0"/>
          <w:cols w:space="720" w:num="1"/>
        </w:sectPr>
      </w:pPr>
    </w:p>
    <w:p w14:paraId="1169C58F">
      <w:pPr>
        <w:spacing w:line="247" w:lineRule="auto"/>
        <w:rPr>
          <w:rFonts w:ascii="Arial"/>
          <w:sz w:val="21"/>
        </w:rPr>
      </w:pPr>
    </w:p>
    <w:p w14:paraId="02E5684D">
      <w:pPr>
        <w:spacing w:line="247" w:lineRule="auto"/>
        <w:rPr>
          <w:rFonts w:ascii="Arial"/>
          <w:sz w:val="21"/>
        </w:rPr>
      </w:pPr>
    </w:p>
    <w:p w14:paraId="3B53069D">
      <w:pPr>
        <w:pStyle w:val="2"/>
        <w:spacing w:before="114" w:line="222" w:lineRule="auto"/>
        <w:rPr>
          <w:sz w:val="35"/>
          <w:szCs w:val="35"/>
        </w:rPr>
      </w:pPr>
      <w:r>
        <w:rPr>
          <w:spacing w:val="-30"/>
          <w:sz w:val="35"/>
          <w:szCs w:val="35"/>
        </w:rPr>
        <w:t>房地产开发企业签订商品房买卖合同。</w:t>
      </w:r>
    </w:p>
    <w:p w14:paraId="7D068295">
      <w:pPr>
        <w:pStyle w:val="2"/>
        <w:spacing w:before="207" w:line="331" w:lineRule="auto"/>
        <w:ind w:firstLine="639"/>
        <w:jc w:val="both"/>
      </w:pPr>
      <w:r>
        <w:rPr>
          <w:rFonts w:ascii="Times New Roman" w:hAnsi="Times New Roman" w:eastAsia="Times New Roman" w:cs="Times New Roman"/>
          <w:spacing w:val="-9"/>
        </w:rPr>
        <w:t>5.</w:t>
      </w:r>
      <w:r>
        <w:rPr>
          <w:spacing w:val="-9"/>
        </w:rPr>
        <w:t>相关事宜。回收房屋由收购主体统筹运营，可转化为</w:t>
      </w:r>
      <w:r>
        <w:rPr>
          <w:spacing w:val="-10"/>
        </w:rPr>
        <w:t>保障</w:t>
      </w:r>
      <w:r>
        <w:t xml:space="preserve"> </w:t>
      </w:r>
      <w:r>
        <w:rPr>
          <w:spacing w:val="-13"/>
        </w:rPr>
        <w:t>性租赁住房、人才房，或按规划纳入城市更新储备房源。开发企</w:t>
      </w:r>
      <w:r>
        <w:rPr>
          <w:spacing w:val="15"/>
        </w:rPr>
        <w:t xml:space="preserve"> </w:t>
      </w:r>
      <w:r>
        <w:rPr>
          <w:spacing w:val="-11"/>
        </w:rPr>
        <w:t>业与参与“以旧换新”的房屋所有权人签订商品房买卖合同后，</w:t>
      </w:r>
      <w:r>
        <w:rPr>
          <w:spacing w:val="12"/>
        </w:rPr>
        <w:t xml:space="preserve"> </w:t>
      </w:r>
      <w:r>
        <w:rPr>
          <w:spacing w:val="-12"/>
        </w:rPr>
        <w:t>即可申请资金兑付，已签订的商品房买卖合同不得撤销。</w:t>
      </w:r>
    </w:p>
    <w:p w14:paraId="417A4C35">
      <w:pPr>
        <w:pStyle w:val="2"/>
        <w:spacing w:line="224" w:lineRule="auto"/>
        <w:ind w:left="774"/>
      </w:pPr>
      <w:r>
        <w:rPr>
          <w:rFonts w:ascii="楷体" w:hAnsi="楷体" w:eastAsia="楷体" w:cs="楷体"/>
          <w:b/>
          <w:bCs/>
          <w:spacing w:val="-8"/>
        </w:rPr>
        <w:t>(三)申报时限。</w:t>
      </w:r>
      <w:r>
        <w:rPr>
          <w:spacing w:val="-8"/>
        </w:rPr>
        <w:t>暂定1年，自本文件执行之日起计</w:t>
      </w:r>
      <w:r>
        <w:rPr>
          <w:spacing w:val="-9"/>
        </w:rPr>
        <w:t>算。</w:t>
      </w:r>
    </w:p>
    <w:p w14:paraId="4CC54644">
      <w:pPr>
        <w:spacing w:before="232" w:line="222" w:lineRule="auto"/>
        <w:ind w:left="6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六、政策支持</w:t>
      </w:r>
    </w:p>
    <w:p w14:paraId="17E0C2C9">
      <w:pPr>
        <w:spacing w:before="195" w:line="507" w:lineRule="exact"/>
        <w:ind w:left="800"/>
        <w:rPr>
          <w:rFonts w:ascii="楷体" w:hAnsi="楷体" w:eastAsia="楷体" w:cs="楷体"/>
          <w:sz w:val="34"/>
          <w:szCs w:val="34"/>
        </w:rPr>
      </w:pPr>
      <w:r>
        <w:rPr>
          <w:rFonts w:ascii="华文行楷" w:hAnsi="华文行楷" w:eastAsia="华文行楷" w:cs="华文行楷"/>
          <w:spacing w:val="-16"/>
          <w:position w:val="3"/>
          <w:sz w:val="34"/>
          <w:szCs w:val="34"/>
        </w:rPr>
        <w:t>(</w:t>
      </w:r>
      <w:r>
        <w:rPr>
          <w:rFonts w:ascii="华文行楷" w:hAnsi="华文行楷" w:eastAsia="华文行楷" w:cs="华文行楷"/>
          <w:spacing w:val="36"/>
          <w:position w:val="3"/>
          <w:sz w:val="34"/>
          <w:szCs w:val="34"/>
        </w:rPr>
        <w:t xml:space="preserve"> </w:t>
      </w:r>
      <w:r>
        <w:rPr>
          <w:rFonts w:ascii="华文行楷" w:hAnsi="华文行楷" w:eastAsia="华文行楷" w:cs="华文行楷"/>
          <w:spacing w:val="-16"/>
          <w:position w:val="3"/>
          <w:sz w:val="34"/>
          <w:szCs w:val="34"/>
        </w:rPr>
        <w:t>一</w:t>
      </w:r>
      <w:r>
        <w:rPr>
          <w:rFonts w:ascii="华文行楷" w:hAnsi="华文行楷" w:eastAsia="华文行楷" w:cs="华文行楷"/>
          <w:spacing w:val="27"/>
          <w:position w:val="3"/>
          <w:sz w:val="34"/>
          <w:szCs w:val="34"/>
        </w:rPr>
        <w:t xml:space="preserve"> </w:t>
      </w:r>
      <w:r>
        <w:rPr>
          <w:rFonts w:ascii="华文行楷" w:hAnsi="华文行楷" w:eastAsia="华文行楷" w:cs="华文行楷"/>
          <w:spacing w:val="-16"/>
          <w:position w:val="3"/>
          <w:sz w:val="34"/>
          <w:szCs w:val="34"/>
        </w:rPr>
        <w:t xml:space="preserve">) </w:t>
      </w:r>
      <w:r>
        <w:rPr>
          <w:rFonts w:ascii="楷体" w:hAnsi="楷体" w:eastAsia="楷体" w:cs="楷体"/>
          <w:b/>
          <w:bCs/>
          <w:spacing w:val="-16"/>
          <w:position w:val="3"/>
          <w:sz w:val="34"/>
          <w:szCs w:val="34"/>
        </w:rPr>
        <w:t>金融支持</w:t>
      </w:r>
    </w:p>
    <w:p w14:paraId="0092F091">
      <w:pPr>
        <w:pStyle w:val="2"/>
        <w:spacing w:before="144" w:line="328" w:lineRule="auto"/>
        <w:ind w:right="61" w:firstLine="639"/>
        <w:jc w:val="both"/>
      </w:pPr>
      <w:r>
        <w:rPr>
          <w:spacing w:val="-25"/>
        </w:rPr>
        <w:t>金融机构应针对“以旧换新”对象，优化信</w:t>
      </w:r>
      <w:r>
        <w:rPr>
          <w:spacing w:val="-26"/>
        </w:rPr>
        <w:t>贷服务，简化审批</w:t>
      </w:r>
      <w:r>
        <w:t xml:space="preserve"> </w:t>
      </w:r>
      <w:r>
        <w:rPr>
          <w:spacing w:val="-13"/>
        </w:rPr>
        <w:t>流程，给予贷款利率优惠或合理提高贷款额度，切实减轻换房资</w:t>
      </w:r>
      <w:r>
        <w:rPr>
          <w:spacing w:val="6"/>
        </w:rPr>
        <w:t xml:space="preserve"> </w:t>
      </w:r>
      <w:r>
        <w:rPr>
          <w:spacing w:val="-18"/>
        </w:rPr>
        <w:t>金压力。</w:t>
      </w:r>
    </w:p>
    <w:p w14:paraId="7F590E1F">
      <w:pPr>
        <w:spacing w:line="227" w:lineRule="auto"/>
        <w:ind w:left="774"/>
        <w:outlineLvl w:val="1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7"/>
          <w:sz w:val="33"/>
          <w:szCs w:val="33"/>
        </w:rPr>
        <w:t>(二)财政与税收优惠</w:t>
      </w:r>
    </w:p>
    <w:p w14:paraId="4C217B1C">
      <w:pPr>
        <w:pStyle w:val="2"/>
        <w:spacing w:before="221" w:line="290" w:lineRule="auto"/>
        <w:ind w:right="73" w:firstLine="639"/>
        <w:rPr>
          <w:sz w:val="35"/>
          <w:szCs w:val="35"/>
        </w:rPr>
      </w:pPr>
      <w:r>
        <w:rPr>
          <w:spacing w:val="-32"/>
          <w:sz w:val="35"/>
          <w:szCs w:val="35"/>
        </w:rPr>
        <w:t>1.企业运营支持政策。对收购符合条件的存量</w:t>
      </w:r>
      <w:r>
        <w:rPr>
          <w:spacing w:val="-33"/>
          <w:sz w:val="35"/>
          <w:szCs w:val="35"/>
        </w:rPr>
        <w:t>商品房和二手</w:t>
      </w:r>
      <w:r>
        <w:rPr>
          <w:sz w:val="35"/>
          <w:szCs w:val="35"/>
        </w:rPr>
        <w:t xml:space="preserve"> </w:t>
      </w:r>
      <w:r>
        <w:rPr>
          <w:spacing w:val="-27"/>
          <w:sz w:val="35"/>
          <w:szCs w:val="35"/>
        </w:rPr>
        <w:t>房的国有企业，给予5年财政贴息补助。贴息补助根据企业当年</w:t>
      </w:r>
      <w:r>
        <w:rPr>
          <w:spacing w:val="1"/>
          <w:sz w:val="35"/>
          <w:szCs w:val="35"/>
        </w:rPr>
        <w:t xml:space="preserve"> </w:t>
      </w:r>
      <w:r>
        <w:rPr>
          <w:spacing w:val="-44"/>
          <w:sz w:val="35"/>
          <w:szCs w:val="35"/>
        </w:rPr>
        <w:t>度为“以旧换新”收购二手房产生的银行贷款利息，按</w:t>
      </w:r>
      <w:r>
        <w:rPr>
          <w:spacing w:val="-45"/>
          <w:sz w:val="35"/>
          <w:szCs w:val="35"/>
        </w:rPr>
        <w:t>一定比例据</w:t>
      </w:r>
      <w:r>
        <w:rPr>
          <w:sz w:val="35"/>
          <w:szCs w:val="35"/>
        </w:rPr>
        <w:t xml:space="preserve"> </w:t>
      </w:r>
      <w:r>
        <w:rPr>
          <w:spacing w:val="-2"/>
          <w:sz w:val="35"/>
          <w:szCs w:val="35"/>
        </w:rPr>
        <w:t>实结算(第一至五年分别补助贷款利息的100%、80%、60%、</w:t>
      </w:r>
      <w:r>
        <w:rPr>
          <w:spacing w:val="7"/>
          <w:sz w:val="35"/>
          <w:szCs w:val="35"/>
        </w:rPr>
        <w:t xml:space="preserve"> </w:t>
      </w:r>
      <w:r>
        <w:rPr>
          <w:spacing w:val="-7"/>
          <w:sz w:val="35"/>
          <w:szCs w:val="35"/>
        </w:rPr>
        <w:t>40%、20%),并与上级补助资金统筹结算。</w:t>
      </w:r>
    </w:p>
    <w:p w14:paraId="23F99CE0">
      <w:pPr>
        <w:pStyle w:val="2"/>
        <w:spacing w:before="261" w:line="293" w:lineRule="auto"/>
        <w:ind w:right="63" w:firstLine="639"/>
        <w:rPr>
          <w:sz w:val="35"/>
          <w:szCs w:val="35"/>
        </w:rPr>
      </w:pPr>
      <w:r>
        <w:rPr>
          <w:spacing w:val="-44"/>
          <w:sz w:val="35"/>
          <w:szCs w:val="35"/>
        </w:rPr>
        <w:t>2.交易税费支持政策。对“收旧换新”企业收购旧房所涉办证</w:t>
      </w:r>
      <w:r>
        <w:rPr>
          <w:spacing w:val="11"/>
          <w:sz w:val="35"/>
          <w:szCs w:val="35"/>
        </w:rPr>
        <w:t xml:space="preserve"> </w:t>
      </w:r>
      <w:r>
        <w:rPr>
          <w:spacing w:val="-22"/>
          <w:sz w:val="35"/>
          <w:szCs w:val="35"/>
        </w:rPr>
        <w:t>税费和已收购住宅再上市所涉增值税、土地增值税地方留存部</w:t>
      </w:r>
      <w:r>
        <w:rPr>
          <w:sz w:val="35"/>
          <w:szCs w:val="35"/>
        </w:rPr>
        <w:t xml:space="preserve"> </w:t>
      </w:r>
      <w:r>
        <w:rPr>
          <w:spacing w:val="-27"/>
          <w:sz w:val="35"/>
          <w:szCs w:val="35"/>
        </w:rPr>
        <w:t>分，由财政全额返还；对出售自有住房并在现住房出售后1年内</w:t>
      </w:r>
      <w:r>
        <w:rPr>
          <w:spacing w:val="11"/>
          <w:sz w:val="35"/>
          <w:szCs w:val="35"/>
        </w:rPr>
        <w:t xml:space="preserve"> </w:t>
      </w:r>
      <w:r>
        <w:rPr>
          <w:spacing w:val="-33"/>
          <w:sz w:val="35"/>
          <w:szCs w:val="35"/>
        </w:rPr>
        <w:t>在市场重新购买住房的纳税人，其出售现住房</w:t>
      </w:r>
      <w:r>
        <w:rPr>
          <w:spacing w:val="-34"/>
          <w:sz w:val="35"/>
          <w:szCs w:val="35"/>
        </w:rPr>
        <w:t>已缴纳的个人所得</w:t>
      </w:r>
      <w:r>
        <w:rPr>
          <w:sz w:val="35"/>
          <w:szCs w:val="35"/>
        </w:rPr>
        <w:t xml:space="preserve"> </w:t>
      </w:r>
      <w:r>
        <w:rPr>
          <w:spacing w:val="-33"/>
          <w:sz w:val="35"/>
          <w:szCs w:val="35"/>
        </w:rPr>
        <w:t>税依法予以退还。同时，对企业参与“以旧换新”收购旧房产生</w:t>
      </w:r>
    </w:p>
    <w:p w14:paraId="401BA21E">
      <w:pPr>
        <w:spacing w:line="293" w:lineRule="auto"/>
        <w:rPr>
          <w:sz w:val="35"/>
          <w:szCs w:val="35"/>
        </w:rPr>
        <w:sectPr>
          <w:footerReference r:id="rId8" w:type="default"/>
          <w:pgSz w:w="11900" w:h="16830"/>
          <w:pgMar w:top="1430" w:right="1454" w:bottom="1136" w:left="1499" w:header="0" w:footer="959" w:gutter="0"/>
          <w:cols w:space="720" w:num="1"/>
        </w:sectPr>
      </w:pPr>
    </w:p>
    <w:p w14:paraId="5072F244">
      <w:pPr>
        <w:spacing w:line="245" w:lineRule="auto"/>
        <w:rPr>
          <w:rFonts w:ascii="Arial"/>
          <w:sz w:val="21"/>
        </w:rPr>
      </w:pPr>
    </w:p>
    <w:p w14:paraId="53873F3D">
      <w:pPr>
        <w:spacing w:line="245" w:lineRule="auto"/>
        <w:rPr>
          <w:rFonts w:ascii="Arial"/>
          <w:sz w:val="21"/>
        </w:rPr>
      </w:pPr>
    </w:p>
    <w:p w14:paraId="2060AA39">
      <w:pPr>
        <w:pStyle w:val="2"/>
        <w:spacing w:before="107" w:line="222" w:lineRule="auto"/>
      </w:pPr>
      <w:r>
        <w:rPr>
          <w:spacing w:val="-17"/>
        </w:rPr>
        <w:t>的税费，按规定予以减免。</w:t>
      </w:r>
    </w:p>
    <w:p w14:paraId="1C09BC53">
      <w:pPr>
        <w:pStyle w:val="2"/>
        <w:spacing w:before="232" w:line="324" w:lineRule="auto"/>
        <w:ind w:right="8" w:firstLine="639"/>
        <w:jc w:val="both"/>
      </w:pPr>
      <w:r>
        <w:rPr>
          <w:spacing w:val="-15"/>
        </w:rPr>
        <w:t>3.个人补贴支持政策。对购买新房的家庭，按新房价款给予</w:t>
      </w:r>
      <w:r>
        <w:rPr>
          <w:spacing w:val="10"/>
        </w:rPr>
        <w:t xml:space="preserve"> </w:t>
      </w:r>
      <w:r>
        <w:rPr>
          <w:spacing w:val="3"/>
        </w:rPr>
        <w:t>2%的购房补贴(按《持续稳定岳阳市城区新建商品房消费政策</w:t>
      </w:r>
      <w:r>
        <w:rPr>
          <w:spacing w:val="4"/>
        </w:rPr>
        <w:t xml:space="preserve"> </w:t>
      </w:r>
      <w:r>
        <w:rPr>
          <w:spacing w:val="-18"/>
        </w:rPr>
        <w:t>措施》执行),支持“以旧换新”家庭享受首套房贷款利率优惠。</w:t>
      </w:r>
    </w:p>
    <w:p w14:paraId="556D1D0D">
      <w:pPr>
        <w:spacing w:before="42" w:line="222" w:lineRule="auto"/>
        <w:ind w:left="66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七、工作保障</w:t>
      </w:r>
    </w:p>
    <w:p w14:paraId="74555117">
      <w:pPr>
        <w:pStyle w:val="2"/>
        <w:spacing w:before="194" w:line="332" w:lineRule="auto"/>
        <w:ind w:firstLine="804"/>
        <w:jc w:val="both"/>
      </w:pPr>
      <w:r>
        <w:rPr>
          <w:rFonts w:ascii="楷体" w:hAnsi="楷体" w:eastAsia="楷体" w:cs="楷体"/>
          <w:b/>
          <w:bCs/>
          <w:spacing w:val="-13"/>
        </w:rPr>
        <w:t>(一)成立组织机构。</w:t>
      </w:r>
      <w:r>
        <w:rPr>
          <w:rFonts w:ascii="楷体" w:hAnsi="楷体" w:eastAsia="楷体" w:cs="楷体"/>
          <w:spacing w:val="-75"/>
        </w:rPr>
        <w:t xml:space="preserve"> </w:t>
      </w:r>
      <w:r>
        <w:rPr>
          <w:spacing w:val="-13"/>
        </w:rPr>
        <w:t>由市政府成立协调机构，市住建局牵</w:t>
      </w:r>
      <w:r>
        <w:t xml:space="preserve"> </w:t>
      </w:r>
      <w:r>
        <w:rPr>
          <w:spacing w:val="-15"/>
        </w:rPr>
        <w:t>头，市总工会、财政、税务、资规等部门协同，统筹协</w:t>
      </w:r>
      <w:r>
        <w:rPr>
          <w:spacing w:val="-16"/>
        </w:rPr>
        <w:t>调重大事</w:t>
      </w:r>
      <w:r>
        <w:t xml:space="preserve"> </w:t>
      </w:r>
      <w:r>
        <w:rPr>
          <w:spacing w:val="-17"/>
        </w:rPr>
        <w:t>项。</w:t>
      </w:r>
    </w:p>
    <w:p w14:paraId="691AC2A3">
      <w:pPr>
        <w:pStyle w:val="2"/>
        <w:spacing w:before="4" w:line="320" w:lineRule="auto"/>
        <w:ind w:right="44" w:firstLine="669"/>
        <w:rPr>
          <w:sz w:val="35"/>
          <w:szCs w:val="35"/>
        </w:rPr>
      </w:pPr>
      <w:r>
        <w:rPr>
          <w:spacing w:val="-38"/>
          <w:sz w:val="35"/>
          <w:szCs w:val="35"/>
        </w:rPr>
        <w:t>市总工会：负责统筹协调各单位工会组织发动会员参与住房</w:t>
      </w:r>
      <w:r>
        <w:rPr>
          <w:spacing w:val="15"/>
          <w:sz w:val="35"/>
          <w:szCs w:val="35"/>
        </w:rPr>
        <w:t xml:space="preserve"> </w:t>
      </w:r>
      <w:r>
        <w:rPr>
          <w:spacing w:val="-36"/>
          <w:sz w:val="35"/>
          <w:szCs w:val="35"/>
        </w:rPr>
        <w:t>以旧换新的申报工作。</w:t>
      </w:r>
    </w:p>
    <w:p w14:paraId="7357B44E">
      <w:pPr>
        <w:pStyle w:val="2"/>
        <w:spacing w:before="33" w:line="318" w:lineRule="auto"/>
        <w:ind w:right="33" w:firstLine="669"/>
      </w:pPr>
      <w:r>
        <w:rPr>
          <w:spacing w:val="-29"/>
        </w:rPr>
        <w:t>市住建局：负责“以旧换新”平台和房源库的建设，卖旧买新</w:t>
      </w:r>
      <w:r>
        <w:rPr>
          <w:spacing w:val="10"/>
        </w:rPr>
        <w:t xml:space="preserve"> </w:t>
      </w:r>
      <w:r>
        <w:rPr>
          <w:spacing w:val="-17"/>
        </w:rPr>
        <w:t>购房补贴申报受理工作。</w:t>
      </w:r>
    </w:p>
    <w:p w14:paraId="572D4551">
      <w:pPr>
        <w:pStyle w:val="2"/>
        <w:spacing w:before="21" w:line="336" w:lineRule="auto"/>
        <w:ind w:right="9" w:firstLine="669"/>
        <w:jc w:val="both"/>
      </w:pPr>
      <w:r>
        <w:rPr>
          <w:spacing w:val="-16"/>
        </w:rPr>
        <w:t>市委人才办：负责对毕业年度在岳创业大学生、青年人</w:t>
      </w:r>
      <w:r>
        <w:rPr>
          <w:spacing w:val="-17"/>
        </w:rPr>
        <w:t>才及</w:t>
      </w:r>
      <w:r>
        <w:t xml:space="preserve"> </w:t>
      </w:r>
      <w:r>
        <w:rPr>
          <w:spacing w:val="-3"/>
        </w:rPr>
        <w:t>高层次人才对象资格审核，受理购买新建商品住房购</w:t>
      </w:r>
      <w:r>
        <w:rPr>
          <w:spacing w:val="-4"/>
        </w:rPr>
        <w:t>房补贴申</w:t>
      </w:r>
      <w:r>
        <w:t xml:space="preserve"> </w:t>
      </w:r>
      <w:r>
        <w:rPr>
          <w:spacing w:val="-11"/>
        </w:rPr>
        <w:t>请。</w:t>
      </w:r>
    </w:p>
    <w:p w14:paraId="42B353DE">
      <w:pPr>
        <w:pStyle w:val="2"/>
        <w:spacing w:before="1" w:line="335" w:lineRule="auto"/>
        <w:ind w:right="7" w:firstLine="669"/>
      </w:pPr>
      <w:r>
        <w:rPr>
          <w:spacing w:val="-16"/>
        </w:rPr>
        <w:t>市财政局：负责企业和个人相关补贴资金税费返还资金的保</w:t>
      </w:r>
      <w:r>
        <w:t xml:space="preserve"> </w:t>
      </w:r>
      <w:r>
        <w:rPr>
          <w:spacing w:val="-27"/>
        </w:rPr>
        <w:t>障和发放，安排住宅“以旧换新”平台建设的专项经费。</w:t>
      </w:r>
    </w:p>
    <w:p w14:paraId="2DFCD999">
      <w:pPr>
        <w:pStyle w:val="2"/>
        <w:spacing w:line="220" w:lineRule="auto"/>
        <w:ind w:left="669"/>
        <w:rPr>
          <w:sz w:val="32"/>
          <w:szCs w:val="32"/>
        </w:rPr>
      </w:pPr>
      <w:r>
        <w:rPr>
          <w:spacing w:val="-6"/>
          <w:sz w:val="32"/>
          <w:szCs w:val="32"/>
        </w:rPr>
        <w:t>市资规局：负责做好住房不动产登记工作。</w:t>
      </w:r>
    </w:p>
    <w:p w14:paraId="174FB0FE">
      <w:pPr>
        <w:pStyle w:val="2"/>
        <w:spacing w:before="262" w:line="327" w:lineRule="auto"/>
        <w:ind w:right="3" w:firstLine="669"/>
        <w:rPr>
          <w:sz w:val="32"/>
          <w:szCs w:val="32"/>
        </w:rPr>
      </w:pPr>
      <w:r>
        <w:rPr>
          <w:spacing w:val="6"/>
          <w:sz w:val="32"/>
          <w:szCs w:val="32"/>
        </w:rPr>
        <w:t>市国资委：负责督促市城投集团和市城运集团落实收购责</w:t>
      </w:r>
      <w:r>
        <w:rPr>
          <w:spacing w:val="17"/>
          <w:sz w:val="32"/>
          <w:szCs w:val="32"/>
        </w:rPr>
        <w:t xml:space="preserve"> </w:t>
      </w:r>
      <w:r>
        <w:rPr>
          <w:spacing w:val="-21"/>
          <w:sz w:val="32"/>
          <w:szCs w:val="32"/>
        </w:rPr>
        <w:t>任，加强对房屋“以旧换新”工作日常监督。</w:t>
      </w:r>
    </w:p>
    <w:p w14:paraId="2F32B34B">
      <w:pPr>
        <w:pStyle w:val="2"/>
        <w:spacing w:before="62" w:line="329" w:lineRule="auto"/>
        <w:ind w:right="25" w:firstLine="669"/>
        <w:rPr>
          <w:sz w:val="32"/>
          <w:szCs w:val="32"/>
        </w:rPr>
      </w:pPr>
      <w:r>
        <w:rPr>
          <w:spacing w:val="-7"/>
          <w:sz w:val="32"/>
          <w:szCs w:val="32"/>
        </w:rPr>
        <w:t>市税务局：负责落实交易环节相关税费的征、退工作，协助</w:t>
      </w:r>
      <w:r>
        <w:rPr>
          <w:spacing w:val="7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财政部门做好税费返还工作。</w:t>
      </w:r>
    </w:p>
    <w:p w14:paraId="1EE93915">
      <w:pPr>
        <w:spacing w:line="329" w:lineRule="auto"/>
        <w:rPr>
          <w:sz w:val="32"/>
          <w:szCs w:val="32"/>
        </w:rPr>
        <w:sectPr>
          <w:footerReference r:id="rId9" w:type="default"/>
          <w:pgSz w:w="11900" w:h="16830"/>
          <w:pgMar w:top="1430" w:right="1637" w:bottom="1207" w:left="1420" w:header="0" w:footer="1003" w:gutter="0"/>
          <w:cols w:space="720" w:num="1"/>
        </w:sectPr>
      </w:pPr>
    </w:p>
    <w:p w14:paraId="48FFB796">
      <w:pPr>
        <w:spacing w:line="395" w:lineRule="auto"/>
        <w:rPr>
          <w:rFonts w:ascii="Arial"/>
          <w:sz w:val="21"/>
        </w:rPr>
      </w:pPr>
    </w:p>
    <w:p w14:paraId="00AD2D5B">
      <w:pPr>
        <w:pStyle w:val="2"/>
        <w:spacing w:before="107" w:line="337" w:lineRule="auto"/>
        <w:ind w:right="154" w:firstLine="649"/>
      </w:pPr>
      <w:r>
        <w:rPr>
          <w:spacing w:val="-16"/>
        </w:rPr>
        <w:t>国家金融监督管理总局岳阳监管分局：负责指导并协调商业</w:t>
      </w:r>
      <w:r>
        <w:rPr>
          <w:spacing w:val="15"/>
        </w:rPr>
        <w:t xml:space="preserve"> </w:t>
      </w:r>
      <w:r>
        <w:rPr>
          <w:spacing w:val="-14"/>
        </w:rPr>
        <w:t>银行支持全市二手住房收购的融资政策。</w:t>
      </w:r>
    </w:p>
    <w:p w14:paraId="6AF4E6E3">
      <w:pPr>
        <w:pStyle w:val="2"/>
        <w:spacing w:before="11" w:line="310" w:lineRule="auto"/>
        <w:ind w:firstLine="649"/>
        <w:jc w:val="both"/>
        <w:rPr>
          <w:sz w:val="35"/>
          <w:szCs w:val="35"/>
        </w:rPr>
      </w:pPr>
      <w:r>
        <w:rPr>
          <w:spacing w:val="-42"/>
          <w:sz w:val="35"/>
          <w:szCs w:val="35"/>
        </w:rPr>
        <w:t>岳阳楼区、君山区、云溪区政府，岳阳经开区、临港高新区、</w:t>
      </w:r>
      <w:r>
        <w:rPr>
          <w:spacing w:val="17"/>
          <w:sz w:val="35"/>
          <w:szCs w:val="35"/>
        </w:rPr>
        <w:t xml:space="preserve"> </w:t>
      </w:r>
      <w:r>
        <w:rPr>
          <w:spacing w:val="-35"/>
          <w:sz w:val="35"/>
          <w:szCs w:val="35"/>
        </w:rPr>
        <w:t>南湖新区管委会：负责所属范围内住房“以旧换新”宣传发动工</w:t>
      </w:r>
      <w:r>
        <w:rPr>
          <w:spacing w:val="9"/>
          <w:sz w:val="35"/>
          <w:szCs w:val="35"/>
        </w:rPr>
        <w:t xml:space="preserve"> </w:t>
      </w:r>
      <w:r>
        <w:rPr>
          <w:spacing w:val="-29"/>
          <w:sz w:val="35"/>
          <w:szCs w:val="35"/>
        </w:rPr>
        <w:t>作。</w:t>
      </w:r>
    </w:p>
    <w:p w14:paraId="76DC72AD">
      <w:pPr>
        <w:pStyle w:val="2"/>
        <w:spacing w:before="63" w:line="333" w:lineRule="auto"/>
        <w:ind w:right="140" w:firstLine="649"/>
        <w:rPr>
          <w:sz w:val="32"/>
          <w:szCs w:val="32"/>
        </w:rPr>
      </w:pPr>
      <w:r>
        <w:rPr>
          <w:spacing w:val="-5"/>
          <w:sz w:val="32"/>
          <w:szCs w:val="32"/>
        </w:rPr>
        <w:t>市城投集团和市城运集团：负责筹措资金用于旧房的收购和</w:t>
      </w:r>
      <w:r>
        <w:rPr>
          <w:spacing w:val="3"/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运营。</w:t>
      </w:r>
    </w:p>
    <w:p w14:paraId="2AB37013">
      <w:pPr>
        <w:pStyle w:val="2"/>
        <w:spacing w:before="37" w:line="293" w:lineRule="auto"/>
        <w:ind w:right="111" w:firstLine="794"/>
      </w:pPr>
      <w:r>
        <w:rPr>
          <w:rFonts w:ascii="楷体" w:hAnsi="楷体" w:eastAsia="楷体" w:cs="楷体"/>
          <w:b/>
          <w:bCs/>
          <w:spacing w:val="5"/>
        </w:rPr>
        <w:t>(二)强化宣传引导。</w:t>
      </w:r>
      <w:r>
        <w:rPr>
          <w:spacing w:val="5"/>
        </w:rPr>
        <w:t>市总工会和相关区政</w:t>
      </w:r>
      <w:r>
        <w:rPr>
          <w:spacing w:val="4"/>
        </w:rPr>
        <w:t>府(管委会)切</w:t>
      </w:r>
      <w:r>
        <w:t xml:space="preserve"> </w:t>
      </w:r>
      <w:r>
        <w:rPr>
          <w:spacing w:val="-15"/>
        </w:rPr>
        <w:t>实发挥组织作用，及时解读政策，广泛宣传发动，提高政策知晓</w:t>
      </w:r>
      <w:r>
        <w:rPr>
          <w:spacing w:val="11"/>
        </w:rPr>
        <w:t xml:space="preserve"> </w:t>
      </w:r>
      <w:r>
        <w:rPr>
          <w:spacing w:val="-26"/>
        </w:rPr>
        <w:t>度与参与度。</w:t>
      </w:r>
    </w:p>
    <w:p w14:paraId="12D30FA9">
      <w:pPr>
        <w:pStyle w:val="2"/>
        <w:spacing w:before="220" w:line="294" w:lineRule="auto"/>
        <w:ind w:right="125" w:firstLine="794"/>
      </w:pPr>
      <w:r>
        <w:rPr>
          <w:rFonts w:ascii="楷体" w:hAnsi="楷体" w:eastAsia="楷体" w:cs="楷体"/>
          <w:b/>
          <w:bCs/>
          <w:spacing w:val="-9"/>
        </w:rPr>
        <w:t>(三)加强监督管理。</w:t>
      </w:r>
      <w:r>
        <w:rPr>
          <w:spacing w:val="-9"/>
        </w:rPr>
        <w:t>纪检监察部门实施全程监督，严厉查</w:t>
      </w:r>
      <w:r>
        <w:rPr>
          <w:spacing w:val="13"/>
        </w:rPr>
        <w:t xml:space="preserve"> </w:t>
      </w:r>
      <w:r>
        <w:rPr>
          <w:spacing w:val="-14"/>
        </w:rPr>
        <w:t>处虚假申报、利益输送等违规行为，市国资委加强对国有企业收</w:t>
      </w:r>
      <w:r>
        <w:rPr>
          <w:spacing w:val="10"/>
        </w:rPr>
        <w:t xml:space="preserve"> </w:t>
      </w:r>
      <w:r>
        <w:rPr>
          <w:spacing w:val="-11"/>
        </w:rPr>
        <w:t>购工作的监督指导，保障政策在公开透明的</w:t>
      </w:r>
      <w:r>
        <w:rPr>
          <w:spacing w:val="-12"/>
        </w:rPr>
        <w:t>环境下有效执行。</w:t>
      </w:r>
    </w:p>
    <w:p w14:paraId="0AD3B772">
      <w:pPr>
        <w:spacing w:before="203" w:line="222" w:lineRule="auto"/>
        <w:ind w:left="64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八、附则</w:t>
      </w:r>
    </w:p>
    <w:p w14:paraId="77444384">
      <w:pPr>
        <w:pStyle w:val="2"/>
        <w:spacing w:before="201" w:line="342" w:lineRule="auto"/>
        <w:ind w:right="69" w:firstLine="649"/>
        <w:sectPr>
          <w:footerReference r:id="rId10" w:type="default"/>
          <w:pgSz w:w="11900" w:h="16830"/>
          <w:pgMar w:top="1430" w:right="1465" w:bottom="1242" w:left="1450" w:header="0" w:footer="1084" w:gutter="0"/>
          <w:cols w:space="720" w:num="1"/>
        </w:sectPr>
      </w:pPr>
      <w:r>
        <w:rPr>
          <w:spacing w:val="-12"/>
        </w:rPr>
        <w:t>本方案具体实施细则由各成员单位制定，并报市</w:t>
      </w:r>
      <w:r>
        <w:rPr>
          <w:spacing w:val="-13"/>
        </w:rPr>
        <w:t>政府备案。</w:t>
      </w:r>
      <w:r>
        <w:t xml:space="preserve"> </w:t>
      </w:r>
      <w:r>
        <w:rPr>
          <w:spacing w:val="-23"/>
        </w:rPr>
        <w:t>若有未尽事宜，依照国家相关法律法规及地方有关政策执</w:t>
      </w:r>
      <w:r>
        <w:rPr>
          <w:spacing w:val="-24"/>
        </w:rPr>
        <w:t>行。</w:t>
      </w:r>
    </w:p>
    <w:p w14:paraId="52FAB5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FAD7B">
    <w:pPr>
      <w:spacing w:line="182" w:lineRule="auto"/>
      <w:ind w:left="4339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sz w:val="15"/>
        <w:szCs w:val="15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F722C">
    <w:pPr>
      <w:spacing w:line="194" w:lineRule="exact"/>
      <w:ind w:left="4390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position w:val="1"/>
        <w:sz w:val="15"/>
        <w:szCs w:val="15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E7ACC">
    <w:pPr>
      <w:spacing w:line="174" w:lineRule="auto"/>
      <w:ind w:left="437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C1D3B">
    <w:pPr>
      <w:spacing w:line="167" w:lineRule="exact"/>
      <w:ind w:left="4420"/>
      <w:rPr>
        <w:rFonts w:ascii="Arial" w:hAnsi="Arial" w:eastAsia="Arial" w:cs="Arial"/>
        <w:sz w:val="13"/>
        <w:szCs w:val="13"/>
      </w:rPr>
    </w:pPr>
    <w:r>
      <w:rPr>
        <w:rFonts w:ascii="Arial" w:hAnsi="Arial" w:eastAsia="Arial" w:cs="Arial"/>
        <w:position w:val="1"/>
        <w:sz w:val="13"/>
        <w:szCs w:val="13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10789">
    <w:pPr>
      <w:spacing w:line="194" w:lineRule="exact"/>
      <w:ind w:left="4450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position w:val="1"/>
        <w:sz w:val="15"/>
        <w:szCs w:val="15"/>
      </w:rPr>
      <w:t>6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1D6A0">
    <w:pPr>
      <w:spacing w:line="181" w:lineRule="auto"/>
      <w:ind w:left="4380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z w:val="17"/>
        <w:szCs w:val="17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C1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2026-09-21T07:45:38Z</dcterms:created>
  <dc:creator>80464</dc:creator>
  <cp:lastModifiedBy>牛真诚</cp:lastModifiedBy>
  <dcterms:modified xsi:type="dcterms:W3CDTF">2026-09-21T07:46:02Z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eyJoZGlkIjoiYTc2NGY3MzA3NGIxNDAxNmE1N2MyMTllYzBlZmRkOTgiLCJ1c2VySWQiOiIxMTU2NTgzODAyIn0=</vt:lpwstr>
  </property>
  <property fmtid="{D5CDD505-2E9C-101B-9397-08002B2CF9AE}" pid="4" name="ICV">
    <vt:lpwstr>34AB2276111B4186B27E42032C583A45_12</vt:lpwstr>
  </property>
</Properties>
</file>