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F9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附件1</w:t>
      </w:r>
    </w:p>
    <w:p w14:paraId="4F4E4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0A85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新田县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中小学生统一校服款式设计模板</w:t>
      </w:r>
    </w:p>
    <w:p w14:paraId="5C7FA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D008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（请严格按此范例提交，文件命名：校服类型＋作者姓名或团队名称，如“春秋装＋张三”）</w:t>
      </w:r>
    </w:p>
    <w:p w14:paraId="59721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CAFF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一、设计说明模板</w:t>
      </w:r>
    </w:p>
    <w:p w14:paraId="643B7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1.校服类型</w:t>
      </w:r>
    </w:p>
    <w:p w14:paraId="15FEA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春秋装□  夏装□  冬装□</w:t>
      </w:r>
    </w:p>
    <w:p w14:paraId="174B6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2.设计理念（含文化元素提取和应用位置等，200字以内）</w:t>
      </w:r>
    </w:p>
    <w:p w14:paraId="456AF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示例：夏装上衣为静蓝色POLO衫，采用插肩袖宽松版型，兼顾学生日常活动的舒适度与灵活性。下装搭配深色长裤，款式简洁大方，适合不同体型学生穿着。上衣设计以深蓝白条撞色罗纹领为亮点，肩部拼接亮白色线条，增添视觉层次感，契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各学段学生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青春活力的气质。面料选用珠地网眼材质，质地细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密、手感柔软，具备优良的吸湿排汗性能。</w:t>
      </w:r>
    </w:p>
    <w:p w14:paraId="51E486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3.面料选择</w:t>
      </w:r>
    </w:p>
    <w:p w14:paraId="6B02D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" w:firstLineChars="200"/>
        <w:textAlignment w:val="auto"/>
        <w:rPr>
          <w:rFonts w:ascii="仿宋_GB2312" w:hAnsi="仿宋_GB2312" w:eastAsia="仿宋_GB2312" w:cs="仿宋_GB2312"/>
          <w:b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（设计选择面料必须符合《中小学生校服》（GB/T31888-2015）、《国家纺织产品基本安全技术规范》（GB18401-2010）、《婴幼儿及儿童纺织产品安全技术规范》（GB31701-2015）、《消费品使用说明 第4部分：纺织品和服装》（GB/T5296.4-2012）等国家标准）</w:t>
      </w:r>
    </w:p>
    <w:tbl>
      <w:tblPr>
        <w:tblStyle w:val="2"/>
        <w:tblW w:w="9668" w:type="dxa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670"/>
        <w:gridCol w:w="834"/>
        <w:gridCol w:w="2137"/>
        <w:gridCol w:w="3225"/>
        <w:gridCol w:w="885"/>
        <w:gridCol w:w="573"/>
        <w:gridCol w:w="833"/>
      </w:tblGrid>
      <w:tr w14:paraId="1FE35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6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404D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国标小标宋" w:hAnsi="国标小标宋" w:eastAsia="国标小标宋" w:cs="国标小标宋"/>
                <w:i w:val="0"/>
                <w:iCs w:val="0"/>
                <w:color w:val="292929"/>
                <w:kern w:val="0"/>
                <w:sz w:val="32"/>
                <w:szCs w:val="32"/>
                <w:u w:val="none"/>
                <w:lang w:val="en-US" w:eastAsia="zh-CN" w:bidi="ar"/>
              </w:rPr>
              <w:t>新田县中小学生校服指导价格（基础款）</w:t>
            </w:r>
          </w:p>
        </w:tc>
      </w:tr>
      <w:tr w14:paraId="42AF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A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F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2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面料名称</w:t>
            </w: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3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面料成分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A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最高</w:t>
            </w:r>
          </w:p>
          <w:p w14:paraId="494C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指导价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E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  <w:tr w14:paraId="1A33B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4D870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15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ED5CC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2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FA379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3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C16B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E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(元件)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F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（元/套）</w:t>
            </w:r>
          </w:p>
        </w:tc>
      </w:tr>
      <w:tr w14:paraId="1BD2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8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2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夏装</w:t>
            </w:r>
          </w:p>
        </w:tc>
        <w:tc>
          <w:tcPr>
            <w:tcW w:w="8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7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上衣</w:t>
            </w:r>
          </w:p>
        </w:tc>
        <w:tc>
          <w:tcPr>
            <w:tcW w:w="21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1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双珠地网眼布</w:t>
            </w:r>
          </w:p>
        </w:tc>
        <w:tc>
          <w:tcPr>
            <w:tcW w:w="32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E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≥65%棉≤35%聚酯纤维≥210g/㎡</w:t>
            </w:r>
          </w:p>
        </w:tc>
        <w:tc>
          <w:tcPr>
            <w:tcW w:w="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3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443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83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538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以上为指导价格上限，投稿人设计方案报价不得超过该标准。最终面料参数及单价以最终审定为准。</w:t>
            </w:r>
          </w:p>
        </w:tc>
      </w:tr>
      <w:tr w14:paraId="73092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C8DC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2BE8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C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下装</w:t>
            </w:r>
          </w:p>
        </w:tc>
        <w:tc>
          <w:tcPr>
            <w:tcW w:w="21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6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涤盖棉</w:t>
            </w:r>
          </w:p>
        </w:tc>
        <w:tc>
          <w:tcPr>
            <w:tcW w:w="32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B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≥62%棉≤38%聚酯纤维≥210g/㎡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0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79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07AB6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</w:tr>
      <w:tr w14:paraId="145D3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2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2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春秋装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5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上衣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9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涤盖棉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4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≥60%棉≤40%聚酯纤维,≥3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0g/㎡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0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F7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870DC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</w:tr>
      <w:tr w14:paraId="75A1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B82D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A87A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A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下装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1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涤盖棉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E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≥60%棉≤40%聚酯纤维,≥3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0g/㎡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5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A2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FB341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</w:tr>
      <w:tr w14:paraId="190D2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E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1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冬装</w:t>
            </w: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7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三合一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冲锋衣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（一）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6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外层：150D*150D高弹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5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聚酯纤维，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g/㎡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3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21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2BBC1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</w:tr>
      <w:tr w14:paraId="0776D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C333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34E0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9FF5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E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里料：丝光绒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3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聚酯纤维，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 w:bidi="ar"/>
              </w:rPr>
              <w:t>170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g/㎡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4D5A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604AB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BD774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</w:tr>
      <w:tr w14:paraId="1E436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AF15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335C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457B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C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内胆：摇粒绒复合超柔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9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聚酯纤维，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0"/>
                <w:szCs w:val="20"/>
                <w:u w:val="none"/>
                <w:lang w:val="en-US" w:eastAsia="zh-CN" w:bidi="ar"/>
              </w:rPr>
              <w:t>320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g/㎡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9D8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2BFEF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701DE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</w:tr>
      <w:tr w14:paraId="2A12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09F8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C59C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8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加绒裤</w:t>
            </w:r>
          </w:p>
        </w:tc>
        <w:tc>
          <w:tcPr>
            <w:tcW w:w="5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3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外层：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≤95%聚酯纤维≥5%氨纶</w:t>
            </w:r>
          </w:p>
        </w:tc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E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13301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56D5B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</w:tr>
      <w:tr w14:paraId="1361A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23E4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25A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0885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8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内层：摇粒绒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7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%聚酯纤维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kern w:val="0"/>
                <w:sz w:val="20"/>
                <w:szCs w:val="20"/>
                <w:u w:val="none"/>
                <w:lang w:val="en-US" w:eastAsia="zh-CN" w:bidi="ar"/>
              </w:rPr>
              <w:t>g/㎡</w:t>
            </w:r>
          </w:p>
        </w:tc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3DE0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CDC11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B58C0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292929"/>
                <w:sz w:val="16"/>
                <w:szCs w:val="16"/>
                <w:u w:val="none"/>
              </w:rPr>
            </w:pPr>
          </w:p>
        </w:tc>
      </w:tr>
      <w:tr w14:paraId="09E0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39F04">
            <w:pPr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5CF88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二、设计图要求</w:t>
      </w:r>
    </w:p>
    <w:p w14:paraId="72643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内容。包括但不限于彩色效果图（成衣正面、背面、侧面彩色图样及着装效果图，可提供图文、PPT或短视频、服装设计款式图，如纽扣、口袋、校徽位置等）；须写明校服颜色所对应的潘通色卡具体版本及色号；面料小样照片或实物说明（标注面料成分及克重）;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预留出直径不超过5cm的校徽图案于左胸位置。</w:t>
      </w:r>
    </w:p>
    <w:p w14:paraId="3D651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2.尺寸规范。校服工艺图（附件2）、校服效果图（附件3）尺寸统一为A3尺寸（297MM×420MM、横竖版构图皆可），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分辨率不低于300dpi，确保图案清晰、色彩还原度高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5F35C1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668D2"/>
    <w:rsid w:val="07F35159"/>
    <w:rsid w:val="0F7B4AA5"/>
    <w:rsid w:val="235B04BA"/>
    <w:rsid w:val="3FCE2BE7"/>
    <w:rsid w:val="4A831768"/>
    <w:rsid w:val="643B19AE"/>
    <w:rsid w:val="6C7D6A86"/>
    <w:rsid w:val="6E7F5771"/>
    <w:rsid w:val="73F02F9C"/>
    <w:rsid w:val="7564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846</Words>
  <Characters>1005</Characters>
  <Lines>0</Lines>
  <Paragraphs>0</Paragraphs>
  <TotalTime>12</TotalTime>
  <ScaleCrop>false</ScaleCrop>
  <LinksUpToDate>false</LinksUpToDate>
  <CharactersWithSpaces>1010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2026-06-29T11:46:00Z</dcterms:created>
  <dc:creator>天花板破了</dc:creator>
  <cp:lastModifiedBy>渺小</cp:lastModifiedBy>
  <cp:lastPrinted>2026-09-11T04:58:00Z</cp:lastPrinted>
  <dcterms:modified xsi:type="dcterms:W3CDTF">2026-09-15T09:38:14Z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eyJoZGlkIjoiNGIwZjM4ZjM1YTUzOGE0NjE4MGIxMThkOWYyNTg1MjIiLCJ1c2VySWQiOiIyOTU4MzY1MTMifQ==</vt:lpwstr>
  </property>
  <property fmtid="{D5CDD505-2E9C-101B-9397-08002B2CF9AE}" pid="4" name="ICV">
    <vt:lpwstr>DC4E61485415400597C4A56892612DC8_13</vt:lpwstr>
  </property>
</Properties>
</file>