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44EE1">
      <w:pPr>
        <w:pStyle w:val="14"/>
        <w:jc w:val="center"/>
        <w:rPr>
          <w:rFonts w:ascii="Times New Roman" w:hAnsi="Times New Roman" w:cs="Times New Roman"/>
          <w:sz w:val="56"/>
          <w:szCs w:val="56"/>
        </w:rPr>
      </w:pPr>
    </w:p>
    <w:p w14:paraId="1CCD02E0">
      <w:pPr>
        <w:pStyle w:val="14"/>
        <w:jc w:val="center"/>
        <w:rPr>
          <w:rFonts w:ascii="Times New Roman" w:hAnsi="Times New Roman" w:cs="Times New Roman"/>
          <w:sz w:val="56"/>
          <w:szCs w:val="56"/>
        </w:rPr>
      </w:pPr>
    </w:p>
    <w:p w14:paraId="78811934">
      <w:pPr>
        <w:pStyle w:val="14"/>
        <w:jc w:val="center"/>
        <w:rPr>
          <w:rFonts w:ascii="Times New Roman" w:hAnsi="Times New Roman" w:cs="Times New Roman"/>
          <w:sz w:val="84"/>
          <w:szCs w:val="84"/>
        </w:rPr>
      </w:pPr>
    </w:p>
    <w:p w14:paraId="0440A68E">
      <w:pPr>
        <w:pStyle w:val="14"/>
        <w:jc w:val="center"/>
        <w:rPr>
          <w:rFonts w:ascii="Times New Roman" w:hAnsi="Times New Roman" w:cs="Times New Roman"/>
          <w:sz w:val="84"/>
          <w:szCs w:val="84"/>
        </w:rPr>
      </w:pPr>
    </w:p>
    <w:p w14:paraId="1FFE5224">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lang w:val="en-US" w:eastAsia="zh-CN"/>
        </w:rPr>
        <w:t>5</w:t>
      </w:r>
      <w:r>
        <w:rPr>
          <w:rFonts w:ascii="Times New Roman" w:hAnsi="Times New Roman" w:eastAsia="方正小标宋简体" w:cs="Times New Roman"/>
          <w:sz w:val="72"/>
          <w:szCs w:val="72"/>
        </w:rPr>
        <w:t>年度</w:t>
      </w:r>
    </w:p>
    <w:p w14:paraId="31783C87">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韶山宾馆</w:t>
      </w:r>
      <w:r>
        <w:rPr>
          <w:rFonts w:ascii="Times New Roman" w:hAnsi="Times New Roman" w:eastAsia="方正小标宋简体" w:cs="Times New Roman"/>
          <w:sz w:val="72"/>
          <w:szCs w:val="72"/>
        </w:rPr>
        <w:t>部门决算</w:t>
      </w:r>
    </w:p>
    <w:p w14:paraId="36E50345">
      <w:pPr>
        <w:pStyle w:val="14"/>
        <w:jc w:val="center"/>
        <w:rPr>
          <w:rFonts w:ascii="Times New Roman" w:hAnsi="Times New Roman" w:eastAsia="方正小标宋_GBK" w:cs="Times New Roman"/>
          <w:sz w:val="56"/>
          <w:szCs w:val="56"/>
        </w:rPr>
      </w:pPr>
    </w:p>
    <w:p w14:paraId="798B1A2E">
      <w:pPr>
        <w:pStyle w:val="14"/>
        <w:jc w:val="center"/>
        <w:rPr>
          <w:rFonts w:ascii="Times New Roman" w:hAnsi="Times New Roman" w:cs="Times New Roman"/>
          <w:sz w:val="56"/>
          <w:szCs w:val="56"/>
        </w:rPr>
      </w:pPr>
    </w:p>
    <w:p w14:paraId="221C542C">
      <w:pPr>
        <w:pStyle w:val="14"/>
        <w:rPr>
          <w:rFonts w:ascii="Times New Roman" w:hAnsi="Times New Roman" w:cs="Times New Roman"/>
          <w:sz w:val="56"/>
          <w:szCs w:val="56"/>
        </w:rPr>
      </w:pPr>
    </w:p>
    <w:p w14:paraId="37A89233">
      <w:pPr>
        <w:pStyle w:val="14"/>
        <w:jc w:val="center"/>
        <w:rPr>
          <w:rFonts w:ascii="Times New Roman" w:hAnsi="Times New Roman" w:cs="Times New Roman"/>
          <w:sz w:val="32"/>
          <w:szCs w:val="32"/>
        </w:rPr>
      </w:pPr>
    </w:p>
    <w:p w14:paraId="2EF13840">
      <w:pPr>
        <w:pStyle w:val="14"/>
        <w:jc w:val="center"/>
        <w:rPr>
          <w:rFonts w:ascii="Times New Roman" w:hAnsi="Times New Roman" w:cs="Times New Roman"/>
          <w:sz w:val="32"/>
          <w:szCs w:val="32"/>
        </w:rPr>
      </w:pPr>
    </w:p>
    <w:p w14:paraId="5DF325CE">
      <w:pPr>
        <w:pStyle w:val="14"/>
        <w:jc w:val="center"/>
        <w:rPr>
          <w:rFonts w:ascii="Times New Roman" w:hAnsi="Times New Roman" w:cs="Times New Roman"/>
          <w:sz w:val="32"/>
          <w:szCs w:val="32"/>
        </w:rPr>
      </w:pPr>
    </w:p>
    <w:p w14:paraId="66C99C84">
      <w:pPr>
        <w:pStyle w:val="14"/>
        <w:jc w:val="center"/>
        <w:rPr>
          <w:rFonts w:ascii="Times New Roman" w:hAnsi="Times New Roman" w:cs="Times New Roman"/>
          <w:sz w:val="32"/>
          <w:szCs w:val="32"/>
        </w:rPr>
      </w:pPr>
    </w:p>
    <w:p w14:paraId="443FB49E">
      <w:pPr>
        <w:pStyle w:val="14"/>
        <w:jc w:val="center"/>
        <w:rPr>
          <w:rFonts w:ascii="Times New Roman" w:hAnsi="Times New Roman" w:cs="Times New Roman"/>
          <w:sz w:val="32"/>
          <w:szCs w:val="32"/>
        </w:rPr>
      </w:pPr>
    </w:p>
    <w:p w14:paraId="7A7EF998">
      <w:pPr>
        <w:pStyle w:val="14"/>
        <w:jc w:val="center"/>
        <w:rPr>
          <w:rFonts w:ascii="Times New Roman" w:hAnsi="Times New Roman" w:cs="Times New Roman"/>
          <w:sz w:val="32"/>
          <w:szCs w:val="32"/>
        </w:rPr>
      </w:pPr>
    </w:p>
    <w:p w14:paraId="5E95291D">
      <w:pPr>
        <w:pStyle w:val="14"/>
        <w:spacing w:line="540" w:lineRule="exact"/>
        <w:jc w:val="center"/>
        <w:rPr>
          <w:rFonts w:ascii="Times New Roman" w:hAnsi="Times New Roman" w:cs="Times New Roman"/>
          <w:sz w:val="56"/>
          <w:szCs w:val="56"/>
        </w:rPr>
      </w:pPr>
    </w:p>
    <w:p w14:paraId="5DCB1425">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600897A5">
      <w:pPr>
        <w:pStyle w:val="14"/>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714C3E3C">
      <w:pPr>
        <w:pStyle w:val="14"/>
        <w:spacing w:line="600" w:lineRule="exact"/>
        <w:jc w:val="both"/>
        <w:rPr>
          <w:rFonts w:ascii="Times New Roman" w:hAnsi="Times New Roman" w:cs="Times New Roman"/>
          <w:b/>
          <w:sz w:val="36"/>
          <w:szCs w:val="28"/>
        </w:rPr>
      </w:pPr>
    </w:p>
    <w:p w14:paraId="27B0CF82">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666F8694">
      <w:pPr>
        <w:pStyle w:val="14"/>
        <w:spacing w:line="600" w:lineRule="exact"/>
        <w:jc w:val="center"/>
        <w:rPr>
          <w:rFonts w:ascii="Times New Roman" w:hAnsi="Times New Roman" w:cs="Times New Roman"/>
          <w:b/>
          <w:sz w:val="36"/>
          <w:szCs w:val="28"/>
        </w:rPr>
      </w:pPr>
    </w:p>
    <w:p w14:paraId="43517040">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韶山宾馆</w:t>
      </w:r>
      <w:r>
        <w:rPr>
          <w:rFonts w:ascii="Times New Roman" w:hAnsi="Times New Roman" w:cs="Times New Roman"/>
          <w:bCs/>
          <w:sz w:val="32"/>
          <w:szCs w:val="32"/>
        </w:rPr>
        <w:t>概况</w:t>
      </w:r>
    </w:p>
    <w:p w14:paraId="548874F7">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6EB61FC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953585B">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44ECB2A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876BB0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1976D6A2">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68A4798">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54B845B">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C13861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4318850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238AC258">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ED911F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5975CE0E">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C71E6F8">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730D0713">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666CA04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9A4322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716926A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53181EF">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16046D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3FD5D1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88290A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A7820A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3E98D92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2005162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470230D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77472FF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年度预算绩效管理情况的说明</w:t>
      </w:r>
    </w:p>
    <w:p w14:paraId="039B7219">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2B97C4B">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57115F05">
      <w:pPr>
        <w:pStyle w:val="14"/>
        <w:spacing w:line="600" w:lineRule="exact"/>
        <w:rPr>
          <w:rFonts w:ascii="Times New Roman" w:hAnsi="Times New Roman" w:cs="Times New Roman"/>
          <w:bCs/>
          <w:sz w:val="28"/>
          <w:szCs w:val="28"/>
        </w:rPr>
      </w:pPr>
    </w:p>
    <w:p w14:paraId="16FBD22B">
      <w:pPr>
        <w:jc w:val="center"/>
        <w:rPr>
          <w:rFonts w:ascii="Times New Roman" w:hAnsi="Times New Roman" w:cs="Times New Roman"/>
          <w:sz w:val="72"/>
          <w:szCs w:val="72"/>
        </w:rPr>
      </w:pPr>
    </w:p>
    <w:p w14:paraId="5D858CF1">
      <w:pPr>
        <w:jc w:val="center"/>
        <w:rPr>
          <w:rFonts w:ascii="Times New Roman" w:hAnsi="Times New Roman" w:cs="Times New Roman"/>
          <w:sz w:val="72"/>
          <w:szCs w:val="72"/>
        </w:rPr>
      </w:pPr>
    </w:p>
    <w:p w14:paraId="323BECA1">
      <w:pPr>
        <w:jc w:val="center"/>
        <w:rPr>
          <w:rFonts w:ascii="Times New Roman" w:hAnsi="Times New Roman" w:cs="Times New Roman"/>
          <w:sz w:val="72"/>
          <w:szCs w:val="72"/>
        </w:rPr>
      </w:pPr>
    </w:p>
    <w:p w14:paraId="30D9C1E9">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41D962B6">
      <w:pPr>
        <w:rPr>
          <w:rFonts w:ascii="Times New Roman" w:hAnsi="Times New Roman" w:eastAsia="方正小标宋_GBK" w:cs="Times New Roman"/>
          <w:sz w:val="72"/>
          <w:szCs w:val="72"/>
        </w:rPr>
      </w:pPr>
    </w:p>
    <w:p w14:paraId="54F780C4">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C53E787">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韶山宾馆</w:t>
      </w:r>
      <w:r>
        <w:rPr>
          <w:rFonts w:ascii="Times New Roman" w:hAnsi="Times New Roman" w:eastAsia="方正小标宋_GBK" w:cs="Times New Roman"/>
          <w:sz w:val="52"/>
          <w:szCs w:val="52"/>
        </w:rPr>
        <w:t>概况</w:t>
      </w:r>
    </w:p>
    <w:p w14:paraId="5B8E34D6">
      <w:pPr>
        <w:pStyle w:val="4"/>
        <w:ind w:left="0" w:leftChars="0" w:firstLine="0" w:firstLineChars="0"/>
        <w:rPr>
          <w:rFonts w:ascii="Times New Roman" w:hAnsi="Times New Roman" w:cs="Times New Roman"/>
        </w:rPr>
      </w:pPr>
    </w:p>
    <w:p w14:paraId="3A2EF2A0">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7F08E05B">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仿宋_GB2312" w:hAnsi="仿宋" w:eastAsia="仿宋_GB2312" w:cs="Times New Roman"/>
          <w:color w:val="000000"/>
          <w:sz w:val="32"/>
          <w:szCs w:val="32"/>
          <w:highlight w:val="none"/>
          <w:u w:val="none"/>
        </w:rPr>
      </w:pPr>
      <w:r>
        <w:rPr>
          <w:rFonts w:hint="eastAsia" w:ascii="仿宋_GB2312" w:hAnsi="仿宋" w:eastAsia="仿宋_GB2312" w:cs="Times New Roman"/>
          <w:color w:val="000000"/>
          <w:sz w:val="32"/>
          <w:szCs w:val="32"/>
          <w:highlight w:val="none"/>
          <w:u w:val="none"/>
        </w:rPr>
        <w:t>韶山宾馆成立于1951年，所处地理位置在韶山冲，距毛泽东同志故居约500米，是省委、省政府设立在韶山革命纪念地的重要接待单位，隶属于湖南省韶山管理局、是</w:t>
      </w:r>
      <w:r>
        <w:rPr>
          <w:rFonts w:hint="eastAsia" w:ascii="仿宋_GB2312" w:hAnsi="仿宋" w:eastAsia="仿宋_GB2312" w:cs="Times New Roman"/>
          <w:color w:val="000000" w:themeColor="text1"/>
          <w:sz w:val="32"/>
          <w:szCs w:val="32"/>
          <w:highlight w:val="none"/>
          <w:u w:val="none"/>
          <w:lang w:val="en-US" w:eastAsia="zh-CN"/>
          <w14:textFill>
            <w14:solidFill>
              <w14:schemeClr w14:val="tx1"/>
            </w14:solidFill>
          </w14:textFill>
        </w:rPr>
        <w:t>公益二类</w:t>
      </w:r>
      <w:r>
        <w:rPr>
          <w:rFonts w:hint="eastAsia" w:ascii="仿宋_GB2312" w:hAnsi="仿宋" w:eastAsia="仿宋_GB2312" w:cs="Times New Roman"/>
          <w:color w:val="000000"/>
          <w:sz w:val="32"/>
          <w:szCs w:val="32"/>
          <w:highlight w:val="none"/>
          <w:u w:val="none"/>
        </w:rPr>
        <w:t>事业单位。主要职能是接待中外宾客住宿、餐饮、旅游服务，负责全国重点文物保护单位滴水洞一号楼和故园一号楼的保护、管理工作。</w:t>
      </w:r>
    </w:p>
    <w:p w14:paraId="5E3AFC01">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077D366E">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p>
    <w:p w14:paraId="4A917640">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仿宋_GB2312" w:hAnsi="仿宋" w:eastAsia="仿宋_GB2312" w:cs="Times New Roman"/>
          <w:color w:val="000000"/>
          <w:sz w:val="32"/>
          <w:szCs w:val="32"/>
          <w:highlight w:val="none"/>
          <w:u w:val="none"/>
          <w:lang w:val="en-US" w:eastAsia="zh-CN"/>
        </w:rPr>
      </w:pPr>
      <w:r>
        <w:rPr>
          <w:rFonts w:hint="eastAsia" w:ascii="仿宋_GB2312" w:hAnsi="仿宋" w:eastAsia="仿宋_GB2312" w:cs="Times New Roman"/>
          <w:color w:val="000000"/>
          <w:sz w:val="32"/>
          <w:szCs w:val="32"/>
          <w:highlight w:val="none"/>
          <w:u w:val="none"/>
          <w:lang w:val="en-US" w:eastAsia="zh-CN"/>
        </w:rPr>
        <w:t>馆下设办公室、人力资源部、质量管理部、党群工作部、接待营销部、财务部、工程部、保安保洁部、采购部、客房部、餐饮部、滴水洞管理部、红色研学和培训中心、文旅产业部十四个部门。</w:t>
      </w:r>
    </w:p>
    <w:p w14:paraId="00DD35AA">
      <w:pPr>
        <w:widowControl/>
        <w:spacing w:line="600" w:lineRule="exact"/>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eastAsia="zh-CN"/>
        </w:rPr>
        <w:t>（</w:t>
      </w:r>
      <w:r>
        <w:rPr>
          <w:rFonts w:hint="eastAsia" w:ascii="Times New Roman" w:hAnsi="Times New Roman" w:eastAsia="仿宋_GB2312" w:cs="Times New Roman"/>
          <w:bCs/>
          <w:kern w:val="0"/>
          <w:sz w:val="32"/>
          <w:szCs w:val="32"/>
          <w:lang w:val="en-US" w:eastAsia="zh-CN"/>
        </w:rPr>
        <w:t>二）</w:t>
      </w:r>
      <w:r>
        <w:rPr>
          <w:rFonts w:ascii="Times New Roman" w:hAnsi="Times New Roman" w:eastAsia="仿宋_GB2312" w:cs="Times New Roman"/>
          <w:bCs/>
          <w:kern w:val="0"/>
          <w:sz w:val="32"/>
          <w:szCs w:val="32"/>
        </w:rPr>
        <w:t>决算单位构成。</w:t>
      </w:r>
    </w:p>
    <w:p w14:paraId="665BFA2B">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default" w:ascii="仿宋_GB2312" w:hAnsi="仿宋" w:eastAsia="仿宋_GB2312" w:cs="Times New Roman"/>
          <w:color w:val="000000"/>
          <w:sz w:val="32"/>
          <w:szCs w:val="32"/>
          <w:highlight w:val="none"/>
          <w:u w:val="none"/>
          <w:lang w:val="en-US" w:eastAsia="zh-CN"/>
        </w:rPr>
      </w:pPr>
      <w:r>
        <w:rPr>
          <w:rFonts w:hint="eastAsia" w:ascii="仿宋_GB2312" w:hAnsi="仿宋" w:eastAsia="仿宋_GB2312" w:cs="Times New Roman"/>
          <w:color w:val="000000"/>
          <w:sz w:val="32"/>
          <w:szCs w:val="32"/>
          <w:highlight w:val="none"/>
          <w:u w:val="none"/>
          <w:lang w:val="en-US" w:eastAsia="zh-CN"/>
        </w:rPr>
        <w:t>韶山宾馆2025年部门决算汇总公开单位构成包括：韶山宾馆本级</w:t>
      </w:r>
    </w:p>
    <w:p w14:paraId="499D3126">
      <w:pPr>
        <w:keepNext w:val="0"/>
        <w:keepLines w:val="0"/>
        <w:pageBreakBefore w:val="0"/>
        <w:widowControl w:val="0"/>
        <w:kinsoku/>
        <w:wordWrap/>
        <w:overflowPunct/>
        <w:topLinePunct w:val="0"/>
        <w:autoSpaceDE/>
        <w:autoSpaceDN/>
        <w:bidi w:val="0"/>
        <w:adjustRightInd/>
        <w:snapToGrid w:val="0"/>
        <w:spacing w:line="520" w:lineRule="exact"/>
        <w:ind w:left="0" w:leftChars="0" w:firstLine="640" w:firstLineChars="200"/>
        <w:textAlignment w:val="auto"/>
        <w:rPr>
          <w:rFonts w:hint="eastAsia" w:ascii="仿宋_GB2312" w:hAnsi="仿宋" w:eastAsia="仿宋_GB2312" w:cs="Times New Roman"/>
          <w:color w:val="000000"/>
          <w:sz w:val="32"/>
          <w:szCs w:val="32"/>
          <w:highlight w:val="none"/>
          <w:u w:val="none"/>
          <w:lang w:val="en-US" w:eastAsia="zh-CN"/>
        </w:rPr>
      </w:pPr>
    </w:p>
    <w:p w14:paraId="4E71EFF6">
      <w:pPr>
        <w:jc w:val="center"/>
        <w:rPr>
          <w:rFonts w:ascii="Times New Roman" w:hAnsi="Times New Roman" w:eastAsia="黑体" w:cs="Times New Roman"/>
          <w:sz w:val="28"/>
          <w:szCs w:val="28"/>
        </w:rPr>
      </w:pPr>
    </w:p>
    <w:p w14:paraId="4EC7EBA9">
      <w:pPr>
        <w:jc w:val="center"/>
        <w:rPr>
          <w:rFonts w:ascii="Times New Roman" w:hAnsi="Times New Roman" w:eastAsia="黑体" w:cs="Times New Roman"/>
          <w:sz w:val="28"/>
          <w:szCs w:val="28"/>
        </w:rPr>
      </w:pPr>
    </w:p>
    <w:p w14:paraId="2DE67727">
      <w:pPr>
        <w:pStyle w:val="8"/>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1EDC83A9">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49FC89C6">
      <w:pPr>
        <w:pStyle w:val="14"/>
        <w:jc w:val="center"/>
        <w:rPr>
          <w:rFonts w:ascii="Times New Roman" w:hAnsi="Times New Roman" w:eastAsia="方正小标宋_GBK" w:cs="Times New Roman"/>
          <w:sz w:val="52"/>
          <w:szCs w:val="52"/>
        </w:rPr>
      </w:pPr>
    </w:p>
    <w:p w14:paraId="758E5BE0">
      <w:pPr>
        <w:pStyle w:val="14"/>
        <w:jc w:val="center"/>
        <w:rPr>
          <w:rFonts w:ascii="Times New Roman" w:hAnsi="Times New Roman" w:eastAsia="方正小标宋_GBK" w:cs="Times New Roman"/>
          <w:sz w:val="52"/>
          <w:szCs w:val="52"/>
        </w:rPr>
      </w:pPr>
    </w:p>
    <w:p w14:paraId="7A1C26B3">
      <w:pPr>
        <w:pStyle w:val="14"/>
        <w:jc w:val="center"/>
        <w:rPr>
          <w:rFonts w:ascii="Times New Roman" w:hAnsi="Times New Roman" w:eastAsia="方正小标宋_GBK" w:cs="Times New Roman"/>
          <w:sz w:val="52"/>
          <w:szCs w:val="52"/>
        </w:rPr>
      </w:pPr>
    </w:p>
    <w:p w14:paraId="216956E3">
      <w:pPr>
        <w:pStyle w:val="14"/>
        <w:jc w:val="center"/>
        <w:rPr>
          <w:rFonts w:ascii="Times New Roman" w:hAnsi="Times New Roman" w:eastAsia="方正小标宋_GBK" w:cs="Times New Roman"/>
          <w:sz w:val="52"/>
          <w:szCs w:val="52"/>
        </w:rPr>
      </w:pPr>
    </w:p>
    <w:p w14:paraId="0E1351EF">
      <w:pPr>
        <w:pStyle w:val="14"/>
        <w:jc w:val="center"/>
        <w:rPr>
          <w:rFonts w:ascii="Times New Roman" w:hAnsi="Times New Roman" w:eastAsia="方正小标宋_GBK" w:cs="Times New Roman"/>
          <w:sz w:val="52"/>
          <w:szCs w:val="52"/>
        </w:rPr>
      </w:pPr>
    </w:p>
    <w:p w14:paraId="29148BBA">
      <w:pPr>
        <w:pStyle w:val="14"/>
        <w:jc w:val="center"/>
        <w:rPr>
          <w:rFonts w:ascii="Times New Roman" w:hAnsi="Times New Roman" w:eastAsia="方正小标宋_GBK" w:cs="Times New Roman"/>
          <w:sz w:val="52"/>
          <w:szCs w:val="52"/>
        </w:rPr>
      </w:pPr>
    </w:p>
    <w:p w14:paraId="5AF34E15">
      <w:pPr>
        <w:pStyle w:val="14"/>
        <w:jc w:val="center"/>
        <w:rPr>
          <w:rFonts w:ascii="Times New Roman" w:hAnsi="Times New Roman" w:eastAsia="方正小标宋_GBK" w:cs="Times New Roman"/>
          <w:sz w:val="52"/>
          <w:szCs w:val="52"/>
        </w:rPr>
      </w:pPr>
    </w:p>
    <w:p w14:paraId="29C97B00">
      <w:pPr>
        <w:pStyle w:val="14"/>
        <w:jc w:val="center"/>
        <w:rPr>
          <w:rFonts w:ascii="Times New Roman" w:hAnsi="Times New Roman" w:eastAsia="方正小标宋_GBK" w:cs="Times New Roman"/>
          <w:sz w:val="52"/>
          <w:szCs w:val="52"/>
        </w:rPr>
      </w:pPr>
    </w:p>
    <w:p w14:paraId="530B8284">
      <w:pPr>
        <w:pStyle w:val="14"/>
        <w:jc w:val="center"/>
        <w:rPr>
          <w:rFonts w:ascii="Times New Roman" w:hAnsi="Times New Roman" w:eastAsia="方正小标宋_GBK" w:cs="Times New Roman"/>
          <w:sz w:val="52"/>
          <w:szCs w:val="52"/>
        </w:rPr>
      </w:pPr>
    </w:p>
    <w:p w14:paraId="739A5827">
      <w:pPr>
        <w:pStyle w:val="14"/>
        <w:jc w:val="center"/>
        <w:rPr>
          <w:rFonts w:ascii="Times New Roman" w:hAnsi="Times New Roman" w:eastAsia="方正小标宋_GBK" w:cs="Times New Roman"/>
          <w:sz w:val="52"/>
          <w:szCs w:val="52"/>
        </w:rPr>
      </w:pPr>
    </w:p>
    <w:p w14:paraId="50D18510">
      <w:pPr>
        <w:pStyle w:val="14"/>
        <w:jc w:val="center"/>
        <w:rPr>
          <w:rFonts w:ascii="Times New Roman" w:hAnsi="Times New Roman" w:eastAsia="方正小标宋_GBK" w:cs="Times New Roman"/>
          <w:sz w:val="52"/>
          <w:szCs w:val="52"/>
        </w:rPr>
      </w:pPr>
    </w:p>
    <w:p w14:paraId="44573CD4">
      <w:pPr>
        <w:pStyle w:val="14"/>
        <w:jc w:val="center"/>
        <w:rPr>
          <w:rFonts w:ascii="Times New Roman" w:hAnsi="Times New Roman" w:eastAsia="方正小标宋_GBK" w:cs="Times New Roman"/>
          <w:sz w:val="52"/>
          <w:szCs w:val="52"/>
        </w:rPr>
      </w:pPr>
    </w:p>
    <w:p w14:paraId="3B989A70">
      <w:pPr>
        <w:pStyle w:val="14"/>
        <w:jc w:val="center"/>
        <w:rPr>
          <w:rFonts w:ascii="Times New Roman" w:hAnsi="Times New Roman" w:eastAsia="方正小标宋_GBK" w:cs="Times New Roman"/>
          <w:sz w:val="52"/>
          <w:szCs w:val="52"/>
        </w:rPr>
      </w:pPr>
    </w:p>
    <w:p w14:paraId="72A44B45">
      <w:pPr>
        <w:autoSpaceDE w:val="0"/>
        <w:autoSpaceDN w:val="0"/>
        <w:adjustRightInd w:val="0"/>
        <w:ind w:left="315" w:leftChars="150"/>
        <w:jc w:val="left"/>
        <w:rPr>
          <w:rFonts w:ascii="Times New Roman" w:hAnsi="Times New Roman" w:eastAsia="宋体" w:cs="Times New Roman"/>
          <w:kern w:val="0"/>
          <w:sz w:val="24"/>
          <w:szCs w:val="24"/>
        </w:rPr>
      </w:pPr>
    </w:p>
    <w:p w14:paraId="025390B7">
      <w:pPr>
        <w:autoSpaceDE w:val="0"/>
        <w:autoSpaceDN w:val="0"/>
        <w:adjustRightInd w:val="0"/>
        <w:ind w:left="315" w:leftChars="150"/>
        <w:jc w:val="left"/>
        <w:rPr>
          <w:rFonts w:ascii="Times New Roman" w:hAnsi="Times New Roman" w:eastAsia="宋体" w:cs="Times New Roman"/>
          <w:kern w:val="0"/>
          <w:sz w:val="24"/>
          <w:szCs w:val="24"/>
        </w:rPr>
      </w:pPr>
    </w:p>
    <w:p w14:paraId="0BEA066D">
      <w:pPr>
        <w:autoSpaceDE w:val="0"/>
        <w:autoSpaceDN w:val="0"/>
        <w:adjustRightInd w:val="0"/>
        <w:ind w:left="315" w:leftChars="150"/>
        <w:jc w:val="left"/>
        <w:rPr>
          <w:rFonts w:ascii="Times New Roman" w:hAnsi="Times New Roman" w:eastAsia="宋体" w:cs="Times New Roman"/>
          <w:kern w:val="0"/>
          <w:sz w:val="24"/>
          <w:szCs w:val="24"/>
        </w:rPr>
      </w:pPr>
    </w:p>
    <w:p w14:paraId="72CB6B0D">
      <w:pPr>
        <w:widowControl/>
        <w:rPr>
          <w:rFonts w:ascii="Times New Roman" w:hAnsi="Times New Roman" w:cs="Times New Roman"/>
          <w:sz w:val="72"/>
          <w:szCs w:val="72"/>
        </w:rPr>
      </w:pPr>
      <w:r>
        <w:br w:type="page"/>
      </w:r>
    </w:p>
    <w:p w14:paraId="54001AD3">
      <w:pPr>
        <w:pStyle w:val="14"/>
        <w:rPr>
          <w:rFonts w:ascii="Times New Roman" w:hAnsi="Times New Roman" w:cs="Times New Roman"/>
          <w:sz w:val="72"/>
          <w:szCs w:val="72"/>
        </w:rPr>
      </w:pPr>
    </w:p>
    <w:p w14:paraId="0C8CF91D">
      <w:pPr>
        <w:pStyle w:val="14"/>
        <w:rPr>
          <w:rFonts w:ascii="Times New Roman" w:hAnsi="Times New Roman" w:cs="Times New Roman"/>
          <w:sz w:val="72"/>
          <w:szCs w:val="72"/>
        </w:rPr>
      </w:pPr>
    </w:p>
    <w:p w14:paraId="39D99562">
      <w:pPr>
        <w:pStyle w:val="14"/>
        <w:jc w:val="center"/>
        <w:rPr>
          <w:rFonts w:ascii="Times New Roman" w:hAnsi="Times New Roman" w:cs="Times New Roman"/>
          <w:sz w:val="72"/>
          <w:szCs w:val="72"/>
        </w:rPr>
      </w:pPr>
    </w:p>
    <w:p w14:paraId="1B56571F">
      <w:pPr>
        <w:pStyle w:val="14"/>
        <w:jc w:val="center"/>
        <w:rPr>
          <w:rFonts w:ascii="Times New Roman" w:hAnsi="Times New Roman" w:eastAsia="方正小标宋_GBK" w:cs="Times New Roman"/>
          <w:sz w:val="72"/>
          <w:szCs w:val="72"/>
        </w:rPr>
      </w:pPr>
    </w:p>
    <w:p w14:paraId="56025CC3">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E6055F2">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5</w:t>
      </w:r>
      <w:r>
        <w:rPr>
          <w:rFonts w:ascii="Times New Roman" w:hAnsi="Times New Roman" w:eastAsia="方正小标宋_GBK" w:cs="Times New Roman"/>
          <w:sz w:val="52"/>
          <w:szCs w:val="52"/>
        </w:rPr>
        <w:t>年度部门决算情况说明</w:t>
      </w:r>
    </w:p>
    <w:p w14:paraId="48879031">
      <w:pPr>
        <w:widowControl/>
        <w:jc w:val="left"/>
        <w:rPr>
          <w:rFonts w:ascii="Times New Roman" w:hAnsi="Times New Roman" w:cs="Times New Roman"/>
          <w:sz w:val="32"/>
          <w:szCs w:val="32"/>
        </w:rPr>
      </w:pPr>
      <w:r>
        <w:br w:type="page"/>
      </w:r>
    </w:p>
    <w:p w14:paraId="4A8315D8">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447F70F">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w:t>
      </w:r>
      <w:r>
        <w:rPr>
          <w:rFonts w:hint="eastAsia" w:ascii="Times New Roman" w:hAnsi="Times New Roman" w:eastAsia="仿宋_GB2312" w:cs="Times New Roman"/>
          <w:sz w:val="32"/>
          <w:szCs w:val="32"/>
          <w:lang w:val="en-US" w:eastAsia="zh-CN"/>
        </w:rPr>
        <w:t>入</w:t>
      </w:r>
      <w:r>
        <w:rPr>
          <w:rFonts w:ascii="Times New Roman" w:hAnsi="Times New Roman" w:eastAsia="仿宋_GB2312" w:cs="Times New Roman"/>
          <w:sz w:val="32"/>
          <w:szCs w:val="32"/>
        </w:rPr>
        <w:t>总计</w:t>
      </w:r>
      <w:r>
        <w:rPr>
          <w:rFonts w:hint="eastAsia" w:ascii="Times New Roman" w:hAnsi="Times New Roman" w:eastAsia="仿宋_GB2312" w:cs="Times New Roman"/>
          <w:sz w:val="32"/>
          <w:szCs w:val="32"/>
          <w:lang w:val="en-US" w:eastAsia="zh-CN"/>
        </w:rPr>
        <w:t>8237.56</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增加</w:t>
      </w:r>
      <w:r>
        <w:rPr>
          <w:rFonts w:hint="eastAsia" w:ascii="仿宋_GB2312" w:hAnsi="仿宋" w:eastAsia="仿宋_GB2312" w:cs="Times New Roman"/>
          <w:color w:val="000000"/>
          <w:sz w:val="32"/>
          <w:szCs w:val="32"/>
          <w:highlight w:val="none"/>
          <w:u w:val="none"/>
          <w:lang w:val="en-US" w:eastAsia="zh-CN"/>
        </w:rPr>
        <w:t>466.23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上升6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本年项目收入增加</w:t>
      </w:r>
      <w:r>
        <w:rPr>
          <w:rFonts w:hint="eastAsia" w:ascii="Times New Roman" w:hAnsi="Times New Roman" w:eastAsia="仿宋_GB2312" w:cs="Times New Roman"/>
          <w:sz w:val="32"/>
          <w:szCs w:val="32"/>
          <w:lang w:eastAsia="zh-CN"/>
        </w:rPr>
        <w:t>。</w:t>
      </w:r>
    </w:p>
    <w:p w14:paraId="379F73D8">
      <w:pPr>
        <w:pStyle w:val="14"/>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总计</w:t>
      </w:r>
      <w:r>
        <w:rPr>
          <w:rFonts w:hint="eastAsia" w:ascii="Times New Roman" w:hAnsi="Times New Roman" w:eastAsia="仿宋_GB2312" w:cs="Times New Roman"/>
          <w:sz w:val="32"/>
          <w:szCs w:val="32"/>
          <w:lang w:val="en-US" w:eastAsia="zh-CN"/>
        </w:rPr>
        <w:t>7201.45</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减少</w:t>
      </w:r>
      <w:r>
        <w:rPr>
          <w:rFonts w:hint="eastAsia" w:ascii="仿宋_GB2312" w:hAnsi="仿宋" w:eastAsia="仿宋_GB2312" w:cs="Times New Roman"/>
          <w:color w:val="000000"/>
          <w:sz w:val="32"/>
          <w:szCs w:val="32"/>
          <w:highlight w:val="none"/>
          <w:u w:val="none"/>
          <w:lang w:val="en-US" w:eastAsia="zh-CN"/>
        </w:rPr>
        <w:t>868.35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降低10.76</w:t>
      </w:r>
      <w:r>
        <w:rPr>
          <w:rFonts w:ascii="Times New Roman" w:hAnsi="Times New Roman" w:eastAsia="仿宋_GB2312" w:cs="Times New Roman"/>
          <w:sz w:val="32"/>
          <w:szCs w:val="32"/>
        </w:rPr>
        <w:t>%，</w:t>
      </w:r>
      <w:r>
        <w:rPr>
          <w:rFonts w:ascii="Times New Roman" w:hAnsi="Times New Roman" w:eastAsia="仿宋_GB2312" w:cs="Times New Roman"/>
          <w:color w:val="000000" w:themeColor="text1"/>
          <w:sz w:val="32"/>
          <w:szCs w:val="32"/>
          <w14:textFill>
            <w14:solidFill>
              <w14:schemeClr w14:val="tx1"/>
            </w14:solidFill>
          </w14:textFill>
        </w:rPr>
        <w:t>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受</w:t>
      </w:r>
      <w:r>
        <w:rPr>
          <w:rFonts w:hint="eastAsia" w:ascii="仿宋_GB2312" w:hAnsi="仿宋" w:eastAsia="仿宋_GB2312" w:cs="Times New Roman"/>
          <w:color w:val="000000" w:themeColor="text1"/>
          <w:sz w:val="32"/>
          <w:szCs w:val="32"/>
          <w:highlight w:val="none"/>
          <w:u w:val="none"/>
          <w:lang w:val="en-US" w:eastAsia="zh-CN"/>
          <w14:textFill>
            <w14:solidFill>
              <w14:schemeClr w14:val="tx1"/>
            </w14:solidFill>
          </w14:textFill>
        </w:rPr>
        <w:t>经济形势影响，游客量大幅下降，经营收入减少，对应经营支出减少</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2450017D">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贯彻落实党政机关习惯过紧日子有关要求，厉行节约办一切事业，严控一般性支出，进一步优化支出结构，持续压降“三公”经费、办公经费、会议培训等行政开支。同时坚持有保有压，优化支出结构，提高资金使用效率，合理保障</w:t>
      </w:r>
      <w:r>
        <w:rPr>
          <w:rFonts w:hint="eastAsia" w:ascii="Times New Roman" w:hAnsi="Times New Roman" w:eastAsia="仿宋_GB2312" w:cs="Times New Roman"/>
          <w:sz w:val="32"/>
          <w:szCs w:val="32"/>
          <w:lang w:val="en-US" w:eastAsia="zh-CN"/>
        </w:rPr>
        <w:t>人员工资、滴水洞数字艺术馆项目</w:t>
      </w:r>
      <w:r>
        <w:rPr>
          <w:rFonts w:hint="eastAsia" w:ascii="Times New Roman" w:hAnsi="Times New Roman" w:eastAsia="仿宋_GB2312" w:cs="Times New Roman"/>
          <w:sz w:val="32"/>
          <w:szCs w:val="32"/>
          <w:lang w:eastAsia="zh-CN"/>
        </w:rPr>
        <w:t>等重点支出，体现在有关支出科目中。</w:t>
      </w:r>
    </w:p>
    <w:p w14:paraId="005697D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1007C8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年度收入合计</w:t>
      </w:r>
      <w:r>
        <w:rPr>
          <w:rFonts w:hint="eastAsia" w:ascii="Times New Roman" w:hAnsi="Times New Roman" w:eastAsia="仿宋_GB2312" w:cs="Times New Roman"/>
          <w:sz w:val="32"/>
          <w:szCs w:val="32"/>
          <w:lang w:val="en-US" w:eastAsia="zh-CN"/>
        </w:rPr>
        <w:t>8237.56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688.08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8.35</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1409.57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17.11</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6139.65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74.53</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0.26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w:t>
      </w:r>
    </w:p>
    <w:p w14:paraId="4AF3B02A">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74576727">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年度支出合计</w:t>
      </w:r>
      <w:r>
        <w:rPr>
          <w:rFonts w:hint="eastAsia" w:ascii="Times New Roman" w:hAnsi="Times New Roman" w:eastAsia="仿宋_GB2312" w:cs="Times New Roman"/>
          <w:sz w:val="32"/>
          <w:szCs w:val="32"/>
          <w:lang w:val="en-US" w:eastAsia="zh-CN"/>
        </w:rPr>
        <w:t>7201.45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437.31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6.07</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271.28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3.77</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6492.86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90.16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1A499D61">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0141F6E">
      <w:pPr>
        <w:pStyle w:val="14"/>
        <w:overflowPunct w:val="0"/>
        <w:autoSpaceDE/>
        <w:autoSpaceDN/>
        <w:spacing w:line="600" w:lineRule="exact"/>
        <w:ind w:firstLine="640" w:firstLineChars="200"/>
        <w:jc w:val="both"/>
        <w:rPr>
          <w:rFonts w:hint="eastAsia" w:ascii="仿宋" w:hAnsi="仿宋" w:eastAsia="仿宋" w:cs="仿宋"/>
          <w:b w:val="0"/>
          <w:bCs/>
          <w:color w:val="000000" w:themeColor="text1"/>
          <w:sz w:val="32"/>
          <w:szCs w:val="32"/>
          <w:highlight w:val="none"/>
          <w:u w:val="none"/>
          <w:lang w:val="en-US" w:eastAsia="zh-CN"/>
          <w14:textFill>
            <w14:solidFill>
              <w14:schemeClr w14:val="tx1"/>
            </w14:solidFill>
          </w14:textFill>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年度财政拨款收</w:t>
      </w:r>
      <w:r>
        <w:rPr>
          <w:rFonts w:hint="eastAsia" w:ascii="Times New Roman" w:hAnsi="Times New Roman" w:eastAsia="仿宋_GB2312" w:cs="Times New Roman"/>
          <w:sz w:val="32"/>
          <w:szCs w:val="32"/>
          <w:lang w:val="en-US" w:eastAsia="zh-CN"/>
        </w:rPr>
        <w:t>入</w:t>
      </w:r>
      <w:r>
        <w:rPr>
          <w:rFonts w:ascii="Times New Roman" w:hAnsi="Times New Roman" w:eastAsia="仿宋_GB2312" w:cs="Times New Roman"/>
          <w:sz w:val="32"/>
          <w:szCs w:val="32"/>
        </w:rPr>
        <w:t>总计</w:t>
      </w:r>
      <w:r>
        <w:rPr>
          <w:rFonts w:hint="eastAsia" w:ascii="Times New Roman" w:hAnsi="Times New Roman" w:eastAsia="仿宋_GB2312" w:cs="Times New Roman"/>
          <w:sz w:val="32"/>
          <w:szCs w:val="32"/>
          <w:lang w:val="en-US" w:eastAsia="zh-CN"/>
        </w:rPr>
        <w:t>688.08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283.68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70.15</w:t>
      </w:r>
      <w:r>
        <w:rPr>
          <w:rFonts w:ascii="Times New Roman" w:hAnsi="Times New Roman" w:eastAsia="仿宋_GB2312" w:cs="Times New Roman"/>
          <w:sz w:val="32"/>
          <w:szCs w:val="32"/>
        </w:rPr>
        <w:t>%，</w:t>
      </w:r>
      <w:r>
        <w:rPr>
          <w:rFonts w:ascii="Times New Roman" w:hAnsi="Times New Roman" w:eastAsia="仿宋_GB2312" w:cs="Times New Roman"/>
          <w:color w:val="000000" w:themeColor="text1"/>
          <w:sz w:val="32"/>
          <w:szCs w:val="32"/>
          <w14:textFill>
            <w14:solidFill>
              <w14:schemeClr w14:val="tx1"/>
            </w14:solidFill>
          </w14:textFill>
        </w:rPr>
        <w:t>主要是因为</w:t>
      </w:r>
      <w:r>
        <w:rPr>
          <w:rFonts w:hint="eastAsia" w:ascii="仿宋" w:hAnsi="仿宋" w:eastAsia="仿宋" w:cs="仿宋"/>
          <w:b w:val="0"/>
          <w:bCs/>
          <w:color w:val="000000" w:themeColor="text1"/>
          <w:sz w:val="32"/>
          <w:szCs w:val="32"/>
          <w:highlight w:val="none"/>
          <w:u w:val="none"/>
          <w:lang w:val="en-US" w:eastAsia="zh-CN"/>
          <w14:textFill>
            <w14:solidFill>
              <w14:schemeClr w14:val="tx1"/>
            </w14:solidFill>
          </w14:textFill>
        </w:rPr>
        <w:t>本年度增加国有资本有偿使用收入及项目补助收入。</w:t>
      </w:r>
    </w:p>
    <w:p w14:paraId="685A6008">
      <w:pPr>
        <w:pStyle w:val="14"/>
        <w:overflowPunct w:val="0"/>
        <w:autoSpaceDE/>
        <w:autoSpaceDN/>
        <w:spacing w:line="600" w:lineRule="exact"/>
        <w:ind w:firstLine="640" w:firstLineChars="200"/>
        <w:jc w:val="both"/>
        <w:rPr>
          <w:rFonts w:hint="eastAsia" w:ascii="仿宋" w:hAnsi="仿宋" w:eastAsia="仿宋" w:cs="仿宋"/>
          <w:b w:val="0"/>
          <w:bCs/>
          <w:color w:val="000000" w:themeColor="text1"/>
          <w:sz w:val="32"/>
          <w:szCs w:val="32"/>
          <w:highlight w:val="none"/>
          <w:u w:val="none"/>
          <w:lang w:val="en-US" w:eastAsia="zh-CN"/>
          <w14:textFill>
            <w14:solidFill>
              <w14:schemeClr w14:val="tx1"/>
            </w14:solidFill>
          </w14:textFill>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总计</w:t>
      </w:r>
      <w:r>
        <w:rPr>
          <w:rFonts w:hint="eastAsia" w:ascii="Times New Roman" w:hAnsi="Times New Roman" w:eastAsia="仿宋_GB2312" w:cs="Times New Roman"/>
          <w:sz w:val="32"/>
          <w:szCs w:val="32"/>
          <w:lang w:val="en-US" w:eastAsia="zh-CN"/>
        </w:rPr>
        <w:t>633.98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178.18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39.09</w:t>
      </w:r>
      <w:r>
        <w:rPr>
          <w:rFonts w:ascii="Times New Roman" w:hAnsi="Times New Roman" w:eastAsia="仿宋_GB2312" w:cs="Times New Roman"/>
          <w:sz w:val="32"/>
          <w:szCs w:val="32"/>
        </w:rPr>
        <w:t>%，主要是</w:t>
      </w:r>
      <w:r>
        <w:rPr>
          <w:rFonts w:ascii="Times New Roman" w:hAnsi="Times New Roman" w:eastAsia="仿宋_GB2312" w:cs="Times New Roman"/>
          <w:color w:val="000000" w:themeColor="text1"/>
          <w:sz w:val="32"/>
          <w:szCs w:val="32"/>
          <w14:textFill>
            <w14:solidFill>
              <w14:schemeClr w14:val="tx1"/>
            </w14:solidFill>
          </w14:textFill>
        </w:rPr>
        <w:t>因为</w:t>
      </w:r>
      <w:r>
        <w:rPr>
          <w:rFonts w:hint="eastAsia" w:ascii="Times New Roman" w:hAnsi="Times New Roman" w:eastAsia="仿宋_GB2312" w:cs="Times New Roman"/>
          <w:color w:val="000000" w:themeColor="text1"/>
          <w:sz w:val="32"/>
          <w:szCs w:val="32"/>
          <w14:textFill>
            <w14:solidFill>
              <w14:schemeClr w14:val="tx1"/>
            </w14:solidFill>
          </w14:textFill>
        </w:rPr>
        <w:t>国有资本有偿使用收入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增加用于开展</w:t>
      </w:r>
      <w:r>
        <w:rPr>
          <w:rFonts w:hint="eastAsia" w:ascii="仿宋" w:hAnsi="仿宋" w:eastAsia="仿宋" w:cs="仿宋"/>
          <w:b w:val="0"/>
          <w:bCs/>
          <w:color w:val="000000" w:themeColor="text1"/>
          <w:sz w:val="32"/>
          <w:szCs w:val="32"/>
          <w:highlight w:val="none"/>
          <w:u w:val="none"/>
          <w:lang w:val="en-US" w:eastAsia="zh-CN"/>
          <w14:textFill>
            <w14:solidFill>
              <w14:schemeClr w14:val="tx1"/>
            </w14:solidFill>
          </w14:textFill>
        </w:rPr>
        <w:t>本年度人员经费。</w:t>
      </w:r>
    </w:p>
    <w:p w14:paraId="161885E1">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192814DB">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1B8D4A3">
      <w:pPr>
        <w:pStyle w:val="14"/>
        <w:overflowPunct w:val="0"/>
        <w:autoSpaceDE/>
        <w:autoSpaceDN/>
        <w:spacing w:line="600" w:lineRule="exact"/>
        <w:ind w:firstLine="640" w:firstLineChars="200"/>
        <w:jc w:val="both"/>
        <w:rPr>
          <w:rFonts w:hint="eastAsia" w:ascii="仿宋" w:hAnsi="仿宋" w:eastAsia="仿宋" w:cs="仿宋"/>
          <w:b w:val="0"/>
          <w:bCs/>
          <w:color w:val="000000" w:themeColor="text1"/>
          <w:sz w:val="32"/>
          <w:szCs w:val="32"/>
          <w:highlight w:val="none"/>
          <w:u w:val="none"/>
          <w:lang w:val="en-US" w:eastAsia="zh-CN"/>
          <w14:textFill>
            <w14:solidFill>
              <w14:schemeClr w14:val="tx1"/>
            </w14:solidFill>
          </w14:textFill>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lang w:val="en-US" w:eastAsia="zh-CN"/>
        </w:rPr>
        <w:t>437.04</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6.07</w:t>
      </w:r>
      <w:r>
        <w:rPr>
          <w:rFonts w:ascii="Times New Roman" w:hAnsi="Times New Roman" w:eastAsia="仿宋_GB2312" w:cs="Times New Roman"/>
          <w:sz w:val="32"/>
          <w:szCs w:val="32"/>
        </w:rPr>
        <w:t>%，与上年相比，财政拨款支出</w:t>
      </w:r>
      <w:r>
        <w:rPr>
          <w:rFonts w:hint="eastAsia" w:ascii="Times New Roman" w:hAnsi="Times New Roman" w:eastAsia="仿宋_GB2312" w:cs="Times New Roman"/>
          <w:sz w:val="32"/>
          <w:szCs w:val="32"/>
          <w:lang w:val="en-US" w:eastAsia="zh-CN"/>
        </w:rPr>
        <w:t>减少18.76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降低4.12</w:t>
      </w:r>
      <w:r>
        <w:rPr>
          <w:rFonts w:ascii="Times New Roman" w:hAnsi="Times New Roman" w:eastAsia="仿宋_GB2312" w:cs="Times New Roman"/>
          <w:sz w:val="32"/>
          <w:szCs w:val="32"/>
        </w:rPr>
        <w:t>%，</w:t>
      </w:r>
      <w:r>
        <w:rPr>
          <w:rFonts w:ascii="Times New Roman" w:hAnsi="Times New Roman" w:eastAsia="仿宋_GB2312" w:cs="Times New Roman"/>
          <w:color w:val="000000" w:themeColor="text1"/>
          <w:sz w:val="32"/>
          <w:szCs w:val="32"/>
          <w14:textFill>
            <w14:solidFill>
              <w14:schemeClr w14:val="tx1"/>
            </w14:solidFill>
          </w14:textFill>
        </w:rPr>
        <w:t>主要是因为</w:t>
      </w:r>
      <w:r>
        <w:rPr>
          <w:rFonts w:hint="eastAsia" w:ascii="仿宋" w:hAnsi="仿宋" w:eastAsia="仿宋" w:cs="仿宋"/>
          <w:b w:val="0"/>
          <w:bCs/>
          <w:color w:val="000000" w:themeColor="text1"/>
          <w:sz w:val="32"/>
          <w:szCs w:val="32"/>
          <w:highlight w:val="none"/>
          <w:u w:val="none"/>
          <w:lang w:val="en-US" w:eastAsia="zh-CN"/>
          <w14:textFill>
            <w14:solidFill>
              <w14:schemeClr w14:val="tx1"/>
            </w14:solidFill>
          </w14:textFill>
        </w:rPr>
        <w:t>本年度一般公共预算财政拨款用于人员经费的支出减少。</w:t>
      </w:r>
    </w:p>
    <w:p w14:paraId="2F18113F">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766B031E">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度财政拨款支出</w:t>
      </w:r>
      <w:r>
        <w:rPr>
          <w:rFonts w:hint="eastAsia" w:ascii="Times New Roman" w:hAnsi="Times New Roman" w:eastAsia="仿宋_GB2312" w:cs="Times New Roman"/>
          <w:sz w:val="32"/>
          <w:szCs w:val="32"/>
          <w:lang w:val="en-US" w:eastAsia="zh-CN"/>
        </w:rPr>
        <w:t>437.04</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322.04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73.69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支出115万元，占26.31%。</w:t>
      </w:r>
    </w:p>
    <w:p w14:paraId="599D6340">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8AF125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年度财政拨款支出年初预算数为</w:t>
      </w:r>
      <w:r>
        <w:rPr>
          <w:rFonts w:hint="eastAsia" w:ascii="Times New Roman" w:hAnsi="Times New Roman" w:eastAsia="仿宋_GB2312" w:cs="Times New Roman"/>
          <w:sz w:val="32"/>
          <w:szCs w:val="32"/>
          <w:lang w:val="en-US" w:eastAsia="zh-CN"/>
        </w:rPr>
        <w:t>379.19</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437.04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115.26</w:t>
      </w:r>
      <w:r>
        <w:rPr>
          <w:rFonts w:ascii="Times New Roman" w:hAnsi="Times New Roman" w:eastAsia="仿宋_GB2312" w:cs="Times New Roman"/>
          <w:sz w:val="32"/>
          <w:szCs w:val="32"/>
        </w:rPr>
        <w:t>%，其中：</w:t>
      </w:r>
    </w:p>
    <w:p w14:paraId="1A6EDD67">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lang w:val="en-US" w:eastAsia="zh-CN"/>
        </w:rPr>
        <w:t>其他共产党事务支出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事业运行</w:t>
      </w:r>
      <w:r>
        <w:rPr>
          <w:rFonts w:ascii="Times New Roman" w:hAnsi="Times New Roman" w:eastAsia="仿宋_GB2312" w:cs="Times New Roman"/>
          <w:sz w:val="32"/>
          <w:szCs w:val="32"/>
        </w:rPr>
        <w:t>（项）。</w:t>
      </w:r>
    </w:p>
    <w:p w14:paraId="1EA11C07">
      <w:pPr>
        <w:pStyle w:val="14"/>
        <w:overflowPunct w:val="0"/>
        <w:autoSpaceDE/>
        <w:autoSpaceDN/>
        <w:spacing w:line="600" w:lineRule="exact"/>
        <w:ind w:firstLine="640" w:firstLineChars="200"/>
        <w:jc w:val="both"/>
        <w:rPr>
          <w:rFonts w:hint="eastAsia" w:ascii="Times New Roman" w:hAnsi="Times New Roman" w:eastAsia="仿宋_GB2312" w:cs="Times New Roman"/>
          <w:color w:val="FF0000"/>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264.19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322.04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121.9</w:t>
      </w:r>
      <w:r>
        <w:rPr>
          <w:rFonts w:ascii="Times New Roman" w:hAnsi="Times New Roman" w:eastAsia="仿宋_GB2312" w:cs="Times New Roman"/>
          <w:sz w:val="32"/>
          <w:szCs w:val="32"/>
        </w:rPr>
        <w:t>%，</w:t>
      </w:r>
      <w:r>
        <w:rPr>
          <w:rFonts w:ascii="Times New Roman" w:hAnsi="Times New Roman" w:eastAsia="仿宋_GB2312" w:cs="Times New Roman"/>
          <w:color w:val="000000" w:themeColor="text1"/>
          <w:sz w:val="32"/>
          <w:szCs w:val="32"/>
          <w14:textFill>
            <w14:solidFill>
              <w14:schemeClr w14:val="tx1"/>
            </w14:solidFill>
          </w14:textFill>
        </w:rPr>
        <w:t>决算数大于年初预算数的主要原因是：</w:t>
      </w:r>
      <w:r>
        <w:rPr>
          <w:rFonts w:hint="eastAsia" w:ascii="Times New Roman" w:hAnsi="Times New Roman" w:eastAsia="仿宋_GB2312" w:cs="Times New Roman"/>
          <w:color w:val="FF0000"/>
          <w:sz w:val="32"/>
          <w:szCs w:val="32"/>
          <w:lang w:val="en-US" w:eastAsia="zh-CN"/>
        </w:rPr>
        <w:t>本年度退休人员经费增加。</w:t>
      </w:r>
    </w:p>
    <w:p w14:paraId="7A9C9A6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事业单位离退休</w:t>
      </w:r>
      <w:r>
        <w:rPr>
          <w:rFonts w:ascii="Times New Roman" w:hAnsi="Times New Roman" w:eastAsia="仿宋_GB2312" w:cs="Times New Roman"/>
          <w:sz w:val="32"/>
          <w:szCs w:val="32"/>
        </w:rPr>
        <w:t>（项）。</w:t>
      </w:r>
    </w:p>
    <w:p w14:paraId="7F13FB9C">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335C67B">
      <w:pPr>
        <w:pStyle w:val="14"/>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按照支出功能分类，</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一般公共服务支出</w:t>
      </w:r>
      <w:r>
        <w:rPr>
          <w:rFonts w:hint="eastAsia" w:ascii="Times New Roman" w:hAnsi="Times New Roman" w:eastAsia="仿宋_GB2312" w:cs="Times New Roman"/>
          <w:color w:val="000000" w:themeColor="text1"/>
          <w:sz w:val="32"/>
          <w:szCs w:val="32"/>
          <w14:textFill>
            <w14:solidFill>
              <w14:schemeClr w14:val="tx1"/>
            </w14:solidFill>
          </w14:textFill>
        </w:rPr>
        <w:t>方面的支出规模较大，主要是：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事业运行</w:t>
      </w:r>
      <w:r>
        <w:rPr>
          <w:rFonts w:hint="eastAsia" w:ascii="Times New Roman" w:hAnsi="Times New Roman" w:eastAsia="仿宋_GB2312" w:cs="Times New Roman"/>
          <w:color w:val="000000" w:themeColor="text1"/>
          <w:sz w:val="32"/>
          <w:szCs w:val="32"/>
          <w14:textFill>
            <w14:solidFill>
              <w14:schemeClr w14:val="tx1"/>
            </w14:solidFill>
          </w14:textFill>
        </w:rPr>
        <w:t>，2025年度决算数为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322.04</w:t>
      </w:r>
      <w:r>
        <w:rPr>
          <w:rFonts w:hint="eastAsia" w:ascii="Times New Roman" w:hAnsi="Times New Roman" w:eastAsia="仿宋_GB2312" w:cs="Times New Roman"/>
          <w:color w:val="000000" w:themeColor="text1"/>
          <w:sz w:val="32"/>
          <w:szCs w:val="32"/>
          <w14:textFill>
            <w14:solidFill>
              <w14:schemeClr w14:val="tx1"/>
            </w14:solidFill>
          </w14:textFill>
        </w:rPr>
        <w:t>万元，占财政拨款支出总额的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50.8</w:t>
      </w:r>
      <w:r>
        <w:rPr>
          <w:rFonts w:hint="eastAsia" w:ascii="Times New Roman" w:hAnsi="Times New Roman" w:eastAsia="仿宋_GB2312" w:cs="Times New Roman"/>
          <w:color w:val="000000" w:themeColor="text1"/>
          <w:sz w:val="32"/>
          <w:szCs w:val="32"/>
          <w14:textFill>
            <w14:solidFill>
              <w14:schemeClr w14:val="tx1"/>
            </w14:solidFill>
          </w14:textFill>
        </w:rPr>
        <w:t>%，主要用于</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人员工资</w:t>
      </w:r>
      <w:r>
        <w:rPr>
          <w:rFonts w:hint="eastAsia" w:ascii="Times New Roman" w:hAnsi="Times New Roman" w:eastAsia="仿宋_GB2312" w:cs="Times New Roman"/>
          <w:color w:val="000000" w:themeColor="text1"/>
          <w:sz w:val="32"/>
          <w:szCs w:val="32"/>
          <w14:textFill>
            <w14:solidFill>
              <w14:schemeClr w14:val="tx1"/>
            </w14:solidFill>
          </w14:textFill>
        </w:rPr>
        <w:t>方面</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786762F6">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03578971">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年度一般公共预算财政拨款基本支出</w:t>
      </w:r>
      <w:r>
        <w:rPr>
          <w:rFonts w:hint="eastAsia" w:ascii="Times New Roman" w:hAnsi="Times New Roman" w:eastAsia="仿宋_GB2312" w:cs="Times New Roman"/>
          <w:sz w:val="32"/>
          <w:szCs w:val="32"/>
          <w:lang w:val="en-US" w:eastAsia="zh-CN"/>
        </w:rPr>
        <w:t>437.04</w:t>
      </w:r>
      <w:r>
        <w:rPr>
          <w:rFonts w:ascii="Times New Roman" w:hAnsi="Times New Roman" w:eastAsia="仿宋_GB2312" w:cs="Times New Roman"/>
          <w:sz w:val="32"/>
          <w:szCs w:val="32"/>
        </w:rPr>
        <w:t>万元，其中：</w:t>
      </w:r>
    </w:p>
    <w:p w14:paraId="7AA6711F">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437.04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val="en-US" w:eastAsia="zh-CN"/>
        </w:rPr>
        <w:t>绩效工资、退休人员补贴</w:t>
      </w:r>
      <w:r>
        <w:rPr>
          <w:rFonts w:ascii="Times New Roman" w:hAnsi="Times New Roman" w:eastAsia="仿宋_GB2312" w:cs="Times New Roman"/>
          <w:sz w:val="32"/>
          <w:szCs w:val="32"/>
        </w:rPr>
        <w:t>。</w:t>
      </w:r>
    </w:p>
    <w:p w14:paraId="53524CBF">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13850E62">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294363A7">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D348A06">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6CFA667">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737DBAE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D3E3EC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5CFD9AA">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万元，截止202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53E8762C">
      <w:pPr>
        <w:pStyle w:val="14"/>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2E787A97">
      <w:pPr>
        <w:pStyle w:val="14"/>
        <w:numPr>
          <w:ilvl w:val="0"/>
          <w:numId w:val="0"/>
        </w:numPr>
        <w:overflowPunct w:val="0"/>
        <w:autoSpaceDE/>
        <w:autoSpaceDN/>
        <w:spacing w:line="600" w:lineRule="exact"/>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因我馆是公益二类事业单位，三公经费无财政拨款收入来源。</w:t>
      </w:r>
    </w:p>
    <w:p w14:paraId="4546DEE6">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F7EF63E">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w:t>
      </w:r>
      <w:r>
        <w:rPr>
          <w:rFonts w:hint="eastAsia" w:ascii="Times New Roman" w:hAnsi="Times New Roman" w:eastAsia="仿宋_GB2312" w:cs="Times New Roman"/>
          <w:sz w:val="32"/>
          <w:szCs w:val="32"/>
          <w:lang w:val="en-US" w:eastAsia="zh-CN"/>
        </w:rPr>
        <w:t>我部门无政府性基金预算收支。</w:t>
      </w:r>
    </w:p>
    <w:p w14:paraId="2108CA6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1F96C5B7">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本部门2025年度机关运行经费为自筹资金支出，无财政拨款支出。</w:t>
      </w:r>
    </w:p>
    <w:p w14:paraId="06FE825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7CCBCE33">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本部门2025年度一般性支出为自筹资金支出，无财政拨款支出。</w:t>
      </w:r>
    </w:p>
    <w:p w14:paraId="7883321D">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7A9D7469">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年度政府采购支出总额</w:t>
      </w:r>
      <w:r>
        <w:rPr>
          <w:rFonts w:hint="eastAsia" w:ascii="Times New Roman" w:hAnsi="Times New Roman" w:eastAsia="仿宋_GB2312" w:cs="Times New Roman"/>
          <w:sz w:val="32"/>
          <w:szCs w:val="32"/>
          <w:lang w:val="en-US" w:eastAsia="zh-CN"/>
        </w:rPr>
        <w:t>837.29</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132.45</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373.84</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331</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518.7</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61.95</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418.64</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80.71</w:t>
      </w:r>
      <w:r>
        <w:rPr>
          <w:rFonts w:ascii="Times New Roman" w:hAnsi="Times New Roman" w:eastAsia="仿宋_GB2312" w:cs="Times New Roman"/>
          <w:color w:val="auto"/>
          <w:sz w:val="32"/>
          <w:szCs w:val="32"/>
        </w:rPr>
        <w:t>%。</w:t>
      </w:r>
      <w:r>
        <w:rPr>
          <w:rFonts w:ascii="Times New Roman" w:hAnsi="Times New Roman" w:eastAsia="仿宋_GB2312" w:cs="Times New Roman"/>
          <w:color w:val="000000" w:themeColor="text1"/>
          <w:sz w:val="32"/>
          <w:szCs w:val="32"/>
          <w14:textFill>
            <w14:solidFill>
              <w14:schemeClr w14:val="tx1"/>
            </w14:solidFill>
          </w14:textFill>
        </w:rPr>
        <w:t>货物采购授予中小企业合同金额占货物支出金额的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50</w:t>
      </w:r>
      <w:r>
        <w:rPr>
          <w:rFonts w:ascii="Times New Roman" w:hAnsi="Times New Roman" w:eastAsia="仿宋_GB2312" w:cs="Times New Roman"/>
          <w:color w:val="000000" w:themeColor="text1"/>
          <w:sz w:val="32"/>
          <w:szCs w:val="32"/>
          <w14:textFill>
            <w14:solidFill>
              <w14:schemeClr w14:val="tx1"/>
            </w14:solidFill>
          </w14:textFill>
        </w:rPr>
        <w:t>%，工程采购授予中小企业合同金额占工程支出金额的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ascii="Times New Roman" w:hAnsi="Times New Roman" w:eastAsia="仿宋_GB2312" w:cs="Times New Roman"/>
          <w:color w:val="000000" w:themeColor="text1"/>
          <w:sz w:val="32"/>
          <w:szCs w:val="32"/>
          <w14:textFill>
            <w14:solidFill>
              <w14:schemeClr w14:val="tx1"/>
            </w14:solidFill>
          </w14:textFill>
        </w:rPr>
        <w:t>%，服务采购授予中小企业合同金额占服务支出金额的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65</w:t>
      </w:r>
      <w:r>
        <w:rPr>
          <w:rFonts w:ascii="Times New Roman" w:hAnsi="Times New Roman" w:eastAsia="仿宋_GB2312" w:cs="Times New Roman"/>
          <w:color w:val="000000" w:themeColor="text1"/>
          <w:sz w:val="32"/>
          <w:szCs w:val="32"/>
          <w14:textFill>
            <w14:solidFill>
              <w14:schemeClr w14:val="tx1"/>
            </w14:solidFill>
          </w14:textFill>
        </w:rPr>
        <w:t>%。</w:t>
      </w:r>
    </w:p>
    <w:p w14:paraId="575C8DA7">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715B0B5A">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年12月31日，部门（单位）共有车辆</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val="en-US" w:eastAsia="zh-CN"/>
        </w:rPr>
        <w:t>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台（套）。</w:t>
      </w:r>
      <w:bookmarkStart w:id="0" w:name="_GoBack"/>
      <w:bookmarkEnd w:id="0"/>
    </w:p>
    <w:p w14:paraId="42542468">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5</w:t>
      </w:r>
      <w:r>
        <w:rPr>
          <w:rFonts w:ascii="Times New Roman" w:hAnsi="Times New Roman" w:cs="Times New Roman"/>
          <w:bCs/>
          <w:color w:val="auto"/>
          <w:sz w:val="32"/>
          <w:szCs w:val="32"/>
        </w:rPr>
        <w:t>年度预算绩效情况的说明</w:t>
      </w:r>
    </w:p>
    <w:p w14:paraId="3FC40FF4">
      <w:pPr>
        <w:overflowPunct w:val="0"/>
        <w:spacing w:line="600" w:lineRule="exact"/>
        <w:ind w:firstLine="640" w:firstLineChars="200"/>
        <w:rPr>
          <w:rFonts w:hint="eastAsia" w:ascii="Times New Roman" w:hAnsi="Times New Roman" w:eastAsia="仿宋_GB2312" w:cs="Times New Roman"/>
          <w:kern w:val="0"/>
          <w:sz w:val="32"/>
          <w:szCs w:val="32"/>
          <w:lang w:eastAsia="zh-CN"/>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年度本部门（单位）整体支出开展绩效自评，涉及项目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271.28</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271.28</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3.77</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p>
    <w:p w14:paraId="76045CD1">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8237.56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7201.45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87.42</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98.34</w:t>
      </w:r>
      <w:r>
        <w:rPr>
          <w:rFonts w:ascii="Times New Roman" w:hAnsi="Times New Roman" w:eastAsia="仿宋_GB2312" w:cs="Times New Roman"/>
          <w:sz w:val="32"/>
          <w:szCs w:val="32"/>
        </w:rPr>
        <w:t>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评价等级为“优”</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val="en-US" w:eastAsia="zh-CN"/>
        </w:rPr>
        <w:t>我馆2025年基本支出财政资金年底无结余，已全部用于职工工资及退休费，资金执行率100%</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项目资金</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val="en-US" w:eastAsia="zh-CN"/>
        </w:rPr>
        <w:t>一是部分项目执行率偏低，项目资金到位较晚，导致资金未能及时、充分投入使用，进而使项目未能按计划完成；二是我馆经营场所设施设备老化问题日趋突出，亟需更新改造，受此影响，我馆经营收入下滑，资金周转困难，无法自主实施维修改造；同时受楼堂馆所相关政策限制，本馆无法申请提质改造专项资金。</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lang w:val="en-US" w:eastAsia="zh-CN"/>
        </w:rPr>
        <w:t>我馆将在2026年着力加快各结转项目的实施进度，确保项目按计划稳步推进</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将进一步加强项目资金管理，优化资金拨付和使用流程，力求显著提升资金使用效率与效益</w:t>
      </w:r>
      <w:r>
        <w:rPr>
          <w:rFonts w:ascii="Times New Roman" w:hAnsi="Times New Roman" w:eastAsia="仿宋_GB2312" w:cs="Times New Roman"/>
          <w:kern w:val="0"/>
          <w:sz w:val="32"/>
          <w:szCs w:val="32"/>
        </w:rPr>
        <w:t>。</w:t>
      </w:r>
    </w:p>
    <w:p w14:paraId="6BA1A987">
      <w:pPr>
        <w:pStyle w:val="14"/>
        <w:overflowPunct w:val="0"/>
        <w:autoSpaceDE/>
        <w:autoSpaceDN/>
        <w:spacing w:line="600" w:lineRule="exact"/>
        <w:ind w:firstLine="640" w:firstLineChars="200"/>
        <w:jc w:val="both"/>
        <w:rPr>
          <w:rFonts w:hint="eastAsia" w:eastAsia="黑体"/>
          <w:color w:val="000000" w:themeColor="text1"/>
          <w:lang w:eastAsia="zh-CN"/>
          <w14:textFill>
            <w14:solidFill>
              <w14:schemeClr w14:val="tx1"/>
            </w14:solidFill>
          </w14:textFill>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2025年绩效自评仅开展整体绩效评价，无单独项目评价，根据本次整体绩效评价结果，我馆计划在2026年加快项目资金使用进度，提升资金使用效益，争取按计划在年度内完成全部项目资金支出。</w:t>
      </w:r>
    </w:p>
    <w:p w14:paraId="19A37B74">
      <w:pPr>
        <w:pStyle w:val="14"/>
        <w:jc w:val="center"/>
        <w:rPr>
          <w:rFonts w:ascii="Times New Roman" w:hAnsi="Times New Roman" w:cs="Times New Roman"/>
          <w:sz w:val="72"/>
          <w:szCs w:val="72"/>
        </w:rPr>
      </w:pPr>
    </w:p>
    <w:p w14:paraId="47C9367F">
      <w:pPr>
        <w:pStyle w:val="14"/>
        <w:spacing w:line="360" w:lineRule="auto"/>
        <w:jc w:val="center"/>
        <w:rPr>
          <w:rFonts w:ascii="Times New Roman" w:hAnsi="Times New Roman" w:eastAsia="方正小标宋_GBK" w:cs="Times New Roman"/>
          <w:sz w:val="52"/>
          <w:szCs w:val="52"/>
        </w:rPr>
      </w:pPr>
    </w:p>
    <w:p w14:paraId="1C562F06">
      <w:pPr>
        <w:pStyle w:val="14"/>
        <w:spacing w:line="360" w:lineRule="auto"/>
        <w:jc w:val="center"/>
        <w:rPr>
          <w:rFonts w:ascii="Times New Roman" w:hAnsi="Times New Roman" w:eastAsia="方正小标宋_GBK" w:cs="Times New Roman"/>
          <w:sz w:val="52"/>
          <w:szCs w:val="52"/>
        </w:rPr>
      </w:pPr>
    </w:p>
    <w:p w14:paraId="6582F794">
      <w:pPr>
        <w:pStyle w:val="14"/>
        <w:spacing w:line="360" w:lineRule="auto"/>
        <w:jc w:val="center"/>
        <w:rPr>
          <w:rFonts w:ascii="Times New Roman" w:hAnsi="Times New Roman" w:eastAsia="方正小标宋_GBK" w:cs="Times New Roman"/>
          <w:sz w:val="52"/>
          <w:szCs w:val="52"/>
        </w:rPr>
      </w:pPr>
    </w:p>
    <w:p w14:paraId="7D0A75EB">
      <w:pPr>
        <w:pStyle w:val="14"/>
        <w:spacing w:line="360" w:lineRule="auto"/>
        <w:jc w:val="center"/>
        <w:rPr>
          <w:rFonts w:ascii="Times New Roman" w:hAnsi="Times New Roman" w:eastAsia="方正小标宋_GBK" w:cs="Times New Roman"/>
          <w:sz w:val="52"/>
          <w:szCs w:val="52"/>
        </w:rPr>
      </w:pPr>
    </w:p>
    <w:p w14:paraId="786162F9">
      <w:pPr>
        <w:pStyle w:val="14"/>
        <w:spacing w:line="360" w:lineRule="auto"/>
        <w:jc w:val="center"/>
        <w:rPr>
          <w:rFonts w:ascii="Times New Roman" w:hAnsi="Times New Roman" w:eastAsia="方正小标宋_GBK" w:cs="Times New Roman"/>
          <w:sz w:val="52"/>
          <w:szCs w:val="52"/>
        </w:rPr>
      </w:pPr>
    </w:p>
    <w:p w14:paraId="736353AA">
      <w:pPr>
        <w:pStyle w:val="14"/>
        <w:spacing w:line="360" w:lineRule="auto"/>
        <w:jc w:val="center"/>
        <w:rPr>
          <w:rFonts w:ascii="Times New Roman" w:hAnsi="Times New Roman" w:eastAsia="方正小标宋_GBK" w:cs="Times New Roman"/>
          <w:sz w:val="52"/>
          <w:szCs w:val="52"/>
        </w:rPr>
      </w:pPr>
    </w:p>
    <w:p w14:paraId="568D0891">
      <w:pPr>
        <w:pStyle w:val="14"/>
        <w:spacing w:line="360" w:lineRule="auto"/>
        <w:jc w:val="center"/>
        <w:rPr>
          <w:rFonts w:ascii="Times New Roman" w:hAnsi="Times New Roman" w:eastAsia="方正小标宋_GBK" w:cs="Times New Roman"/>
          <w:sz w:val="52"/>
          <w:szCs w:val="52"/>
        </w:rPr>
      </w:pPr>
    </w:p>
    <w:p w14:paraId="607DC9CF">
      <w:pPr>
        <w:pStyle w:val="14"/>
        <w:spacing w:line="360" w:lineRule="auto"/>
        <w:jc w:val="center"/>
        <w:rPr>
          <w:rFonts w:ascii="Times New Roman" w:hAnsi="Times New Roman" w:eastAsia="方正小标宋_GBK" w:cs="Times New Roman"/>
          <w:sz w:val="52"/>
          <w:szCs w:val="52"/>
        </w:rPr>
      </w:pPr>
    </w:p>
    <w:p w14:paraId="3CFDF373">
      <w:pPr>
        <w:pStyle w:val="14"/>
        <w:spacing w:line="360" w:lineRule="auto"/>
        <w:jc w:val="center"/>
        <w:rPr>
          <w:rFonts w:ascii="Times New Roman" w:hAnsi="Times New Roman" w:eastAsia="方正小标宋_GBK" w:cs="Times New Roman"/>
          <w:sz w:val="52"/>
          <w:szCs w:val="52"/>
        </w:rPr>
      </w:pPr>
    </w:p>
    <w:p w14:paraId="30D23428">
      <w:pPr>
        <w:pStyle w:val="14"/>
        <w:spacing w:line="360" w:lineRule="auto"/>
        <w:jc w:val="center"/>
        <w:rPr>
          <w:rFonts w:ascii="Times New Roman" w:hAnsi="Times New Roman" w:eastAsia="方正小标宋_GBK" w:cs="Times New Roman"/>
          <w:sz w:val="52"/>
          <w:szCs w:val="52"/>
        </w:rPr>
      </w:pPr>
    </w:p>
    <w:p w14:paraId="27738ECC">
      <w:pPr>
        <w:pStyle w:val="14"/>
        <w:spacing w:line="360" w:lineRule="auto"/>
        <w:jc w:val="center"/>
        <w:rPr>
          <w:rFonts w:ascii="Times New Roman" w:hAnsi="Times New Roman" w:eastAsia="方正小标宋_GBK" w:cs="Times New Roman"/>
          <w:sz w:val="52"/>
          <w:szCs w:val="52"/>
        </w:rPr>
      </w:pPr>
    </w:p>
    <w:p w14:paraId="00E501CA">
      <w:pPr>
        <w:pStyle w:val="14"/>
        <w:spacing w:line="360" w:lineRule="auto"/>
        <w:jc w:val="center"/>
        <w:rPr>
          <w:rFonts w:ascii="Times New Roman" w:hAnsi="Times New Roman" w:eastAsia="方正小标宋_GBK" w:cs="Times New Roman"/>
          <w:sz w:val="52"/>
          <w:szCs w:val="52"/>
        </w:rPr>
      </w:pPr>
    </w:p>
    <w:p w14:paraId="136EF90C">
      <w:pPr>
        <w:pStyle w:val="14"/>
        <w:spacing w:line="360" w:lineRule="auto"/>
        <w:jc w:val="center"/>
        <w:rPr>
          <w:rFonts w:ascii="Times New Roman" w:hAnsi="Times New Roman" w:eastAsia="方正小标宋_GBK" w:cs="Times New Roman"/>
          <w:sz w:val="52"/>
          <w:szCs w:val="52"/>
        </w:rPr>
      </w:pPr>
    </w:p>
    <w:p w14:paraId="47F1CC38">
      <w:pPr>
        <w:pStyle w:val="14"/>
        <w:spacing w:line="360" w:lineRule="auto"/>
        <w:jc w:val="center"/>
        <w:rPr>
          <w:rFonts w:ascii="Times New Roman" w:hAnsi="Times New Roman" w:eastAsia="方正小标宋_GBK" w:cs="Times New Roman"/>
          <w:sz w:val="52"/>
          <w:szCs w:val="52"/>
        </w:rPr>
      </w:pPr>
    </w:p>
    <w:p w14:paraId="33011893">
      <w:pPr>
        <w:pStyle w:val="14"/>
        <w:spacing w:line="360" w:lineRule="auto"/>
        <w:jc w:val="center"/>
        <w:rPr>
          <w:rFonts w:ascii="Times New Roman" w:hAnsi="Times New Roman" w:eastAsia="方正小标宋_GBK" w:cs="Times New Roman"/>
          <w:sz w:val="52"/>
          <w:szCs w:val="52"/>
        </w:rPr>
      </w:pPr>
    </w:p>
    <w:p w14:paraId="3629C179">
      <w:pPr>
        <w:pStyle w:val="14"/>
        <w:spacing w:line="360" w:lineRule="auto"/>
        <w:jc w:val="center"/>
        <w:rPr>
          <w:rFonts w:ascii="Times New Roman" w:hAnsi="Times New Roman" w:eastAsia="方正小标宋_GBK" w:cs="Times New Roman"/>
          <w:sz w:val="52"/>
          <w:szCs w:val="52"/>
        </w:rPr>
      </w:pPr>
    </w:p>
    <w:p w14:paraId="6C26C5E0">
      <w:pPr>
        <w:pStyle w:val="14"/>
        <w:spacing w:line="360" w:lineRule="auto"/>
        <w:jc w:val="center"/>
        <w:rPr>
          <w:rFonts w:ascii="Times New Roman" w:hAnsi="Times New Roman" w:eastAsia="方正小标宋_GBK" w:cs="Times New Roman"/>
          <w:sz w:val="52"/>
          <w:szCs w:val="52"/>
        </w:rPr>
      </w:pPr>
    </w:p>
    <w:p w14:paraId="4C0590FB">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16F4D5BB">
      <w:pPr>
        <w:widowControl/>
        <w:jc w:val="left"/>
        <w:rPr>
          <w:rFonts w:ascii="Times New Roman" w:hAnsi="Times New Roman" w:cs="Times New Roman"/>
          <w:color w:val="000000"/>
          <w:kern w:val="0"/>
          <w:sz w:val="32"/>
          <w:szCs w:val="32"/>
        </w:rPr>
      </w:pPr>
    </w:p>
    <w:p w14:paraId="7E98737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1.财政拨款收入：指单位从同级财政部门取得的财政预算资金。</w:t>
      </w:r>
    </w:p>
    <w:p w14:paraId="5D62B8F4">
      <w:pPr>
        <w:pStyle w:val="14"/>
        <w:ind w:firstLine="640" w:firstLineChars="200"/>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2.事业收入：指事业单位开展专业业务活动及辅助活动取得的收入。</w:t>
      </w:r>
    </w:p>
    <w:p w14:paraId="4AE67800">
      <w:pPr>
        <w:pStyle w:val="14"/>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　　3.经营收入：指事业单位在专业业务活动及其辅助活动之外开展非独立核算经营活动取得的收入。</w:t>
      </w:r>
    </w:p>
    <w:p w14:paraId="0620478E">
      <w:pPr>
        <w:pStyle w:val="14"/>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　  4.其他收入：指单位取得的除上述收入以外的各项收入。如捐赠收入、利息收入等。</w:t>
      </w:r>
    </w:p>
    <w:p w14:paraId="230C547E">
      <w:pPr>
        <w:pStyle w:val="14"/>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　　5.年初结转和结余：指单位以前年度尚未完成、结转到本年按有关规定继续使用的资金。</w:t>
      </w:r>
    </w:p>
    <w:p w14:paraId="31186C09">
      <w:pPr>
        <w:pStyle w:val="14"/>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　  6.年末结转和结余：指本年度或以前年度预算安排、因客观条件发生变化无法按原计划实施，需延迟到以后年度按有关规定继续使用的资金。</w:t>
      </w:r>
    </w:p>
    <w:p w14:paraId="39B1AF33">
      <w:pPr>
        <w:pStyle w:val="14"/>
        <w:ind w:firstLine="640" w:firstLineChars="200"/>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7.用事业基金弥补收支差额：指事业单位在当年的“财政拨款收入”、“事业收入”、“经营收入”和“其他收入”不足以安排当年支出的情况下，使用以前年度积累的事业基金(即事业单位以前各年度收支相抵后，按国家规定提取、用于弥补以后年度收支差额的基金)弥补本年收支缺口的资金。</w:t>
      </w:r>
    </w:p>
    <w:p w14:paraId="5EFF2E0C">
      <w:pPr>
        <w:pStyle w:val="14"/>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　　8.基本支出：指为保障机构正常运转、完成日常工作任务而发生的人员支出和公用支出。</w:t>
      </w:r>
    </w:p>
    <w:p w14:paraId="49CF9097">
      <w:pPr>
        <w:pStyle w:val="14"/>
        <w:keepNext w:val="0"/>
        <w:keepLines w:val="0"/>
        <w:pageBreakBefore w:val="0"/>
        <w:widowControl w:val="0"/>
        <w:kinsoku/>
        <w:wordWrap/>
        <w:overflowPunct/>
        <w:topLinePunct w:val="0"/>
        <w:autoSpaceDE w:val="0"/>
        <w:autoSpaceDN w:val="0"/>
        <w:bidi w:val="0"/>
        <w:adjustRightInd w:val="0"/>
        <w:snapToGrid/>
        <w:ind w:firstLine="0" w:firstLineChars="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　  9.项目支出：指在基本支出之外，为完成特定行政任务和事业发展目标所发生的支出。</w:t>
      </w:r>
    </w:p>
    <w:p w14:paraId="20C57434">
      <w:pPr>
        <w:pStyle w:val="14"/>
        <w:keepNext w:val="0"/>
        <w:keepLines w:val="0"/>
        <w:pageBreakBefore w:val="0"/>
        <w:widowControl w:val="0"/>
        <w:kinsoku/>
        <w:wordWrap/>
        <w:overflowPunct/>
        <w:topLinePunct w:val="0"/>
        <w:autoSpaceDE w:val="0"/>
        <w:autoSpaceDN w:val="0"/>
        <w:bidi w:val="0"/>
        <w:adjustRightInd w:val="0"/>
        <w:snapToGrid/>
        <w:ind w:firstLine="0" w:firstLineChars="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　 10.机关运行经费：指各部门的公用经费，包括办公及印刷费、邮电费、差旅费、会议费、福利费、日常维修费、专用资料及一般设备购置费、办公用房水电费、办公用房取暖费、办公用房物业管理费、公务用车运行维护费以及其他费用。</w:t>
      </w:r>
    </w:p>
    <w:p w14:paraId="6DD9C8DF">
      <w:pPr>
        <w:pStyle w:val="14"/>
        <w:keepNext w:val="0"/>
        <w:keepLines w:val="0"/>
        <w:pageBreakBefore w:val="0"/>
        <w:widowControl w:val="0"/>
        <w:kinsoku/>
        <w:wordWrap/>
        <w:overflowPunct/>
        <w:topLinePunct w:val="0"/>
        <w:autoSpaceDE w:val="0"/>
        <w:autoSpaceDN w:val="0"/>
        <w:bidi w:val="0"/>
        <w:adjustRightInd w:val="0"/>
        <w:snapToGrid/>
        <w:ind w:firstLine="0" w:firstLineChars="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　　11.“三公”经费：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257AC9C4">
      <w:pPr>
        <w:pStyle w:val="14"/>
        <w:jc w:val="center"/>
        <w:rPr>
          <w:rFonts w:ascii="Times New Roman" w:hAnsi="Times New Roman" w:cs="Times New Roman"/>
          <w:sz w:val="72"/>
          <w:szCs w:val="72"/>
        </w:rPr>
      </w:pPr>
    </w:p>
    <w:p w14:paraId="54FC9A2F">
      <w:pPr>
        <w:pStyle w:val="14"/>
        <w:jc w:val="center"/>
        <w:rPr>
          <w:rFonts w:ascii="Times New Roman" w:hAnsi="Times New Roman" w:cs="Times New Roman"/>
          <w:sz w:val="72"/>
          <w:szCs w:val="72"/>
        </w:rPr>
      </w:pPr>
    </w:p>
    <w:p w14:paraId="28A49412">
      <w:pPr>
        <w:pStyle w:val="14"/>
        <w:jc w:val="center"/>
        <w:rPr>
          <w:rFonts w:ascii="Times New Roman" w:hAnsi="Times New Roman" w:cs="Times New Roman"/>
          <w:sz w:val="72"/>
          <w:szCs w:val="72"/>
        </w:rPr>
      </w:pPr>
    </w:p>
    <w:p w14:paraId="15B2D5AF">
      <w:pPr>
        <w:pStyle w:val="14"/>
        <w:jc w:val="center"/>
        <w:rPr>
          <w:rFonts w:ascii="Times New Roman" w:hAnsi="Times New Roman" w:cs="Times New Roman"/>
          <w:sz w:val="72"/>
          <w:szCs w:val="72"/>
        </w:rPr>
      </w:pPr>
    </w:p>
    <w:p w14:paraId="75B98E8A">
      <w:pPr>
        <w:pStyle w:val="14"/>
        <w:jc w:val="center"/>
        <w:rPr>
          <w:rFonts w:ascii="Times New Roman" w:hAnsi="Times New Roman" w:cs="Times New Roman"/>
          <w:sz w:val="72"/>
          <w:szCs w:val="72"/>
        </w:rPr>
      </w:pPr>
    </w:p>
    <w:p w14:paraId="531A03A4">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473484A">
      <w:pPr>
        <w:rPr>
          <w:rFonts w:ascii="Times New Roman" w:hAnsi="Times New Roman" w:cs="Times New Roman"/>
          <w:sz w:val="72"/>
          <w:szCs w:val="72"/>
        </w:rPr>
      </w:pPr>
    </w:p>
    <w:p w14:paraId="1F298B16">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年度部门(单位)整体支出绩效自评报告。</w:t>
      </w:r>
    </w:p>
    <w:p w14:paraId="4FF31BB6">
      <w:pPr>
        <w:pStyle w:val="14"/>
        <w:spacing w:line="600" w:lineRule="exact"/>
        <w:ind w:firstLine="640" w:firstLineChars="200"/>
        <w:rPr>
          <w:rFonts w:ascii="Times New Roman" w:hAnsi="Times New Roman" w:eastAsia="仿宋_GB2312" w:cs="Times New Roman"/>
          <w:sz w:val="32"/>
          <w:szCs w:val="32"/>
        </w:rPr>
      </w:pPr>
    </w:p>
    <w:p w14:paraId="340EBD7A">
      <w:pPr>
        <w:pStyle w:val="14"/>
        <w:jc w:val="center"/>
        <w:rPr>
          <w:rFonts w:ascii="Times New Roman" w:hAnsi="Times New Roman" w:cs="Times New Roman"/>
          <w:sz w:val="72"/>
          <w:szCs w:val="72"/>
        </w:rPr>
      </w:pPr>
    </w:p>
    <w:p w14:paraId="335466EF">
      <w:pPr>
        <w:pStyle w:val="14"/>
        <w:jc w:val="center"/>
        <w:rPr>
          <w:rFonts w:ascii="Times New Roman" w:hAnsi="Times New Roman" w:cs="Times New Roman"/>
          <w:sz w:val="72"/>
          <w:szCs w:val="72"/>
        </w:rPr>
      </w:pPr>
    </w:p>
    <w:p w14:paraId="74C0C9CC">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F1ABCE9-AEB6-4576-B0E8-D19BCAC443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FC8A2226-0C58-4DA5-AAAE-F0CCAB1E6AF2}"/>
  </w:font>
  <w:font w:name="方正小标宋_GBK">
    <w:panose1 w:val="02000000000000000000"/>
    <w:charset w:val="86"/>
    <w:family w:val="script"/>
    <w:pitch w:val="default"/>
    <w:sig w:usb0="A00002BF" w:usb1="38CF7CFA" w:usb2="00082016" w:usb3="00000000" w:csb0="00040001" w:csb1="00000000"/>
    <w:embedRegular r:id="rId3" w:fontKey="{A29216C6-0EFC-46A1-AD27-1398146AE4AE}"/>
  </w:font>
  <w:font w:name="仿宋_GB2312">
    <w:altName w:val="仿宋"/>
    <w:panose1 w:val="02010609030101010101"/>
    <w:charset w:val="86"/>
    <w:family w:val="modern"/>
    <w:pitch w:val="default"/>
    <w:sig w:usb0="00000000" w:usb1="00000000" w:usb2="00000000" w:usb3="00000000" w:csb0="00040000" w:csb1="00000000"/>
    <w:embedRegular r:id="rId4" w:fontKey="{15F07B0D-8949-471A-A754-E2A776900EFB}"/>
  </w:font>
  <w:font w:name="仿宋">
    <w:panose1 w:val="02010609060101010101"/>
    <w:charset w:val="86"/>
    <w:family w:val="auto"/>
    <w:pitch w:val="default"/>
    <w:sig w:usb0="800002BF" w:usb1="38CF7CFA" w:usb2="00000016" w:usb3="00000000" w:csb0="00040001" w:csb1="00000000"/>
    <w:embedRegular r:id="rId5" w:fontKey="{3A1696E5-90CA-4E07-BF43-DEFE1BE5F44B}"/>
  </w:font>
  <w:font w:name="楷体_GB2312">
    <w:altName w:val="楷体"/>
    <w:panose1 w:val="02010609030101010101"/>
    <w:charset w:val="86"/>
    <w:family w:val="modern"/>
    <w:pitch w:val="default"/>
    <w:sig w:usb0="00000000" w:usb1="00000000" w:usb2="00000000" w:usb3="00000000" w:csb0="00040000" w:csb1="00000000"/>
    <w:embedRegular r:id="rId6" w:fontKey="{1CBA8CA2-5682-4E19-8125-6EF1B4B35231}"/>
  </w:font>
  <w:font w:name="楷体">
    <w:panose1 w:val="02010609060101010101"/>
    <w:charset w:val="86"/>
    <w:family w:val="modern"/>
    <w:pitch w:val="default"/>
    <w:sig w:usb0="800002BF" w:usb1="38CF7CFA" w:usb2="00000016" w:usb3="00000000" w:csb0="00040001" w:csb1="00000000"/>
    <w:embedRegular r:id="rId7" w:fontKey="{74E5664F-1631-4407-8374-08BB0D23EA5A}"/>
  </w:font>
  <w:font w:name="KSOFE44F9426">
    <w:panose1 w:val="020106090601010101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4245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2C194">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99F36">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B39D8">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C53CC">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D7C53CC">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624B2B"/>
    <w:multiLevelType w:val="singleLevel"/>
    <w:tmpl w:val="2A624B2B"/>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50336"/>
    <w:rsid w:val="08363483"/>
    <w:rsid w:val="0A03214F"/>
    <w:rsid w:val="0BB718E6"/>
    <w:rsid w:val="0D5E326E"/>
    <w:rsid w:val="0EDE14AF"/>
    <w:rsid w:val="0F5C6C7C"/>
    <w:rsid w:val="14AD74AF"/>
    <w:rsid w:val="167F5293"/>
    <w:rsid w:val="20F41A52"/>
    <w:rsid w:val="2C892158"/>
    <w:rsid w:val="2C9040D1"/>
    <w:rsid w:val="30035236"/>
    <w:rsid w:val="31FC40E9"/>
    <w:rsid w:val="33457BD0"/>
    <w:rsid w:val="36C77676"/>
    <w:rsid w:val="384173B9"/>
    <w:rsid w:val="3D9A70B8"/>
    <w:rsid w:val="3FCA3708"/>
    <w:rsid w:val="40707207"/>
    <w:rsid w:val="43AF4D7E"/>
    <w:rsid w:val="4AAC6088"/>
    <w:rsid w:val="4AB929EB"/>
    <w:rsid w:val="4CDC053A"/>
    <w:rsid w:val="4D73049B"/>
    <w:rsid w:val="4F48352F"/>
    <w:rsid w:val="51582822"/>
    <w:rsid w:val="56AD2D50"/>
    <w:rsid w:val="592E5CC1"/>
    <w:rsid w:val="5BDF3B2C"/>
    <w:rsid w:val="5D174FF4"/>
    <w:rsid w:val="611F6F3D"/>
    <w:rsid w:val="62F13654"/>
    <w:rsid w:val="6458100E"/>
    <w:rsid w:val="64B95736"/>
    <w:rsid w:val="69153E98"/>
    <w:rsid w:val="69776A48"/>
    <w:rsid w:val="6AF5521B"/>
    <w:rsid w:val="6EC65CF9"/>
    <w:rsid w:val="6ECE7B46"/>
    <w:rsid w:val="6FCD2E1D"/>
    <w:rsid w:val="75ED2089"/>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正文格式"/>
    <w:qFormat/>
    <w:uiPriority w:val="0"/>
    <w:pPr>
      <w:spacing w:beforeLines="50" w:afterLines="50" w:line="360" w:lineRule="auto"/>
      <w:ind w:firstLine="480" w:firstLineChars="200"/>
    </w:pPr>
    <w:rPr>
      <w:rFonts w:ascii="Times New Roman" w:hAnsi="Times New Roman" w:eastAsia="宋体" w:cs="Times New Roman"/>
      <w:kern w:val="2"/>
      <w:sz w:val="24"/>
      <w:szCs w:val="22"/>
      <w:lang w:val="en-US" w:eastAsia="zh-CN" w:bidi="ar-SA"/>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table" w:styleId="10">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4F0B27C0AAC35EFA9177686ADDD5E058</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36e786-1d5d-495a-bf45-678e3724ffd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3991</Words>
  <Characters>4440</Characters>
  <Lines>69</Lines>
  <Paragraphs>19</Paragraphs>
  <TotalTime>52</TotalTime>
  <ScaleCrop>false</ScaleCrop>
  <LinksUpToDate>false</LinksUpToDate>
  <CharactersWithSpaces>4484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2025-08-19T18:17:00Z</dcterms:created>
  <dc:creator>李航 null</dc:creator>
  <cp:lastModifiedBy>pzy</cp:lastModifiedBy>
  <cp:lastPrinted>2024-08-10T02:20:00Z</cp:lastPrinted>
  <dcterms:modified xsi:type="dcterms:W3CDTF">2026-08-24T08:55:02Z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41867448F8F049D889867521C89DE10E_13</vt:lpwstr>
  </property>
  <property fmtid="{D5CDD505-2E9C-101B-9397-08002B2CF9AE}" pid="4" name="KSOTemplateDocerSaveRecord">
    <vt:lpwstr>eyJoZGlkIjoiNGU3NGI2MTE1ZGU5MzgwNGI3NGNmZmI4NDlhZmRmZWIiLCJ1c2VySWQiOiI0ODYxMTEwODQifQ==</vt:lpwstr>
  </property>
</Properties>
</file>