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B86A0B1">
      <w:pPr>
        <w:keepNext w:val="0"/>
        <w:keepLines w:val="0"/>
        <w:pageBreakBefore w:val="0"/>
        <w:kinsoku/>
        <w:wordWrap/>
        <w:overflowPunct/>
        <w:topLinePunct w:val="0"/>
        <w:autoSpaceDE/>
        <w:autoSpaceDN/>
        <w:bidi w:val="0"/>
        <w:adjustRightInd/>
        <w:snapToGrid/>
        <w:spacing w:line="598" w:lineRule="exact"/>
        <w:jc w:val="both"/>
        <w:outlineLvl w:val="2"/>
        <w:rPr>
          <w:rFonts w:hint="eastAsia" w:ascii="黑体" w:hAnsi="黑体" w:eastAsia="黑体" w:cs="黑体"/>
          <w:b w:val="0"/>
          <w:bCs/>
          <w:color w:val="000000"/>
          <w:kern w:val="2"/>
          <w:sz w:val="32"/>
          <w:szCs w:val="32"/>
          <w:lang w:val="en-US" w:eastAsia="zh-CN" w:bidi="ar-SA"/>
        </w:rPr>
      </w:pPr>
      <w:r>
        <w:rPr>
          <w:rFonts w:hint="eastAsia" w:ascii="黑体" w:hAnsi="黑体" w:eastAsia="黑体" w:cs="黑体"/>
          <w:b w:val="0"/>
          <w:bCs/>
          <w:color w:val="000000"/>
          <w:kern w:val="2"/>
          <w:sz w:val="32"/>
          <w:szCs w:val="32"/>
          <w:lang w:val="en-US" w:eastAsia="zh-CN" w:bidi="ar-SA"/>
        </w:rPr>
        <w:t>附件2</w:t>
      </w:r>
    </w:p>
    <w:p w14:paraId="1DFFD960">
      <w:pPr>
        <w:keepNext w:val="0"/>
        <w:keepLines w:val="0"/>
        <w:pageBreakBefore w:val="0"/>
        <w:widowControl w:val="0"/>
        <w:kinsoku/>
        <w:wordWrap/>
        <w:overflowPunct/>
        <w:topLinePunct w:val="0"/>
        <w:autoSpaceDE/>
        <w:autoSpaceDN/>
        <w:bidi w:val="0"/>
        <w:adjustRightInd/>
        <w:snapToGrid/>
        <w:spacing w:line="598" w:lineRule="exact"/>
        <w:jc w:val="center"/>
        <w:textAlignment w:val="auto"/>
        <w:outlineLvl w:val="2"/>
        <w:rPr>
          <w:rFonts w:hint="default" w:ascii="方正小标宋简体" w:hAnsi="方正小标宋简体" w:eastAsia="方正小标宋简体" w:cs="方正小标宋简体"/>
          <w:b w:val="0"/>
          <w:bCs/>
          <w:color w:val="000000"/>
          <w:kern w:val="2"/>
          <w:sz w:val="44"/>
          <w:szCs w:val="44"/>
          <w:lang w:val="en-US" w:eastAsia="zh-CN" w:bidi="ar-SA"/>
        </w:rPr>
      </w:pPr>
      <w:r>
        <w:rPr>
          <w:rFonts w:hint="eastAsia" w:ascii="方正小标宋简体" w:hAnsi="方正小标宋简体" w:eastAsia="方正小标宋简体" w:cs="方正小标宋简体"/>
          <w:b w:val="0"/>
          <w:bCs/>
          <w:color w:val="000000"/>
          <w:kern w:val="2"/>
          <w:sz w:val="44"/>
          <w:szCs w:val="44"/>
          <w:lang w:val="en-US" w:eastAsia="zh-CN" w:bidi="ar-SA"/>
        </w:rPr>
        <w:t>评审因素</w:t>
      </w:r>
    </w:p>
    <w:tbl>
      <w:tblPr>
        <w:tblStyle w:val="7"/>
        <w:tblpPr w:leftFromText="180" w:rightFromText="180" w:vertAnchor="text" w:horzAnchor="page" w:tblpXSpec="center" w:tblpY="348"/>
        <w:tblOverlap w:val="never"/>
        <w:tblW w:w="985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07"/>
        <w:gridCol w:w="1180"/>
        <w:gridCol w:w="7670"/>
      </w:tblGrid>
      <w:tr w14:paraId="0BD2E5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jc w:val="center"/>
        </w:trPr>
        <w:tc>
          <w:tcPr>
            <w:tcW w:w="2187" w:type="dxa"/>
            <w:gridSpan w:val="2"/>
            <w:noWrap w:val="0"/>
            <w:vAlign w:val="center"/>
          </w:tcPr>
          <w:p w14:paraId="2E6CD0E4">
            <w:pPr>
              <w:spacing w:line="400" w:lineRule="exact"/>
              <w:ind w:left="628" w:leftChars="1" w:hanging="626" w:hangingChars="297"/>
              <w:jc w:val="center"/>
              <w:rPr>
                <w:rFonts w:ascii="仿宋" w:hAnsi="仿宋" w:eastAsia="仿宋" w:cs="宋体"/>
                <w:b/>
                <w:bCs/>
                <w:color w:val="auto"/>
                <w:szCs w:val="21"/>
                <w:highlight w:val="none"/>
              </w:rPr>
            </w:pPr>
            <w:r>
              <w:rPr>
                <w:rFonts w:hint="eastAsia" w:ascii="仿宋" w:hAnsi="仿宋" w:eastAsia="仿宋" w:cs="宋体"/>
                <w:b/>
                <w:bCs/>
                <w:color w:val="auto"/>
                <w:szCs w:val="21"/>
                <w:highlight w:val="none"/>
              </w:rPr>
              <w:t>评审因素</w:t>
            </w:r>
          </w:p>
        </w:tc>
        <w:tc>
          <w:tcPr>
            <w:tcW w:w="7670" w:type="dxa"/>
            <w:noWrap w:val="0"/>
            <w:vAlign w:val="center"/>
          </w:tcPr>
          <w:p w14:paraId="75D6B092">
            <w:pPr>
              <w:spacing w:line="400" w:lineRule="exact"/>
              <w:ind w:left="628" w:leftChars="1" w:hanging="626" w:hangingChars="297"/>
              <w:jc w:val="center"/>
              <w:rPr>
                <w:rFonts w:ascii="仿宋" w:hAnsi="仿宋" w:eastAsia="仿宋" w:cs="宋体"/>
                <w:b/>
                <w:bCs/>
                <w:color w:val="auto"/>
                <w:szCs w:val="21"/>
                <w:highlight w:val="none"/>
              </w:rPr>
            </w:pPr>
            <w:r>
              <w:rPr>
                <w:rFonts w:hint="eastAsia" w:ascii="仿宋" w:hAnsi="仿宋" w:eastAsia="仿宋" w:cs="宋体"/>
                <w:b/>
                <w:bCs/>
                <w:color w:val="auto"/>
                <w:szCs w:val="21"/>
                <w:highlight w:val="none"/>
              </w:rPr>
              <w:t>评分标准</w:t>
            </w:r>
          </w:p>
        </w:tc>
      </w:tr>
      <w:tr w14:paraId="7C4E7F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2" w:hRule="atLeast"/>
          <w:jc w:val="center"/>
        </w:trPr>
        <w:tc>
          <w:tcPr>
            <w:tcW w:w="2187" w:type="dxa"/>
            <w:gridSpan w:val="2"/>
            <w:noWrap w:val="0"/>
            <w:vAlign w:val="center"/>
          </w:tcPr>
          <w:p w14:paraId="5FA84815">
            <w:pPr>
              <w:spacing w:line="400" w:lineRule="exact"/>
              <w:jc w:val="center"/>
              <w:rPr>
                <w:rFonts w:ascii="仿宋" w:hAnsi="仿宋" w:eastAsia="仿宋" w:cs="宋体"/>
                <w:color w:val="auto"/>
                <w:szCs w:val="21"/>
                <w:highlight w:val="none"/>
              </w:rPr>
            </w:pPr>
            <w:r>
              <w:rPr>
                <w:rFonts w:hint="eastAsia" w:ascii="仿宋" w:hAnsi="仿宋" w:eastAsia="仿宋" w:cs="宋体"/>
                <w:color w:val="auto"/>
                <w:szCs w:val="21"/>
                <w:highlight w:val="none"/>
              </w:rPr>
              <w:t>报价部分</w:t>
            </w:r>
          </w:p>
          <w:p w14:paraId="07C7D0BB">
            <w:pPr>
              <w:spacing w:line="400" w:lineRule="exact"/>
              <w:jc w:val="center"/>
              <w:rPr>
                <w:rFonts w:ascii="仿宋" w:hAnsi="仿宋" w:eastAsia="仿宋" w:cs="宋体"/>
                <w:color w:val="auto"/>
                <w:szCs w:val="21"/>
                <w:highlight w:val="none"/>
              </w:rPr>
            </w:pPr>
            <w:r>
              <w:rPr>
                <w:rFonts w:hint="eastAsia" w:ascii="仿宋" w:hAnsi="仿宋" w:eastAsia="仿宋" w:cs="宋体"/>
                <w:color w:val="auto"/>
                <w:szCs w:val="21"/>
                <w:highlight w:val="none"/>
              </w:rPr>
              <w:t>（</w:t>
            </w:r>
            <w:r>
              <w:rPr>
                <w:rFonts w:hint="eastAsia" w:ascii="仿宋" w:hAnsi="仿宋" w:eastAsia="仿宋" w:cs="宋体"/>
                <w:color w:val="auto"/>
                <w:szCs w:val="21"/>
                <w:highlight w:val="none"/>
                <w:lang w:val="en-US" w:eastAsia="zh-CN"/>
              </w:rPr>
              <w:t>30</w:t>
            </w:r>
            <w:r>
              <w:rPr>
                <w:rFonts w:hint="eastAsia" w:ascii="仿宋" w:hAnsi="仿宋" w:eastAsia="仿宋" w:cs="宋体"/>
                <w:color w:val="auto"/>
                <w:szCs w:val="21"/>
                <w:highlight w:val="none"/>
              </w:rPr>
              <w:t>分）</w:t>
            </w:r>
          </w:p>
        </w:tc>
        <w:tc>
          <w:tcPr>
            <w:tcW w:w="7670" w:type="dxa"/>
            <w:noWrap w:val="0"/>
            <w:vAlign w:val="center"/>
          </w:tcPr>
          <w:p w14:paraId="49BD9724">
            <w:pPr>
              <w:spacing w:line="400" w:lineRule="exact"/>
              <w:rPr>
                <w:rFonts w:ascii="仿宋" w:hAnsi="仿宋" w:eastAsia="仿宋" w:cs="宋体"/>
                <w:color w:val="auto"/>
                <w:szCs w:val="21"/>
                <w:highlight w:val="none"/>
              </w:rPr>
            </w:pPr>
            <w:r>
              <w:rPr>
                <w:rFonts w:hint="eastAsia" w:ascii="仿宋" w:hAnsi="仿宋" w:eastAsia="仿宋" w:cs="宋体"/>
                <w:color w:val="auto"/>
                <w:szCs w:val="21"/>
                <w:highlight w:val="none"/>
              </w:rPr>
              <w:t>满足</w:t>
            </w:r>
            <w:r>
              <w:rPr>
                <w:rFonts w:hint="eastAsia" w:ascii="仿宋" w:hAnsi="仿宋" w:eastAsia="仿宋" w:cs="宋体"/>
                <w:color w:val="auto"/>
                <w:szCs w:val="21"/>
                <w:highlight w:val="none"/>
                <w:lang w:val="en-US" w:eastAsia="zh-CN"/>
              </w:rPr>
              <w:t>谈判</w:t>
            </w:r>
            <w:r>
              <w:rPr>
                <w:rFonts w:hint="eastAsia" w:ascii="仿宋" w:hAnsi="仿宋" w:eastAsia="仿宋" w:cs="宋体"/>
                <w:color w:val="auto"/>
                <w:szCs w:val="21"/>
                <w:highlight w:val="none"/>
              </w:rPr>
              <w:t>文件要求且经调整后的最后报价最低的供应商的价格为</w:t>
            </w:r>
            <w:r>
              <w:rPr>
                <w:rFonts w:hint="eastAsia" w:ascii="仿宋" w:hAnsi="仿宋" w:eastAsia="仿宋" w:cs="宋体"/>
                <w:color w:val="auto"/>
                <w:szCs w:val="21"/>
                <w:highlight w:val="none"/>
                <w:lang w:val="en-US" w:eastAsia="zh-CN"/>
              </w:rPr>
              <w:t>谈判</w:t>
            </w:r>
            <w:r>
              <w:rPr>
                <w:rFonts w:hint="eastAsia" w:ascii="仿宋" w:hAnsi="仿宋" w:eastAsia="仿宋" w:cs="宋体"/>
                <w:color w:val="auto"/>
                <w:szCs w:val="21"/>
                <w:highlight w:val="none"/>
              </w:rPr>
              <w:t>基准价，其价格分为满分。其他供应商的价格分按照下列公式计算：报价得分=（基准价/最后报价）×价格权值</w:t>
            </w:r>
          </w:p>
          <w:p w14:paraId="24B91DEB">
            <w:pPr>
              <w:pStyle w:val="6"/>
              <w:spacing w:after="0" w:line="400" w:lineRule="exact"/>
              <w:ind w:left="0" w:leftChars="0" w:firstLine="0" w:firstLineChars="0"/>
              <w:rPr>
                <w:rFonts w:ascii="仿宋" w:hAnsi="仿宋" w:eastAsia="仿宋" w:cs="宋体"/>
                <w:color w:val="auto"/>
                <w:szCs w:val="21"/>
                <w:highlight w:val="none"/>
              </w:rPr>
            </w:pPr>
            <w:r>
              <w:rPr>
                <w:rFonts w:hint="eastAsia" w:ascii="仿宋" w:hAnsi="仿宋" w:eastAsia="仿宋" w:cs="宋体"/>
                <w:color w:val="auto"/>
                <w:szCs w:val="21"/>
                <w:highlight w:val="none"/>
              </w:rPr>
              <w:t>注：</w:t>
            </w:r>
            <w:r>
              <w:rPr>
                <w:rFonts w:hint="eastAsia" w:ascii="仿宋" w:hAnsi="仿宋" w:eastAsia="仿宋" w:cs="宋体"/>
                <w:color w:val="auto"/>
                <w:szCs w:val="21"/>
                <w:highlight w:val="none"/>
                <w:lang w:val="en-US" w:eastAsia="zh-CN"/>
              </w:rPr>
              <w:t>谈判</w:t>
            </w:r>
            <w:r>
              <w:rPr>
                <w:rFonts w:hint="eastAsia" w:ascii="仿宋" w:hAnsi="仿宋" w:eastAsia="仿宋" w:cs="宋体"/>
                <w:color w:val="auto"/>
                <w:szCs w:val="21"/>
                <w:highlight w:val="none"/>
              </w:rPr>
              <w:t>小组认为供应商的报价明显低于其他通过符合性审查供应商的报价，有可能影响产品质量或者不能诚信履约的，应当要求其在评标现场合理的时间内提供书面说明，必要时提交相关证明材料；供应商不能证明其报价合理性的，</w:t>
            </w:r>
            <w:r>
              <w:rPr>
                <w:rFonts w:hint="eastAsia" w:ascii="仿宋" w:hAnsi="仿宋" w:eastAsia="仿宋" w:cs="宋体"/>
                <w:color w:val="auto"/>
                <w:szCs w:val="21"/>
                <w:highlight w:val="none"/>
                <w:lang w:val="en-US" w:eastAsia="zh-CN"/>
              </w:rPr>
              <w:t>谈判</w:t>
            </w:r>
            <w:r>
              <w:rPr>
                <w:rFonts w:hint="eastAsia" w:ascii="仿宋" w:hAnsi="仿宋" w:eastAsia="仿宋" w:cs="宋体"/>
                <w:color w:val="auto"/>
                <w:szCs w:val="21"/>
                <w:highlight w:val="none"/>
              </w:rPr>
              <w:t>小组应当将其作为无效投标处理。</w:t>
            </w:r>
          </w:p>
        </w:tc>
      </w:tr>
      <w:tr w14:paraId="3D93C9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0" w:hRule="atLeast"/>
          <w:jc w:val="center"/>
        </w:trPr>
        <w:tc>
          <w:tcPr>
            <w:tcW w:w="1007" w:type="dxa"/>
            <w:vMerge w:val="restart"/>
            <w:noWrap w:val="0"/>
            <w:vAlign w:val="center"/>
          </w:tcPr>
          <w:p w14:paraId="3C7FF060">
            <w:pPr>
              <w:spacing w:line="400" w:lineRule="exact"/>
              <w:contextualSpacing/>
              <w:jc w:val="center"/>
              <w:rPr>
                <w:rFonts w:ascii="仿宋" w:hAnsi="仿宋" w:eastAsia="仿宋" w:cs="宋体"/>
                <w:color w:val="auto"/>
                <w:szCs w:val="21"/>
                <w:highlight w:val="none"/>
              </w:rPr>
            </w:pPr>
            <w:r>
              <w:rPr>
                <w:rFonts w:hint="eastAsia" w:ascii="仿宋" w:hAnsi="仿宋" w:eastAsia="仿宋" w:cs="宋体"/>
                <w:color w:val="auto"/>
                <w:szCs w:val="21"/>
                <w:highlight w:val="none"/>
              </w:rPr>
              <w:t>技术</w:t>
            </w:r>
          </w:p>
          <w:p w14:paraId="4E1DFE14">
            <w:pPr>
              <w:spacing w:line="400" w:lineRule="exact"/>
              <w:contextualSpacing/>
              <w:jc w:val="center"/>
              <w:rPr>
                <w:rFonts w:ascii="仿宋" w:hAnsi="仿宋" w:eastAsia="仿宋" w:cs="宋体"/>
                <w:color w:val="auto"/>
                <w:szCs w:val="21"/>
                <w:highlight w:val="none"/>
              </w:rPr>
            </w:pPr>
            <w:r>
              <w:rPr>
                <w:rFonts w:hint="eastAsia" w:ascii="仿宋" w:hAnsi="仿宋" w:eastAsia="仿宋" w:cs="宋体"/>
                <w:color w:val="auto"/>
                <w:szCs w:val="21"/>
                <w:highlight w:val="none"/>
              </w:rPr>
              <w:t>部分</w:t>
            </w:r>
          </w:p>
          <w:p w14:paraId="30C4F5D2">
            <w:pPr>
              <w:spacing w:line="400" w:lineRule="exact"/>
              <w:jc w:val="both"/>
              <w:rPr>
                <w:rFonts w:ascii="仿宋" w:hAnsi="仿宋" w:eastAsia="仿宋" w:cs="宋体"/>
                <w:b/>
                <w:bCs/>
                <w:color w:val="auto"/>
                <w:szCs w:val="21"/>
                <w:highlight w:val="none"/>
              </w:rPr>
            </w:pPr>
            <w:r>
              <w:rPr>
                <w:rFonts w:hint="eastAsia" w:ascii="仿宋" w:hAnsi="仿宋" w:eastAsia="仿宋" w:cs="宋体"/>
                <w:color w:val="auto"/>
                <w:szCs w:val="21"/>
                <w:highlight w:val="none"/>
              </w:rPr>
              <w:t>（</w:t>
            </w:r>
            <w:r>
              <w:rPr>
                <w:rFonts w:hint="eastAsia" w:ascii="仿宋" w:hAnsi="仿宋" w:eastAsia="仿宋" w:cs="宋体"/>
                <w:color w:val="auto"/>
                <w:szCs w:val="21"/>
                <w:highlight w:val="none"/>
                <w:lang w:val="en-US" w:eastAsia="zh-CN"/>
              </w:rPr>
              <w:t>5</w:t>
            </w:r>
            <w:r>
              <w:rPr>
                <w:rFonts w:ascii="仿宋" w:hAnsi="仿宋" w:eastAsia="仿宋" w:cs="宋体"/>
                <w:color w:val="auto"/>
                <w:szCs w:val="21"/>
                <w:highlight w:val="none"/>
              </w:rPr>
              <w:t>5</w:t>
            </w:r>
            <w:r>
              <w:rPr>
                <w:rFonts w:hint="eastAsia" w:ascii="仿宋" w:hAnsi="仿宋" w:eastAsia="仿宋" w:cs="宋体"/>
                <w:color w:val="auto"/>
                <w:szCs w:val="21"/>
                <w:highlight w:val="none"/>
              </w:rPr>
              <w:t>分）</w:t>
            </w:r>
          </w:p>
        </w:tc>
        <w:tc>
          <w:tcPr>
            <w:tcW w:w="1180" w:type="dxa"/>
            <w:tcBorders>
              <w:left w:val="single" w:color="auto" w:sz="2" w:space="0"/>
            </w:tcBorders>
            <w:noWrap w:val="0"/>
            <w:vAlign w:val="center"/>
          </w:tcPr>
          <w:p w14:paraId="082505B1">
            <w:pPr>
              <w:spacing w:line="400" w:lineRule="exact"/>
              <w:contextualSpacing/>
              <w:jc w:val="center"/>
              <w:rPr>
                <w:rFonts w:hint="eastAsia" w:ascii="仿宋" w:hAnsi="仿宋" w:eastAsia="仿宋" w:cs="宋体"/>
                <w:color w:val="auto"/>
                <w:szCs w:val="21"/>
                <w:highlight w:val="none"/>
              </w:rPr>
            </w:pPr>
            <w:r>
              <w:rPr>
                <w:rFonts w:hint="eastAsia" w:ascii="仿宋" w:hAnsi="仿宋" w:eastAsia="仿宋" w:cs="宋体"/>
                <w:color w:val="auto"/>
                <w:szCs w:val="21"/>
                <w:highlight w:val="none"/>
              </w:rPr>
              <w:t>摄制要求</w:t>
            </w:r>
          </w:p>
          <w:p w14:paraId="73FCBA18">
            <w:pPr>
              <w:spacing w:line="400" w:lineRule="exact"/>
              <w:contextualSpacing/>
              <w:jc w:val="center"/>
              <w:rPr>
                <w:rFonts w:ascii="仿宋" w:hAnsi="仿宋" w:eastAsia="仿宋" w:cs="宋体"/>
                <w:color w:val="auto"/>
                <w:szCs w:val="21"/>
                <w:highlight w:val="none"/>
              </w:rPr>
            </w:pPr>
            <w:r>
              <w:rPr>
                <w:rFonts w:hint="eastAsia" w:ascii="仿宋" w:hAnsi="仿宋" w:eastAsia="仿宋" w:cs="宋体"/>
                <w:color w:val="auto"/>
                <w:szCs w:val="21"/>
                <w:highlight w:val="none"/>
              </w:rPr>
              <w:t>（</w:t>
            </w:r>
            <w:r>
              <w:rPr>
                <w:rFonts w:hint="eastAsia" w:ascii="仿宋" w:hAnsi="仿宋" w:eastAsia="仿宋" w:cs="宋体"/>
                <w:color w:val="auto"/>
                <w:szCs w:val="21"/>
                <w:highlight w:val="none"/>
                <w:lang w:val="en-US" w:eastAsia="zh-CN"/>
              </w:rPr>
              <w:t>45</w:t>
            </w:r>
            <w:r>
              <w:rPr>
                <w:rFonts w:hint="eastAsia" w:ascii="仿宋" w:hAnsi="仿宋" w:eastAsia="仿宋" w:cs="宋体"/>
                <w:color w:val="auto"/>
                <w:szCs w:val="21"/>
                <w:highlight w:val="none"/>
              </w:rPr>
              <w:t>分）</w:t>
            </w:r>
          </w:p>
        </w:tc>
        <w:tc>
          <w:tcPr>
            <w:tcW w:w="7670" w:type="dxa"/>
            <w:noWrap w:val="0"/>
            <w:vAlign w:val="center"/>
          </w:tcPr>
          <w:p w14:paraId="2DC45AAB">
            <w:pPr>
              <w:pStyle w:val="6"/>
              <w:spacing w:after="0" w:line="400" w:lineRule="exact"/>
              <w:ind w:left="0" w:leftChars="0" w:firstLine="422" w:firstLineChars="200"/>
              <w:rPr>
                <w:rFonts w:hint="default" w:ascii="仿宋" w:hAnsi="仿宋" w:eastAsia="仿宋" w:cs="宋体"/>
                <w:color w:val="auto"/>
                <w:szCs w:val="21"/>
                <w:highlight w:val="none"/>
                <w:lang w:val="en-US" w:eastAsia="zh-CN"/>
              </w:rPr>
            </w:pPr>
            <w:r>
              <w:rPr>
                <w:rFonts w:hint="eastAsia" w:ascii="仿宋" w:hAnsi="仿宋" w:eastAsia="仿宋" w:cs="宋体"/>
                <w:b/>
                <w:bCs/>
                <w:color w:val="auto"/>
                <w:szCs w:val="21"/>
                <w:highlight w:val="none"/>
                <w:lang w:val="en-US" w:eastAsia="zh-CN"/>
              </w:rPr>
              <w:t>1.对项目的理解。</w:t>
            </w:r>
            <w:r>
              <w:rPr>
                <w:rFonts w:hint="eastAsia" w:ascii="仿宋" w:hAnsi="仿宋" w:eastAsia="仿宋" w:cs="宋体"/>
                <w:color w:val="auto"/>
                <w:szCs w:val="21"/>
                <w:highlight w:val="none"/>
                <w:lang w:val="en-US" w:eastAsia="zh-CN"/>
              </w:rPr>
              <w:t>根据采购人需要提供对“雄关漫道——弘扬伟大长征精神主题展”宣传推广短视频的理解阐述（字数不限），短视频拍摄创意阐述，并提供能达到创意实现的能力条件。</w:t>
            </w:r>
          </w:p>
          <w:p w14:paraId="0EFF6CBE">
            <w:pPr>
              <w:pStyle w:val="6"/>
              <w:spacing w:after="0" w:line="400" w:lineRule="exact"/>
              <w:ind w:left="0" w:leftChars="0" w:firstLine="420" w:firstLineChars="200"/>
              <w:rPr>
                <w:rFonts w:ascii="仿宋" w:hAnsi="仿宋" w:eastAsia="仿宋" w:cs="宋体"/>
                <w:color w:val="auto"/>
                <w:szCs w:val="21"/>
                <w:highlight w:val="none"/>
              </w:rPr>
            </w:pPr>
            <w:r>
              <w:rPr>
                <w:rFonts w:hint="eastAsia" w:ascii="仿宋" w:hAnsi="仿宋" w:eastAsia="仿宋" w:cs="宋体"/>
                <w:color w:val="auto"/>
                <w:szCs w:val="21"/>
                <w:highlight w:val="none"/>
              </w:rPr>
              <w:t>方案合理、条理清晰、内容符合或优于采购人需求、有可执行性，得</w:t>
            </w:r>
            <w:r>
              <w:rPr>
                <w:rFonts w:hint="eastAsia" w:ascii="仿宋" w:hAnsi="仿宋" w:eastAsia="仿宋" w:cs="宋体"/>
                <w:b/>
                <w:bCs/>
                <w:color w:val="auto"/>
                <w:szCs w:val="21"/>
                <w:highlight w:val="none"/>
                <w:lang w:val="en-US" w:eastAsia="zh-CN"/>
              </w:rPr>
              <w:t>10</w:t>
            </w:r>
            <w:r>
              <w:rPr>
                <w:rFonts w:hint="eastAsia" w:ascii="仿宋" w:hAnsi="仿宋" w:eastAsia="仿宋" w:cs="宋体"/>
                <w:color w:val="auto"/>
                <w:szCs w:val="21"/>
                <w:highlight w:val="none"/>
              </w:rPr>
              <w:t>分，方案</w:t>
            </w:r>
            <w:r>
              <w:rPr>
                <w:rFonts w:hint="eastAsia" w:ascii="仿宋" w:hAnsi="仿宋" w:eastAsia="仿宋" w:cs="宋体"/>
                <w:color w:val="auto"/>
                <w:szCs w:val="21"/>
                <w:highlight w:val="none"/>
                <w:lang w:val="en-US" w:eastAsia="zh-CN"/>
              </w:rPr>
              <w:t>较</w:t>
            </w:r>
            <w:r>
              <w:rPr>
                <w:rFonts w:hint="eastAsia" w:ascii="仿宋" w:hAnsi="仿宋" w:eastAsia="仿宋" w:cs="宋体"/>
                <w:color w:val="auto"/>
                <w:szCs w:val="21"/>
                <w:highlight w:val="none"/>
              </w:rPr>
              <w:t>合理、条理</w:t>
            </w:r>
            <w:r>
              <w:rPr>
                <w:rFonts w:hint="eastAsia" w:ascii="仿宋" w:hAnsi="仿宋" w:eastAsia="仿宋" w:cs="宋体"/>
                <w:color w:val="auto"/>
                <w:szCs w:val="21"/>
                <w:highlight w:val="none"/>
                <w:lang w:val="en-US" w:eastAsia="zh-CN"/>
              </w:rPr>
              <w:t>据较</w:t>
            </w:r>
            <w:r>
              <w:rPr>
                <w:rFonts w:hint="eastAsia" w:ascii="仿宋" w:hAnsi="仿宋" w:eastAsia="仿宋" w:cs="宋体"/>
                <w:color w:val="auto"/>
                <w:szCs w:val="21"/>
                <w:highlight w:val="none"/>
              </w:rPr>
              <w:t>清晰、内容</w:t>
            </w:r>
            <w:r>
              <w:rPr>
                <w:rFonts w:hint="eastAsia" w:ascii="仿宋" w:hAnsi="仿宋" w:eastAsia="仿宋" w:cs="宋体"/>
                <w:color w:val="auto"/>
                <w:szCs w:val="21"/>
                <w:highlight w:val="none"/>
                <w:lang w:val="en-US" w:eastAsia="zh-CN"/>
              </w:rPr>
              <w:t>较</w:t>
            </w:r>
            <w:r>
              <w:rPr>
                <w:rFonts w:hint="eastAsia" w:ascii="仿宋" w:hAnsi="仿宋" w:eastAsia="仿宋" w:cs="宋体"/>
                <w:color w:val="auto"/>
                <w:szCs w:val="21"/>
                <w:highlight w:val="none"/>
              </w:rPr>
              <w:t>符合采购人需求、</w:t>
            </w:r>
            <w:r>
              <w:rPr>
                <w:rFonts w:hint="eastAsia" w:ascii="仿宋" w:hAnsi="仿宋" w:eastAsia="仿宋" w:cs="宋体"/>
                <w:color w:val="auto"/>
                <w:szCs w:val="21"/>
                <w:highlight w:val="none"/>
                <w:lang w:val="en-US" w:eastAsia="zh-CN"/>
              </w:rPr>
              <w:t>较</w:t>
            </w:r>
            <w:r>
              <w:rPr>
                <w:rFonts w:hint="eastAsia" w:ascii="仿宋" w:hAnsi="仿宋" w:eastAsia="仿宋" w:cs="宋体"/>
                <w:color w:val="auto"/>
                <w:szCs w:val="21"/>
                <w:highlight w:val="none"/>
              </w:rPr>
              <w:t>有可执行性，得</w:t>
            </w:r>
            <w:r>
              <w:rPr>
                <w:rFonts w:hint="eastAsia" w:ascii="仿宋" w:hAnsi="仿宋" w:eastAsia="仿宋" w:cs="宋体"/>
                <w:color w:val="auto"/>
                <w:szCs w:val="21"/>
                <w:highlight w:val="none"/>
                <w:lang w:val="en-US" w:eastAsia="zh-CN"/>
              </w:rPr>
              <w:t>6</w:t>
            </w:r>
            <w:r>
              <w:rPr>
                <w:rFonts w:hint="eastAsia" w:ascii="仿宋" w:hAnsi="仿宋" w:eastAsia="仿宋" w:cs="宋体"/>
                <w:color w:val="auto"/>
                <w:szCs w:val="21"/>
                <w:highlight w:val="none"/>
              </w:rPr>
              <w:t>分；</w:t>
            </w:r>
            <w:r>
              <w:rPr>
                <w:rFonts w:hint="eastAsia" w:ascii="仿宋" w:hAnsi="仿宋" w:eastAsia="仿宋" w:cs="宋体"/>
                <w:color w:val="auto"/>
                <w:szCs w:val="21"/>
                <w:highlight w:val="none"/>
                <w:lang w:val="en-US" w:eastAsia="zh-CN"/>
              </w:rPr>
              <w:t>基本满足</w:t>
            </w:r>
            <w:r>
              <w:rPr>
                <w:rFonts w:hint="eastAsia" w:ascii="仿宋" w:hAnsi="仿宋" w:eastAsia="仿宋" w:cs="宋体"/>
                <w:color w:val="auto"/>
                <w:szCs w:val="21"/>
                <w:highlight w:val="none"/>
              </w:rPr>
              <w:t>采购人需求</w:t>
            </w:r>
            <w:r>
              <w:rPr>
                <w:rFonts w:hint="eastAsia" w:ascii="仿宋" w:hAnsi="仿宋" w:eastAsia="仿宋" w:cs="宋体"/>
                <w:color w:val="auto"/>
                <w:szCs w:val="21"/>
                <w:highlight w:val="none"/>
                <w:lang w:val="en-US" w:eastAsia="zh-CN"/>
              </w:rPr>
              <w:t>得4分；不符合</w:t>
            </w:r>
            <w:r>
              <w:rPr>
                <w:rFonts w:hint="eastAsia" w:ascii="仿宋" w:hAnsi="仿宋" w:eastAsia="仿宋" w:cs="宋体"/>
                <w:color w:val="auto"/>
                <w:szCs w:val="21"/>
                <w:highlight w:val="none"/>
              </w:rPr>
              <w:t>不计分。</w:t>
            </w:r>
          </w:p>
          <w:p w14:paraId="65A2DCC1">
            <w:pPr>
              <w:pStyle w:val="6"/>
              <w:numPr>
                <w:ilvl w:val="0"/>
                <w:numId w:val="0"/>
              </w:numPr>
              <w:spacing w:after="0" w:line="400" w:lineRule="exact"/>
              <w:ind w:leftChars="0" w:firstLine="422" w:firstLineChars="200"/>
              <w:rPr>
                <w:rFonts w:hint="eastAsia" w:ascii="仿宋" w:hAnsi="仿宋" w:eastAsia="仿宋" w:cs="宋体"/>
                <w:color w:val="auto"/>
                <w:szCs w:val="21"/>
                <w:highlight w:val="none"/>
              </w:rPr>
            </w:pPr>
            <w:r>
              <w:rPr>
                <w:rFonts w:hint="eastAsia" w:ascii="仿宋" w:hAnsi="仿宋" w:eastAsia="仿宋" w:cs="宋体"/>
                <w:b/>
                <w:bCs/>
                <w:color w:val="auto"/>
                <w:szCs w:val="21"/>
                <w:highlight w:val="none"/>
                <w:lang w:val="en-US" w:eastAsia="zh-CN"/>
              </w:rPr>
              <w:t>2.短视频制作及发布能力。</w:t>
            </w:r>
            <w:r>
              <w:rPr>
                <w:rFonts w:hint="eastAsia" w:ascii="仿宋" w:hAnsi="仿宋" w:eastAsia="仿宋" w:cs="宋体"/>
                <w:color w:val="auto"/>
                <w:szCs w:val="21"/>
                <w:highlight w:val="none"/>
              </w:rPr>
              <w:t>根据采购人需求，供应商针对本项目提供</w:t>
            </w:r>
            <w:r>
              <w:rPr>
                <w:rFonts w:hint="eastAsia" w:ascii="仿宋" w:hAnsi="仿宋" w:eastAsia="仿宋" w:cs="宋体"/>
                <w:color w:val="auto"/>
                <w:szCs w:val="21"/>
                <w:highlight w:val="none"/>
                <w:lang w:val="en-US" w:eastAsia="zh-CN"/>
              </w:rPr>
              <w:t>视频拍摄和制作能力证明，具有组建长征主题视频摄制及省级平台发布的能力，提供包含项目涉及的文稿编撰、拍摄制作、宣传发布的思路，以及如何保障节目实施需要的方案。</w:t>
            </w:r>
          </w:p>
          <w:p w14:paraId="6E1490C4">
            <w:pPr>
              <w:pStyle w:val="6"/>
              <w:numPr>
                <w:ilvl w:val="0"/>
                <w:numId w:val="0"/>
              </w:numPr>
              <w:spacing w:after="0" w:line="400" w:lineRule="exact"/>
              <w:ind w:leftChars="0" w:firstLine="420" w:firstLineChars="200"/>
              <w:rPr>
                <w:rFonts w:hint="eastAsia" w:ascii="仿宋" w:hAnsi="仿宋" w:eastAsia="仿宋" w:cs="宋体"/>
                <w:color w:val="auto"/>
                <w:szCs w:val="21"/>
                <w:highlight w:val="none"/>
              </w:rPr>
            </w:pPr>
            <w:r>
              <w:rPr>
                <w:rFonts w:hint="eastAsia" w:ascii="仿宋" w:hAnsi="仿宋" w:eastAsia="仿宋" w:cs="宋体"/>
                <w:color w:val="auto"/>
                <w:szCs w:val="21"/>
                <w:highlight w:val="none"/>
              </w:rPr>
              <w:t>针对性强，贴合实际，完全满足要求，得</w:t>
            </w:r>
            <w:r>
              <w:rPr>
                <w:rFonts w:hint="eastAsia" w:ascii="仿宋" w:hAnsi="仿宋" w:eastAsia="仿宋" w:cs="宋体"/>
                <w:b/>
                <w:bCs/>
                <w:color w:val="auto"/>
                <w:szCs w:val="21"/>
                <w:highlight w:val="none"/>
                <w:lang w:val="en-US" w:eastAsia="zh-CN"/>
              </w:rPr>
              <w:t>10</w:t>
            </w:r>
            <w:r>
              <w:rPr>
                <w:rFonts w:hint="eastAsia" w:ascii="仿宋" w:hAnsi="仿宋" w:eastAsia="仿宋" w:cs="宋体"/>
                <w:color w:val="auto"/>
                <w:szCs w:val="21"/>
                <w:highlight w:val="none"/>
              </w:rPr>
              <w:t>分；有一定的针对性，较为贴合实际，较满足要求，得</w:t>
            </w:r>
            <w:r>
              <w:rPr>
                <w:rFonts w:hint="eastAsia" w:ascii="仿宋" w:hAnsi="仿宋" w:eastAsia="仿宋" w:cs="宋体"/>
                <w:color w:val="auto"/>
                <w:szCs w:val="21"/>
                <w:highlight w:val="none"/>
                <w:lang w:val="en-US" w:eastAsia="zh-CN"/>
              </w:rPr>
              <w:t>4</w:t>
            </w:r>
            <w:r>
              <w:rPr>
                <w:rFonts w:hint="eastAsia" w:ascii="仿宋" w:hAnsi="仿宋" w:eastAsia="仿宋" w:cs="宋体"/>
                <w:color w:val="auto"/>
                <w:szCs w:val="21"/>
                <w:highlight w:val="none"/>
              </w:rPr>
              <w:t>分；无针对性，有偏离，基本满足进度要求得</w:t>
            </w:r>
            <w:r>
              <w:rPr>
                <w:rFonts w:hint="eastAsia" w:ascii="仿宋" w:hAnsi="仿宋" w:eastAsia="仿宋" w:cs="宋体"/>
                <w:color w:val="auto"/>
                <w:szCs w:val="21"/>
                <w:highlight w:val="none"/>
                <w:lang w:val="en-US" w:eastAsia="zh-CN"/>
              </w:rPr>
              <w:t>2</w:t>
            </w:r>
            <w:r>
              <w:rPr>
                <w:rFonts w:hint="eastAsia" w:ascii="仿宋" w:hAnsi="仿宋" w:eastAsia="仿宋" w:cs="宋体"/>
                <w:color w:val="auto"/>
                <w:szCs w:val="21"/>
                <w:highlight w:val="none"/>
              </w:rPr>
              <w:t>分；未提供不得分。</w:t>
            </w:r>
          </w:p>
          <w:p w14:paraId="2588B60A">
            <w:pPr>
              <w:pStyle w:val="6"/>
              <w:numPr>
                <w:ilvl w:val="0"/>
                <w:numId w:val="0"/>
              </w:numPr>
              <w:spacing w:after="0" w:line="400" w:lineRule="exact"/>
              <w:ind w:leftChars="0" w:firstLine="422" w:firstLineChars="200"/>
              <w:rPr>
                <w:rFonts w:hint="eastAsia" w:ascii="仿宋" w:hAnsi="仿宋" w:eastAsia="仿宋" w:cs="宋体"/>
                <w:color w:val="auto"/>
                <w:szCs w:val="21"/>
                <w:highlight w:val="none"/>
                <w:lang w:val="en-US" w:eastAsia="zh-CN"/>
              </w:rPr>
            </w:pPr>
            <w:r>
              <w:rPr>
                <w:rFonts w:hint="eastAsia" w:ascii="仿宋" w:hAnsi="仿宋" w:eastAsia="仿宋" w:cs="宋体"/>
                <w:b/>
                <w:bCs/>
                <w:color w:val="auto"/>
                <w:szCs w:val="21"/>
                <w:highlight w:val="none"/>
                <w:lang w:val="en-US" w:eastAsia="zh-CN"/>
              </w:rPr>
              <w:t>3.拍摄天数人员以及拍摄设备构成。</w:t>
            </w:r>
            <w:r>
              <w:rPr>
                <w:rFonts w:hint="eastAsia" w:ascii="仿宋" w:hAnsi="仿宋" w:eastAsia="仿宋" w:cs="宋体"/>
                <w:color w:val="auto"/>
                <w:szCs w:val="21"/>
                <w:highlight w:val="none"/>
              </w:rPr>
              <w:t>根据采购人需求，供应商</w:t>
            </w:r>
            <w:r>
              <w:rPr>
                <w:rFonts w:hint="eastAsia" w:ascii="仿宋" w:hAnsi="仿宋" w:eastAsia="仿宋" w:cs="宋体"/>
                <w:color w:val="auto"/>
                <w:szCs w:val="21"/>
                <w:highlight w:val="none"/>
                <w:lang w:val="en-US" w:eastAsia="zh-CN"/>
              </w:rPr>
              <w:t>提供摄制组工作人员构成，需要拍摄的天数说明，以及拍摄技术设备说明。</w:t>
            </w:r>
          </w:p>
          <w:p w14:paraId="36FD1E2B">
            <w:pPr>
              <w:pStyle w:val="6"/>
              <w:numPr>
                <w:ilvl w:val="0"/>
                <w:numId w:val="0"/>
              </w:numPr>
              <w:spacing w:after="0" w:line="400" w:lineRule="exact"/>
              <w:ind w:leftChars="0" w:firstLine="420" w:firstLineChars="200"/>
              <w:rPr>
                <w:rFonts w:hint="eastAsia" w:ascii="仿宋" w:hAnsi="仿宋" w:eastAsia="仿宋" w:cs="宋体"/>
                <w:color w:val="auto"/>
                <w:szCs w:val="21"/>
                <w:highlight w:val="none"/>
              </w:rPr>
            </w:pPr>
            <w:r>
              <w:rPr>
                <w:rFonts w:hint="eastAsia" w:ascii="仿宋" w:hAnsi="仿宋" w:eastAsia="仿宋" w:cs="宋体"/>
                <w:color w:val="auto"/>
                <w:szCs w:val="21"/>
                <w:highlight w:val="none"/>
                <w:lang w:val="en-US" w:eastAsia="zh-CN"/>
              </w:rPr>
              <w:t>要求事实求是，规划合理，技术设备充分，能按期完成拍摄，得</w:t>
            </w:r>
            <w:r>
              <w:rPr>
                <w:rFonts w:hint="eastAsia" w:ascii="仿宋" w:hAnsi="仿宋" w:eastAsia="仿宋" w:cs="宋体"/>
                <w:b/>
                <w:bCs/>
                <w:color w:val="auto"/>
                <w:szCs w:val="21"/>
                <w:highlight w:val="none"/>
                <w:lang w:val="en-US" w:eastAsia="zh-CN"/>
              </w:rPr>
              <w:t>6分</w:t>
            </w:r>
            <w:r>
              <w:rPr>
                <w:rFonts w:hint="eastAsia" w:ascii="仿宋" w:hAnsi="仿宋" w:eastAsia="仿宋" w:cs="宋体"/>
                <w:color w:val="auto"/>
                <w:szCs w:val="21"/>
                <w:highlight w:val="none"/>
                <w:lang w:val="en-US" w:eastAsia="zh-CN"/>
              </w:rPr>
              <w:t>；规划较合理，技术设备较充分，能按期完成拍摄，得4分；</w:t>
            </w:r>
            <w:r>
              <w:rPr>
                <w:rFonts w:hint="eastAsia" w:ascii="仿宋" w:hAnsi="仿宋" w:eastAsia="仿宋" w:cs="宋体"/>
                <w:color w:val="auto"/>
                <w:szCs w:val="21"/>
                <w:highlight w:val="none"/>
              </w:rPr>
              <w:t>有偏离，基本满足要求</w:t>
            </w:r>
            <w:r>
              <w:rPr>
                <w:rFonts w:hint="eastAsia" w:ascii="仿宋" w:hAnsi="仿宋" w:eastAsia="仿宋" w:cs="宋体"/>
                <w:color w:val="auto"/>
                <w:szCs w:val="21"/>
                <w:highlight w:val="none"/>
                <w:lang w:eastAsia="zh-CN"/>
              </w:rPr>
              <w:t>，</w:t>
            </w:r>
            <w:r>
              <w:rPr>
                <w:rFonts w:hint="eastAsia" w:ascii="仿宋" w:hAnsi="仿宋" w:eastAsia="仿宋" w:cs="宋体"/>
                <w:color w:val="auto"/>
                <w:szCs w:val="21"/>
                <w:highlight w:val="none"/>
                <w:lang w:val="en-US" w:eastAsia="zh-CN"/>
              </w:rPr>
              <w:t>能按期完成拍摄，</w:t>
            </w:r>
            <w:r>
              <w:rPr>
                <w:rFonts w:hint="eastAsia" w:ascii="仿宋" w:hAnsi="仿宋" w:eastAsia="仿宋" w:cs="宋体"/>
                <w:color w:val="auto"/>
                <w:szCs w:val="21"/>
                <w:highlight w:val="none"/>
              </w:rPr>
              <w:t>得</w:t>
            </w:r>
            <w:r>
              <w:rPr>
                <w:rFonts w:ascii="仿宋" w:hAnsi="仿宋" w:eastAsia="仿宋" w:cs="宋体"/>
                <w:color w:val="auto"/>
                <w:szCs w:val="21"/>
                <w:highlight w:val="none"/>
              </w:rPr>
              <w:t>2</w:t>
            </w:r>
            <w:r>
              <w:rPr>
                <w:rFonts w:hint="eastAsia" w:ascii="仿宋" w:hAnsi="仿宋" w:eastAsia="仿宋" w:cs="宋体"/>
                <w:color w:val="auto"/>
                <w:szCs w:val="21"/>
                <w:highlight w:val="none"/>
              </w:rPr>
              <w:t>分；未提供不得分。</w:t>
            </w:r>
          </w:p>
          <w:p w14:paraId="306D12C5">
            <w:pPr>
              <w:pStyle w:val="6"/>
              <w:numPr>
                <w:ilvl w:val="0"/>
                <w:numId w:val="0"/>
              </w:numPr>
              <w:spacing w:after="0" w:line="400" w:lineRule="exact"/>
              <w:ind w:leftChars="0" w:firstLine="422" w:firstLineChars="200"/>
              <w:rPr>
                <w:rFonts w:hint="default" w:ascii="仿宋" w:hAnsi="仿宋" w:eastAsia="仿宋" w:cs="宋体"/>
                <w:color w:val="auto"/>
                <w:szCs w:val="21"/>
                <w:highlight w:val="none"/>
                <w:lang w:val="en-US" w:eastAsia="zh-CN"/>
              </w:rPr>
            </w:pPr>
            <w:r>
              <w:rPr>
                <w:rFonts w:hint="eastAsia" w:ascii="仿宋" w:hAnsi="仿宋" w:eastAsia="仿宋" w:cs="宋体"/>
                <w:b/>
                <w:bCs/>
                <w:color w:val="auto"/>
                <w:szCs w:val="21"/>
                <w:highlight w:val="none"/>
                <w:lang w:val="en-US" w:eastAsia="zh-CN"/>
              </w:rPr>
              <w:t>4、后期制作能力。</w:t>
            </w:r>
            <w:r>
              <w:rPr>
                <w:rFonts w:hint="eastAsia" w:ascii="仿宋" w:hAnsi="仿宋" w:eastAsia="仿宋" w:cs="宋体"/>
                <w:color w:val="auto"/>
                <w:szCs w:val="21"/>
                <w:highlight w:val="none"/>
              </w:rPr>
              <w:t>根据采购人需求，供应商</w:t>
            </w:r>
            <w:r>
              <w:rPr>
                <w:rFonts w:hint="eastAsia" w:ascii="仿宋" w:hAnsi="仿宋" w:eastAsia="仿宋" w:cs="宋体"/>
                <w:color w:val="auto"/>
                <w:szCs w:val="21"/>
                <w:highlight w:val="none"/>
                <w:lang w:val="en-US" w:eastAsia="zh-CN"/>
              </w:rPr>
              <w:t>提供节目后期制作规划方案及实力证明，制作实力证明包含节目剪辑、配音、配乐、动画、调色、包装等团队配备、作品证明等。</w:t>
            </w:r>
          </w:p>
          <w:p w14:paraId="55FA4298">
            <w:pPr>
              <w:pStyle w:val="6"/>
              <w:spacing w:after="0" w:line="400" w:lineRule="exact"/>
              <w:ind w:left="0" w:leftChars="0" w:firstLine="420" w:firstLineChars="200"/>
              <w:rPr>
                <w:rFonts w:hint="eastAsia" w:ascii="仿宋" w:hAnsi="仿宋" w:eastAsia="仿宋" w:cs="宋体"/>
                <w:color w:val="auto"/>
                <w:szCs w:val="21"/>
                <w:highlight w:val="none"/>
              </w:rPr>
            </w:pPr>
            <w:r>
              <w:rPr>
                <w:rFonts w:hint="eastAsia" w:ascii="仿宋" w:hAnsi="仿宋" w:eastAsia="仿宋" w:cs="宋体"/>
                <w:color w:val="auto"/>
                <w:szCs w:val="21"/>
                <w:highlight w:val="none"/>
                <w:lang w:val="en-US" w:eastAsia="zh-CN"/>
              </w:rPr>
              <w:t>制作方案佳，制作实力强、体现水平高，得</w:t>
            </w:r>
            <w:r>
              <w:rPr>
                <w:rFonts w:hint="eastAsia" w:ascii="仿宋" w:hAnsi="仿宋" w:eastAsia="仿宋" w:cs="宋体"/>
                <w:b/>
                <w:bCs/>
                <w:color w:val="auto"/>
                <w:szCs w:val="21"/>
                <w:highlight w:val="none"/>
                <w:lang w:val="en-US" w:eastAsia="zh-CN"/>
              </w:rPr>
              <w:t>10分</w:t>
            </w:r>
            <w:r>
              <w:rPr>
                <w:rFonts w:hint="eastAsia" w:ascii="仿宋" w:hAnsi="仿宋" w:eastAsia="仿宋" w:cs="宋体"/>
                <w:color w:val="auto"/>
                <w:szCs w:val="21"/>
                <w:highlight w:val="none"/>
                <w:lang w:val="en-US" w:eastAsia="zh-CN"/>
              </w:rPr>
              <w:t>；制作方案较好，制作实力较强、体现水平较高，得6分；一般得2分；未提供不得分。</w:t>
            </w:r>
          </w:p>
          <w:p w14:paraId="6C46F351">
            <w:pPr>
              <w:pStyle w:val="9"/>
              <w:numPr>
                <w:ilvl w:val="0"/>
                <w:numId w:val="0"/>
              </w:numPr>
              <w:ind w:firstLine="422" w:firstLineChars="200"/>
              <w:rPr>
                <w:rFonts w:ascii="仿宋" w:hAnsi="仿宋" w:eastAsia="仿宋" w:cs="宋体"/>
                <w:color w:val="auto"/>
                <w:szCs w:val="21"/>
                <w:highlight w:val="none"/>
              </w:rPr>
            </w:pPr>
            <w:r>
              <w:rPr>
                <w:rFonts w:hint="eastAsia" w:ascii="仿宋" w:hAnsi="仿宋" w:eastAsia="仿宋" w:cs="宋体"/>
                <w:b/>
                <w:bCs/>
                <w:color w:val="auto"/>
                <w:szCs w:val="21"/>
                <w:highlight w:val="none"/>
                <w:lang w:val="en-US" w:eastAsia="zh-CN"/>
              </w:rPr>
              <w:t>5</w:t>
            </w:r>
            <w:r>
              <w:rPr>
                <w:rFonts w:hint="eastAsia" w:ascii="仿宋" w:hAnsi="仿宋" w:eastAsia="仿宋" w:cs="宋体"/>
                <w:b/>
                <w:bCs/>
                <w:color w:val="auto"/>
                <w:szCs w:val="21"/>
                <w:highlight w:val="none"/>
              </w:rPr>
              <w:t>、</w:t>
            </w:r>
            <w:r>
              <w:rPr>
                <w:rFonts w:hint="eastAsia" w:ascii="仿宋" w:hAnsi="仿宋" w:eastAsia="仿宋" w:cs="宋体"/>
                <w:b/>
                <w:bCs/>
                <w:color w:val="auto"/>
                <w:szCs w:val="21"/>
                <w:highlight w:val="none"/>
                <w:lang w:val="en-US" w:eastAsia="zh-CN"/>
              </w:rPr>
              <w:t>增值服务。</w:t>
            </w:r>
            <w:r>
              <w:rPr>
                <w:rFonts w:hint="eastAsia" w:ascii="仿宋" w:hAnsi="仿宋" w:eastAsia="仿宋" w:cs="宋体"/>
                <w:color w:val="auto"/>
                <w:szCs w:val="21"/>
                <w:highlight w:val="none"/>
                <w:lang w:val="en-US" w:eastAsia="zh-CN"/>
              </w:rPr>
              <w:t>供应商根据项目情况，提供免费增值服务，评委根据增值服务内容对“雄关漫道——弘扬伟大长征精神主题展”活动的现场花絮视频、省级以上平台宣推报道、预告文稿、海报进行计分，完全有能力提供，案例中有推动到5家省级以上平台发布的宣传报道得</w:t>
            </w:r>
            <w:r>
              <w:rPr>
                <w:rFonts w:hint="eastAsia" w:ascii="仿宋" w:hAnsi="仿宋" w:eastAsia="仿宋" w:cs="宋体"/>
                <w:b/>
                <w:bCs/>
                <w:color w:val="auto"/>
                <w:szCs w:val="21"/>
                <w:highlight w:val="none"/>
                <w:lang w:val="en-US" w:eastAsia="zh-CN"/>
              </w:rPr>
              <w:t>9分</w:t>
            </w:r>
            <w:r>
              <w:rPr>
                <w:rFonts w:hint="eastAsia" w:ascii="仿宋" w:hAnsi="仿宋" w:eastAsia="仿宋" w:cs="宋体"/>
                <w:color w:val="auto"/>
                <w:szCs w:val="21"/>
                <w:highlight w:val="none"/>
                <w:lang w:val="en-US" w:eastAsia="zh-CN"/>
              </w:rPr>
              <w:t>；只能提供部分（且说明那部分）得4分；不提供不得分。</w:t>
            </w:r>
          </w:p>
          <w:p w14:paraId="67D2421D">
            <w:pPr>
              <w:spacing w:line="400" w:lineRule="exact"/>
              <w:rPr>
                <w:rFonts w:hint="eastAsia" w:ascii="仿宋" w:hAnsi="仿宋" w:eastAsia="仿宋" w:cs="宋体"/>
                <w:color w:val="auto"/>
                <w:szCs w:val="21"/>
                <w:highlight w:val="none"/>
              </w:rPr>
            </w:pPr>
          </w:p>
        </w:tc>
      </w:tr>
      <w:tr w14:paraId="5595BA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4" w:hRule="atLeast"/>
          <w:jc w:val="center"/>
        </w:trPr>
        <w:tc>
          <w:tcPr>
            <w:tcW w:w="1007" w:type="dxa"/>
            <w:vMerge w:val="continue"/>
            <w:noWrap w:val="0"/>
            <w:vAlign w:val="center"/>
          </w:tcPr>
          <w:p w14:paraId="11CE05C6">
            <w:pPr>
              <w:spacing w:line="400" w:lineRule="exact"/>
              <w:jc w:val="center"/>
              <w:rPr>
                <w:rFonts w:ascii="仿宋" w:hAnsi="仿宋" w:eastAsia="仿宋" w:cs="宋体"/>
                <w:b/>
                <w:bCs/>
                <w:color w:val="auto"/>
                <w:szCs w:val="21"/>
                <w:highlight w:val="none"/>
              </w:rPr>
            </w:pPr>
          </w:p>
        </w:tc>
        <w:tc>
          <w:tcPr>
            <w:tcW w:w="1180" w:type="dxa"/>
            <w:tcBorders>
              <w:left w:val="single" w:color="auto" w:sz="2" w:space="0"/>
            </w:tcBorders>
            <w:noWrap w:val="0"/>
            <w:vAlign w:val="center"/>
          </w:tcPr>
          <w:p w14:paraId="0E3C2ADF">
            <w:pPr>
              <w:spacing w:line="400" w:lineRule="exact"/>
              <w:contextualSpacing/>
              <w:jc w:val="center"/>
              <w:rPr>
                <w:rFonts w:hint="eastAsia" w:ascii="仿宋" w:hAnsi="仿宋" w:eastAsia="仿宋" w:cs="宋体"/>
                <w:color w:val="auto"/>
                <w:szCs w:val="21"/>
                <w:highlight w:val="none"/>
              </w:rPr>
            </w:pPr>
            <w:r>
              <w:rPr>
                <w:rFonts w:hint="eastAsia" w:ascii="仿宋" w:hAnsi="仿宋" w:eastAsia="仿宋" w:cs="宋体"/>
                <w:color w:val="auto"/>
                <w:szCs w:val="21"/>
                <w:highlight w:val="none"/>
              </w:rPr>
              <w:t>供应商拟派团队情况（1</w:t>
            </w:r>
            <w:r>
              <w:rPr>
                <w:rFonts w:hint="eastAsia" w:ascii="仿宋" w:hAnsi="仿宋" w:eastAsia="仿宋" w:cs="宋体"/>
                <w:color w:val="auto"/>
                <w:szCs w:val="21"/>
                <w:highlight w:val="none"/>
                <w:lang w:val="en-US" w:eastAsia="zh-CN"/>
              </w:rPr>
              <w:t>0</w:t>
            </w:r>
            <w:r>
              <w:rPr>
                <w:rFonts w:hint="eastAsia" w:ascii="仿宋" w:hAnsi="仿宋" w:eastAsia="仿宋" w:cs="宋体"/>
                <w:color w:val="auto"/>
                <w:szCs w:val="21"/>
                <w:highlight w:val="none"/>
              </w:rPr>
              <w:t>分）</w:t>
            </w:r>
          </w:p>
        </w:tc>
        <w:tc>
          <w:tcPr>
            <w:tcW w:w="7670" w:type="dxa"/>
            <w:noWrap w:val="0"/>
            <w:vAlign w:val="center"/>
          </w:tcPr>
          <w:p w14:paraId="7382AC2D">
            <w:pPr>
              <w:spacing w:line="400" w:lineRule="exact"/>
              <w:ind w:firstLine="422" w:firstLineChars="200"/>
              <w:rPr>
                <w:rFonts w:hint="eastAsia" w:ascii="仿宋" w:hAnsi="仿宋" w:eastAsia="仿宋" w:cs="宋体"/>
                <w:b/>
                <w:bCs/>
                <w:color w:val="auto"/>
                <w:szCs w:val="21"/>
                <w:highlight w:val="none"/>
              </w:rPr>
            </w:pPr>
            <w:r>
              <w:rPr>
                <w:rFonts w:hint="eastAsia" w:ascii="仿宋" w:hAnsi="仿宋" w:eastAsia="仿宋" w:cs="宋体"/>
                <w:b/>
                <w:bCs/>
                <w:color w:val="auto"/>
                <w:szCs w:val="21"/>
                <w:highlight w:val="none"/>
                <w:lang w:val="en-US" w:eastAsia="zh-CN"/>
              </w:rPr>
              <w:t>1、服务团队情况。</w:t>
            </w:r>
            <w:r>
              <w:rPr>
                <w:rFonts w:hint="eastAsia" w:ascii="仿宋" w:hAnsi="仿宋" w:eastAsia="仿宋" w:cs="宋体"/>
                <w:color w:val="auto"/>
                <w:szCs w:val="21"/>
                <w:highlight w:val="none"/>
              </w:rPr>
              <w:t>项目服务团队结构分配合理,岗位职责有分工,主创人员配备有经验</w:t>
            </w:r>
            <w:r>
              <w:rPr>
                <w:rFonts w:hint="eastAsia" w:ascii="仿宋" w:hAnsi="仿宋" w:eastAsia="仿宋" w:cs="宋体"/>
                <w:color w:val="auto"/>
                <w:szCs w:val="21"/>
                <w:highlight w:val="none"/>
                <w:lang w:eastAsia="zh-CN"/>
              </w:rPr>
              <w:t>，</w:t>
            </w:r>
            <w:r>
              <w:rPr>
                <w:rFonts w:hint="eastAsia" w:ascii="仿宋" w:hAnsi="仿宋" w:eastAsia="仿宋" w:cs="宋体"/>
                <w:color w:val="auto"/>
                <w:szCs w:val="21"/>
                <w:highlight w:val="none"/>
              </w:rPr>
              <w:t>满足招标文件要求,服务团队人员数量满足或优于</w:t>
            </w:r>
            <w:r>
              <w:rPr>
                <w:rFonts w:hint="eastAsia" w:ascii="仿宋" w:hAnsi="仿宋" w:eastAsia="仿宋" w:cs="宋体"/>
                <w:color w:val="auto"/>
                <w:szCs w:val="21"/>
                <w:highlight w:val="none"/>
                <w:lang w:val="en-US" w:eastAsia="zh-CN"/>
              </w:rPr>
              <w:t>采购</w:t>
            </w:r>
            <w:r>
              <w:rPr>
                <w:rFonts w:hint="eastAsia" w:ascii="仿宋" w:hAnsi="仿宋" w:eastAsia="仿宋" w:cs="宋体"/>
                <w:color w:val="auto"/>
                <w:szCs w:val="21"/>
                <w:highlight w:val="none"/>
              </w:rPr>
              <w:t>文件要求的,得</w:t>
            </w:r>
            <w:r>
              <w:rPr>
                <w:rFonts w:hint="eastAsia" w:ascii="仿宋" w:hAnsi="仿宋" w:eastAsia="仿宋" w:cs="宋体"/>
                <w:b/>
                <w:bCs/>
                <w:color w:val="auto"/>
                <w:szCs w:val="21"/>
                <w:highlight w:val="none"/>
              </w:rPr>
              <w:t>2分；</w:t>
            </w:r>
          </w:p>
          <w:p w14:paraId="2BC3834F">
            <w:pPr>
              <w:spacing w:line="400" w:lineRule="exact"/>
              <w:ind w:firstLine="420" w:firstLineChars="200"/>
              <w:rPr>
                <w:rFonts w:hint="eastAsia" w:ascii="仿宋" w:hAnsi="仿宋" w:eastAsia="仿宋" w:cs="宋体"/>
                <w:color w:val="auto"/>
                <w:szCs w:val="21"/>
                <w:highlight w:val="none"/>
              </w:rPr>
            </w:pPr>
            <w:r>
              <w:rPr>
                <w:rFonts w:hint="eastAsia" w:ascii="仿宋" w:hAnsi="仿宋" w:eastAsia="仿宋" w:cs="宋体"/>
                <w:color w:val="auto"/>
                <w:szCs w:val="21"/>
                <w:highlight w:val="none"/>
              </w:rPr>
              <w:t>项目服务团队架构分配不合理、岗位职责不清晰、主创人员配备不足、经验不足或服务团队人员数量不满足招标文件要求的,得0分。</w:t>
            </w:r>
          </w:p>
          <w:p w14:paraId="07C7F8C5">
            <w:pPr>
              <w:spacing w:line="400" w:lineRule="exact"/>
              <w:ind w:firstLine="422" w:firstLineChars="200"/>
              <w:rPr>
                <w:rFonts w:hint="eastAsia" w:ascii="仿宋" w:hAnsi="仿宋" w:eastAsia="仿宋" w:cs="宋体"/>
                <w:color w:val="auto"/>
                <w:szCs w:val="21"/>
                <w:highlight w:val="none"/>
              </w:rPr>
            </w:pPr>
            <w:r>
              <w:rPr>
                <w:rFonts w:hint="eastAsia" w:ascii="仿宋" w:hAnsi="仿宋" w:eastAsia="仿宋" w:cs="宋体"/>
                <w:b/>
                <w:bCs/>
                <w:color w:val="auto"/>
                <w:szCs w:val="21"/>
                <w:highlight w:val="none"/>
                <w:lang w:val="en-US" w:eastAsia="zh-CN"/>
              </w:rPr>
              <w:t>2、</w:t>
            </w:r>
            <w:r>
              <w:rPr>
                <w:rFonts w:hint="eastAsia" w:ascii="仿宋" w:hAnsi="仿宋" w:eastAsia="仿宋" w:cs="宋体"/>
                <w:b/>
                <w:bCs/>
                <w:color w:val="auto"/>
                <w:szCs w:val="21"/>
                <w:highlight w:val="none"/>
              </w:rPr>
              <w:t>人员资历评定</w:t>
            </w:r>
          </w:p>
          <w:p w14:paraId="13160A05">
            <w:pPr>
              <w:pStyle w:val="3"/>
              <w:ind w:firstLine="420" w:firstLineChars="200"/>
              <w:rPr>
                <w:rFonts w:hint="eastAsia" w:ascii="仿宋" w:hAnsi="仿宋" w:eastAsia="仿宋" w:cs="宋体"/>
                <w:color w:val="auto"/>
                <w:szCs w:val="21"/>
                <w:highlight w:val="none"/>
              </w:rPr>
            </w:pPr>
            <w:r>
              <w:rPr>
                <w:rFonts w:hint="eastAsia" w:ascii="仿宋" w:hAnsi="仿宋" w:eastAsia="仿宋" w:cs="宋体"/>
                <w:color w:val="auto"/>
                <w:szCs w:val="21"/>
                <w:highlight w:val="none"/>
              </w:rPr>
              <w:t>a.团队所有工作人员均需有三年(含)以上相应工作经验,提供相关复印件作为证明材料。完全满足得</w:t>
            </w:r>
            <w:r>
              <w:rPr>
                <w:rFonts w:hint="eastAsia" w:ascii="仿宋" w:hAnsi="仿宋" w:eastAsia="仿宋" w:cs="宋体"/>
                <w:b/>
                <w:bCs/>
                <w:color w:val="auto"/>
                <w:szCs w:val="21"/>
                <w:highlight w:val="none"/>
                <w:lang w:val="en-US" w:eastAsia="zh-CN"/>
              </w:rPr>
              <w:t>2</w:t>
            </w:r>
            <w:r>
              <w:rPr>
                <w:rFonts w:hint="eastAsia" w:ascii="仿宋" w:hAnsi="仿宋" w:eastAsia="仿宋" w:cs="宋体"/>
                <w:color w:val="auto"/>
                <w:szCs w:val="21"/>
                <w:highlight w:val="none"/>
              </w:rPr>
              <w:t xml:space="preserve">分,否则得0分。 </w:t>
            </w:r>
          </w:p>
          <w:p w14:paraId="4EB9DA09">
            <w:pPr>
              <w:pStyle w:val="3"/>
              <w:ind w:firstLine="420" w:firstLineChars="200"/>
              <w:rPr>
                <w:rFonts w:hint="eastAsia" w:ascii="仿宋" w:hAnsi="仿宋" w:eastAsia="仿宋" w:cs="宋体"/>
                <w:color w:val="auto"/>
                <w:szCs w:val="21"/>
                <w:highlight w:val="none"/>
              </w:rPr>
            </w:pPr>
            <w:r>
              <w:rPr>
                <w:rFonts w:hint="eastAsia" w:ascii="仿宋" w:hAnsi="仿宋" w:eastAsia="仿宋" w:cs="宋体"/>
                <w:color w:val="auto"/>
                <w:szCs w:val="21"/>
                <w:highlight w:val="none"/>
              </w:rPr>
              <w:t>b.项目</w:t>
            </w:r>
            <w:r>
              <w:rPr>
                <w:rFonts w:hint="eastAsia" w:ascii="仿宋" w:hAnsi="仿宋" w:eastAsia="仿宋" w:cs="宋体"/>
                <w:color w:val="auto"/>
                <w:szCs w:val="21"/>
                <w:highlight w:val="none"/>
                <w:lang w:val="en-US" w:eastAsia="zh-CN"/>
              </w:rPr>
              <w:t>负责人</w:t>
            </w:r>
            <w:r>
              <w:rPr>
                <w:rFonts w:hint="eastAsia" w:ascii="仿宋" w:hAnsi="仿宋" w:eastAsia="仿宋" w:cs="宋体"/>
                <w:color w:val="auto"/>
                <w:szCs w:val="21"/>
                <w:highlight w:val="none"/>
              </w:rPr>
              <w:t>评定：</w:t>
            </w:r>
          </w:p>
          <w:p w14:paraId="06720F6F">
            <w:pPr>
              <w:pStyle w:val="3"/>
              <w:ind w:firstLine="420" w:firstLineChars="200"/>
              <w:rPr>
                <w:rFonts w:hint="eastAsia" w:ascii="仿宋" w:hAnsi="仿宋" w:eastAsia="仿宋" w:cs="宋体"/>
                <w:color w:val="auto"/>
                <w:szCs w:val="21"/>
                <w:highlight w:val="none"/>
              </w:rPr>
            </w:pPr>
            <w:r>
              <w:rPr>
                <w:rFonts w:hint="eastAsia" w:ascii="仿宋" w:hAnsi="仿宋" w:eastAsia="仿宋" w:cs="宋体"/>
                <w:color w:val="auto"/>
                <w:szCs w:val="21"/>
                <w:highlight w:val="none"/>
              </w:rPr>
              <w:t>具有</w:t>
            </w:r>
            <w:r>
              <w:rPr>
                <w:rFonts w:hint="eastAsia" w:ascii="仿宋" w:hAnsi="仿宋" w:eastAsia="仿宋" w:cs="宋体"/>
                <w:color w:val="auto"/>
                <w:szCs w:val="21"/>
                <w:highlight w:val="none"/>
                <w:lang w:val="en-US" w:eastAsia="zh-CN"/>
              </w:rPr>
              <w:t>红色主题纪录片、短视频拍摄</w:t>
            </w:r>
            <w:r>
              <w:rPr>
                <w:rFonts w:hint="eastAsia" w:ascii="仿宋" w:hAnsi="仿宋" w:eastAsia="仿宋" w:cs="宋体"/>
                <w:color w:val="auto"/>
                <w:szCs w:val="21"/>
                <w:highlight w:val="none"/>
              </w:rPr>
              <w:t>的项目负责人经历(提供</w:t>
            </w:r>
            <w:r>
              <w:rPr>
                <w:rFonts w:hint="eastAsia" w:ascii="仿宋" w:hAnsi="仿宋" w:eastAsia="仿宋" w:cs="宋体"/>
                <w:color w:val="auto"/>
                <w:szCs w:val="21"/>
                <w:highlight w:val="none"/>
                <w:lang w:val="en-US" w:eastAsia="zh-CN"/>
              </w:rPr>
              <w:t>相关</w:t>
            </w:r>
            <w:r>
              <w:rPr>
                <w:rFonts w:hint="eastAsia" w:ascii="仿宋" w:hAnsi="仿宋" w:eastAsia="仿宋" w:cs="宋体"/>
                <w:color w:val="auto"/>
                <w:szCs w:val="21"/>
                <w:highlight w:val="none"/>
              </w:rPr>
              <w:t>证明)</w:t>
            </w:r>
            <w:r>
              <w:rPr>
                <w:rFonts w:hint="eastAsia" w:ascii="仿宋" w:hAnsi="仿宋" w:eastAsia="仿宋" w:cs="宋体"/>
                <w:color w:val="auto"/>
                <w:szCs w:val="21"/>
                <w:highlight w:val="none"/>
                <w:lang w:eastAsia="zh-CN"/>
              </w:rPr>
              <w:t>。</w:t>
            </w:r>
            <w:r>
              <w:rPr>
                <w:rFonts w:hint="eastAsia" w:ascii="仿宋" w:hAnsi="仿宋" w:eastAsia="仿宋" w:cs="宋体"/>
                <w:color w:val="auto"/>
                <w:szCs w:val="21"/>
                <w:highlight w:val="none"/>
              </w:rPr>
              <w:t>完全符合得</w:t>
            </w:r>
            <w:r>
              <w:rPr>
                <w:rFonts w:hint="eastAsia" w:ascii="仿宋" w:hAnsi="仿宋" w:eastAsia="仿宋" w:cs="宋体"/>
                <w:b/>
                <w:bCs/>
                <w:color w:val="auto"/>
                <w:szCs w:val="21"/>
                <w:highlight w:val="none"/>
                <w:lang w:val="en-US" w:eastAsia="zh-CN"/>
              </w:rPr>
              <w:t>2</w:t>
            </w:r>
            <w:r>
              <w:rPr>
                <w:rFonts w:hint="eastAsia" w:ascii="仿宋" w:hAnsi="仿宋" w:eastAsia="仿宋" w:cs="宋体"/>
                <w:b/>
                <w:bCs/>
                <w:color w:val="auto"/>
                <w:szCs w:val="21"/>
                <w:highlight w:val="none"/>
              </w:rPr>
              <w:t>分</w:t>
            </w:r>
            <w:r>
              <w:rPr>
                <w:rFonts w:hint="eastAsia" w:ascii="仿宋" w:hAnsi="仿宋" w:eastAsia="仿宋" w:cs="宋体"/>
                <w:color w:val="auto"/>
                <w:szCs w:val="21"/>
                <w:highlight w:val="none"/>
              </w:rPr>
              <w:t>,否则得0分。</w:t>
            </w:r>
          </w:p>
          <w:p w14:paraId="4783F467">
            <w:pPr>
              <w:pStyle w:val="3"/>
              <w:ind w:firstLine="420" w:firstLineChars="200"/>
              <w:rPr>
                <w:rFonts w:hint="eastAsia" w:ascii="仿宋" w:hAnsi="仿宋" w:eastAsia="仿宋" w:cs="宋体"/>
                <w:color w:val="auto"/>
                <w:szCs w:val="21"/>
                <w:highlight w:val="none"/>
              </w:rPr>
            </w:pPr>
            <w:r>
              <w:rPr>
                <w:rFonts w:hint="eastAsia" w:ascii="仿宋" w:hAnsi="仿宋" w:eastAsia="仿宋" w:cs="宋体"/>
                <w:color w:val="auto"/>
                <w:szCs w:val="21"/>
                <w:highlight w:val="none"/>
              </w:rPr>
              <w:t>c.后期制作人员评定:</w:t>
            </w:r>
          </w:p>
          <w:p w14:paraId="50803192">
            <w:pPr>
              <w:pStyle w:val="3"/>
              <w:ind w:firstLine="420" w:firstLineChars="200"/>
              <w:rPr>
                <w:rFonts w:hint="eastAsia" w:ascii="仿宋" w:hAnsi="仿宋" w:eastAsia="仿宋" w:cs="宋体"/>
                <w:color w:val="auto"/>
                <w:szCs w:val="21"/>
                <w:highlight w:val="none"/>
              </w:rPr>
            </w:pPr>
            <w:r>
              <w:rPr>
                <w:rFonts w:hint="eastAsia" w:ascii="仿宋" w:hAnsi="仿宋" w:eastAsia="仿宋" w:cs="宋体"/>
                <w:color w:val="auto"/>
                <w:szCs w:val="21"/>
                <w:highlight w:val="none"/>
              </w:rPr>
              <w:t>服务团队配备有专业的经验丰富的影视后期制作人员;后期制作需配备剪辑、调色、特效、配乐</w:t>
            </w:r>
            <w:r>
              <w:rPr>
                <w:rFonts w:hint="eastAsia" w:ascii="仿宋" w:hAnsi="仿宋" w:eastAsia="仿宋" w:cs="宋体"/>
                <w:color w:val="auto"/>
                <w:szCs w:val="21"/>
                <w:highlight w:val="none"/>
                <w:lang w:eastAsia="zh-CN"/>
              </w:rPr>
              <w:t>、</w:t>
            </w:r>
            <w:r>
              <w:rPr>
                <w:rFonts w:hint="eastAsia" w:ascii="仿宋" w:hAnsi="仿宋" w:eastAsia="仿宋" w:cs="宋体"/>
                <w:color w:val="auto"/>
                <w:szCs w:val="21"/>
                <w:highlight w:val="none"/>
                <w:lang w:val="en-US" w:eastAsia="zh-CN"/>
              </w:rPr>
              <w:t>配音、包装、动画</w:t>
            </w:r>
            <w:r>
              <w:rPr>
                <w:rFonts w:hint="eastAsia" w:ascii="仿宋" w:hAnsi="仿宋" w:eastAsia="仿宋" w:cs="宋体"/>
                <w:color w:val="auto"/>
                <w:szCs w:val="21"/>
                <w:highlight w:val="none"/>
              </w:rPr>
              <w:t>等专业技术人员的,得</w:t>
            </w:r>
            <w:r>
              <w:rPr>
                <w:rFonts w:hint="eastAsia" w:ascii="仿宋" w:hAnsi="仿宋" w:eastAsia="仿宋" w:cs="宋体"/>
                <w:b/>
                <w:bCs/>
                <w:color w:val="auto"/>
                <w:szCs w:val="21"/>
                <w:highlight w:val="none"/>
                <w:lang w:val="en-US" w:eastAsia="zh-CN"/>
              </w:rPr>
              <w:t>4</w:t>
            </w:r>
            <w:r>
              <w:rPr>
                <w:rFonts w:hint="eastAsia" w:ascii="仿宋" w:hAnsi="仿宋" w:eastAsia="仿宋" w:cs="宋体"/>
                <w:b/>
                <w:bCs/>
                <w:color w:val="auto"/>
                <w:szCs w:val="21"/>
                <w:highlight w:val="none"/>
              </w:rPr>
              <w:t>分</w:t>
            </w:r>
            <w:r>
              <w:rPr>
                <w:rFonts w:hint="eastAsia" w:ascii="仿宋" w:hAnsi="仿宋" w:eastAsia="仿宋" w:cs="宋体"/>
                <w:color w:val="auto"/>
                <w:szCs w:val="21"/>
                <w:highlight w:val="none"/>
              </w:rPr>
              <w:t>,否则得0分。</w:t>
            </w:r>
          </w:p>
        </w:tc>
      </w:tr>
      <w:tr w14:paraId="269778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60" w:hRule="atLeast"/>
          <w:jc w:val="center"/>
        </w:trPr>
        <w:tc>
          <w:tcPr>
            <w:tcW w:w="2187" w:type="dxa"/>
            <w:gridSpan w:val="2"/>
            <w:noWrap w:val="0"/>
            <w:vAlign w:val="center"/>
          </w:tcPr>
          <w:p w14:paraId="36C569B1">
            <w:pPr>
              <w:spacing w:line="400" w:lineRule="exact"/>
              <w:contextualSpacing/>
              <w:jc w:val="center"/>
              <w:rPr>
                <w:rFonts w:hint="eastAsia" w:ascii="仿宋" w:hAnsi="仿宋" w:eastAsia="仿宋" w:cs="宋体"/>
                <w:color w:val="auto"/>
                <w:szCs w:val="21"/>
                <w:highlight w:val="none"/>
              </w:rPr>
            </w:pPr>
            <w:r>
              <w:rPr>
                <w:rFonts w:hint="eastAsia" w:ascii="仿宋" w:hAnsi="仿宋" w:eastAsia="仿宋" w:cs="宋体"/>
                <w:color w:val="auto"/>
                <w:szCs w:val="21"/>
                <w:highlight w:val="none"/>
              </w:rPr>
              <w:t>业绩</w:t>
            </w:r>
          </w:p>
          <w:p w14:paraId="48543AB1">
            <w:pPr>
              <w:spacing w:line="400" w:lineRule="exact"/>
              <w:contextualSpacing/>
              <w:jc w:val="center"/>
              <w:rPr>
                <w:rFonts w:ascii="仿宋" w:hAnsi="仿宋" w:eastAsia="仿宋" w:cs="宋体"/>
                <w:color w:val="auto"/>
                <w:szCs w:val="21"/>
                <w:highlight w:val="none"/>
              </w:rPr>
            </w:pPr>
            <w:r>
              <w:rPr>
                <w:rFonts w:hint="eastAsia" w:ascii="仿宋" w:hAnsi="仿宋" w:eastAsia="仿宋" w:cs="宋体"/>
                <w:color w:val="auto"/>
                <w:szCs w:val="21"/>
                <w:highlight w:val="none"/>
              </w:rPr>
              <w:t>（</w:t>
            </w:r>
            <w:r>
              <w:rPr>
                <w:rFonts w:hint="eastAsia" w:ascii="仿宋" w:hAnsi="仿宋" w:eastAsia="仿宋" w:cs="宋体"/>
                <w:color w:val="auto"/>
                <w:szCs w:val="21"/>
                <w:highlight w:val="none"/>
                <w:lang w:val="en-US" w:eastAsia="zh-CN"/>
              </w:rPr>
              <w:t>15</w:t>
            </w:r>
            <w:r>
              <w:rPr>
                <w:rFonts w:hint="eastAsia" w:ascii="仿宋" w:hAnsi="仿宋" w:eastAsia="仿宋" w:cs="宋体"/>
                <w:color w:val="auto"/>
                <w:szCs w:val="21"/>
                <w:highlight w:val="none"/>
              </w:rPr>
              <w:t>分）</w:t>
            </w:r>
          </w:p>
        </w:tc>
        <w:tc>
          <w:tcPr>
            <w:tcW w:w="7670" w:type="dxa"/>
            <w:noWrap w:val="0"/>
            <w:vAlign w:val="top"/>
          </w:tcPr>
          <w:p w14:paraId="438B9FEB">
            <w:pPr>
              <w:pStyle w:val="9"/>
              <w:spacing w:line="400" w:lineRule="exact"/>
              <w:ind w:firstLine="420" w:firstLineChars="200"/>
              <w:rPr>
                <w:rFonts w:hint="eastAsia" w:ascii="仿宋" w:hAnsi="仿宋" w:eastAsia="仿宋" w:cs="宋体"/>
                <w:color w:val="auto"/>
                <w:kern w:val="0"/>
                <w:szCs w:val="21"/>
                <w:highlight w:val="none"/>
                <w:lang w:bidi="ar"/>
              </w:rPr>
            </w:pPr>
            <w:r>
              <w:rPr>
                <w:rFonts w:hint="eastAsia" w:ascii="仿宋" w:hAnsi="仿宋" w:eastAsia="仿宋" w:cs="宋体"/>
                <w:color w:val="auto"/>
                <w:szCs w:val="21"/>
                <w:highlight w:val="none"/>
              </w:rPr>
              <w:t>20</w:t>
            </w:r>
            <w:r>
              <w:rPr>
                <w:rFonts w:hint="eastAsia" w:ascii="仿宋" w:hAnsi="仿宋" w:eastAsia="仿宋" w:cs="宋体"/>
                <w:color w:val="auto"/>
                <w:szCs w:val="21"/>
                <w:highlight w:val="none"/>
                <w:lang w:val="en-US" w:eastAsia="zh-CN"/>
              </w:rPr>
              <w:t>21</w:t>
            </w:r>
            <w:r>
              <w:rPr>
                <w:rFonts w:hint="eastAsia" w:ascii="仿宋" w:hAnsi="仿宋" w:eastAsia="仿宋" w:cs="宋体"/>
                <w:color w:val="auto"/>
                <w:szCs w:val="21"/>
                <w:highlight w:val="none"/>
              </w:rPr>
              <w:t>年1月1日起至响应文件提交截止时间止，</w:t>
            </w:r>
            <w:r>
              <w:rPr>
                <w:rFonts w:hint="eastAsia" w:ascii="仿宋" w:hAnsi="仿宋" w:eastAsia="仿宋"/>
                <w:color w:val="auto"/>
                <w:highlight w:val="none"/>
              </w:rPr>
              <w:t>供应商</w:t>
            </w:r>
            <w:r>
              <w:rPr>
                <w:rFonts w:hint="eastAsia" w:ascii="仿宋" w:hAnsi="仿宋" w:eastAsia="仿宋" w:cs="宋体"/>
                <w:color w:val="auto"/>
                <w:szCs w:val="21"/>
                <w:highlight w:val="none"/>
              </w:rPr>
              <w:t>具有</w:t>
            </w:r>
            <w:r>
              <w:rPr>
                <w:rFonts w:hint="eastAsia" w:ascii="仿宋" w:hAnsi="仿宋" w:eastAsia="仿宋" w:cs="宋体"/>
                <w:color w:val="auto"/>
                <w:kern w:val="0"/>
                <w:szCs w:val="21"/>
                <w:highlight w:val="none"/>
                <w:lang w:bidi="ar"/>
              </w:rPr>
              <w:t>类似</w:t>
            </w:r>
            <w:r>
              <w:rPr>
                <w:rFonts w:hint="eastAsia" w:ascii="仿宋" w:hAnsi="仿宋" w:eastAsia="仿宋" w:cs="宋体"/>
                <w:color w:val="auto"/>
                <w:kern w:val="0"/>
                <w:szCs w:val="21"/>
                <w:highlight w:val="none"/>
                <w:lang w:val="en-US" w:eastAsia="zh-CN" w:bidi="ar"/>
              </w:rPr>
              <w:t>纪录片</w:t>
            </w:r>
            <w:r>
              <w:rPr>
                <w:rFonts w:hint="eastAsia" w:ascii="仿宋" w:hAnsi="仿宋" w:eastAsia="仿宋" w:cs="宋体"/>
                <w:color w:val="auto"/>
                <w:kern w:val="0"/>
                <w:szCs w:val="21"/>
                <w:highlight w:val="none"/>
                <w:lang w:bidi="ar"/>
              </w:rPr>
              <w:t>、</w:t>
            </w:r>
            <w:r>
              <w:rPr>
                <w:rFonts w:hint="eastAsia" w:ascii="仿宋" w:hAnsi="仿宋" w:eastAsia="仿宋" w:cs="宋体"/>
                <w:color w:val="auto"/>
                <w:kern w:val="0"/>
                <w:szCs w:val="21"/>
                <w:highlight w:val="none"/>
                <w:lang w:val="en-US" w:eastAsia="zh-CN" w:bidi="ar"/>
              </w:rPr>
              <w:t>短视频、宣传片</w:t>
            </w:r>
            <w:r>
              <w:rPr>
                <w:rFonts w:hint="eastAsia" w:ascii="仿宋" w:hAnsi="仿宋" w:eastAsia="仿宋" w:cs="宋体"/>
                <w:color w:val="auto"/>
                <w:kern w:val="0"/>
                <w:szCs w:val="21"/>
                <w:highlight w:val="none"/>
                <w:lang w:bidi="ar"/>
              </w:rPr>
              <w:t>拍摄业绩的，每个计5分</w:t>
            </w:r>
            <w:r>
              <w:rPr>
                <w:rFonts w:hint="eastAsia" w:ascii="仿宋" w:hAnsi="仿宋" w:eastAsia="仿宋" w:cs="宋体"/>
                <w:color w:val="auto"/>
                <w:kern w:val="0"/>
                <w:szCs w:val="21"/>
                <w:highlight w:val="none"/>
                <w:lang w:eastAsia="zh-CN" w:bidi="ar"/>
              </w:rPr>
              <w:t>，</w:t>
            </w:r>
            <w:r>
              <w:rPr>
                <w:rFonts w:hint="eastAsia" w:ascii="仿宋" w:hAnsi="仿宋" w:eastAsia="仿宋" w:cs="宋体"/>
                <w:color w:val="auto"/>
                <w:kern w:val="0"/>
                <w:szCs w:val="21"/>
                <w:highlight w:val="none"/>
                <w:lang w:val="en-US" w:eastAsia="zh-CN" w:bidi="ar"/>
              </w:rPr>
              <w:t>计满</w:t>
            </w:r>
            <w:r>
              <w:rPr>
                <w:rFonts w:hint="eastAsia" w:ascii="仿宋" w:hAnsi="仿宋" w:eastAsia="仿宋" w:cs="宋体"/>
                <w:color w:val="FF0000"/>
                <w:kern w:val="0"/>
                <w:szCs w:val="21"/>
                <w:highlight w:val="none"/>
                <w:lang w:val="en-US" w:eastAsia="zh-CN" w:bidi="ar"/>
              </w:rPr>
              <w:t>15分</w:t>
            </w:r>
            <w:r>
              <w:rPr>
                <w:rFonts w:hint="eastAsia" w:ascii="仿宋" w:hAnsi="仿宋" w:eastAsia="仿宋" w:cs="宋体"/>
                <w:color w:val="auto"/>
                <w:kern w:val="0"/>
                <w:szCs w:val="21"/>
                <w:highlight w:val="none"/>
                <w:lang w:val="en-US" w:eastAsia="zh-CN" w:bidi="ar"/>
              </w:rPr>
              <w:t>为止</w:t>
            </w:r>
            <w:r>
              <w:rPr>
                <w:rFonts w:hint="eastAsia" w:ascii="仿宋" w:hAnsi="仿宋" w:eastAsia="仿宋" w:cs="宋体"/>
                <w:color w:val="auto"/>
                <w:kern w:val="0"/>
                <w:szCs w:val="21"/>
                <w:highlight w:val="none"/>
                <w:lang w:bidi="ar"/>
              </w:rPr>
              <w:t>。</w:t>
            </w:r>
          </w:p>
          <w:p w14:paraId="5302BE98">
            <w:pPr>
              <w:pStyle w:val="9"/>
              <w:spacing w:line="400" w:lineRule="exact"/>
              <w:ind w:firstLine="0" w:firstLineChars="0"/>
              <w:rPr>
                <w:rFonts w:ascii="仿宋" w:hAnsi="仿宋" w:eastAsia="仿宋" w:cs="宋体"/>
                <w:color w:val="auto"/>
                <w:highlight w:val="none"/>
              </w:rPr>
            </w:pPr>
            <w:r>
              <w:rPr>
                <w:rFonts w:hint="eastAsia" w:ascii="仿宋" w:hAnsi="仿宋" w:eastAsia="仿宋" w:cs="宋体"/>
                <w:color w:val="auto"/>
                <w:kern w:val="0"/>
                <w:szCs w:val="21"/>
                <w:highlight w:val="none"/>
                <w:lang w:bidi="ar"/>
              </w:rPr>
              <w:t>（</w:t>
            </w:r>
            <w:r>
              <w:rPr>
                <w:rFonts w:hint="eastAsia" w:ascii="仿宋" w:hAnsi="仿宋" w:eastAsia="仿宋" w:cs="宋体"/>
                <w:color w:val="auto"/>
                <w:kern w:val="0"/>
                <w:szCs w:val="21"/>
                <w:highlight w:val="none"/>
                <w:lang w:val="en-US" w:eastAsia="zh-CN" w:bidi="ar"/>
              </w:rPr>
              <w:t>需要</w:t>
            </w:r>
            <w:r>
              <w:rPr>
                <w:rFonts w:hint="eastAsia" w:ascii="仿宋" w:hAnsi="仿宋" w:eastAsia="仿宋" w:cs="宋体"/>
                <w:color w:val="auto"/>
                <w:kern w:val="0"/>
                <w:szCs w:val="21"/>
                <w:highlight w:val="none"/>
                <w:lang w:bidi="ar"/>
              </w:rPr>
              <w:t>提供</w:t>
            </w:r>
            <w:r>
              <w:rPr>
                <w:rFonts w:hint="eastAsia" w:ascii="仿宋" w:hAnsi="仿宋" w:eastAsia="仿宋" w:cs="宋体"/>
                <w:color w:val="auto"/>
                <w:kern w:val="0"/>
                <w:szCs w:val="21"/>
                <w:highlight w:val="none"/>
                <w:lang w:val="en-US" w:eastAsia="zh-CN" w:bidi="ar"/>
              </w:rPr>
              <w:t>材料</w:t>
            </w:r>
            <w:r>
              <w:rPr>
                <w:rFonts w:hint="eastAsia" w:ascii="仿宋" w:hAnsi="仿宋" w:eastAsia="仿宋" w:cs="宋体"/>
                <w:color w:val="auto"/>
                <w:kern w:val="0"/>
                <w:szCs w:val="21"/>
                <w:highlight w:val="none"/>
                <w:lang w:bidi="ar"/>
              </w:rPr>
              <w:t>，时间以证明材料最后落款时间为准，否则不计分。）</w:t>
            </w:r>
          </w:p>
        </w:tc>
      </w:tr>
      <w:tr w14:paraId="3480A5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8" w:hRule="atLeast"/>
          <w:jc w:val="center"/>
        </w:trPr>
        <w:tc>
          <w:tcPr>
            <w:tcW w:w="1007" w:type="dxa"/>
            <w:noWrap w:val="0"/>
            <w:vAlign w:val="center"/>
          </w:tcPr>
          <w:p w14:paraId="06F35A06">
            <w:pPr>
              <w:spacing w:line="400" w:lineRule="exact"/>
              <w:contextualSpacing/>
              <w:jc w:val="center"/>
              <w:rPr>
                <w:rFonts w:ascii="仿宋" w:hAnsi="仿宋" w:eastAsia="仿宋" w:cs="宋体"/>
                <w:color w:val="auto"/>
                <w:szCs w:val="21"/>
                <w:highlight w:val="none"/>
              </w:rPr>
            </w:pPr>
            <w:r>
              <w:rPr>
                <w:rFonts w:hint="eastAsia" w:ascii="仿宋" w:hAnsi="仿宋" w:eastAsia="仿宋" w:cs="宋体"/>
                <w:color w:val="auto"/>
                <w:szCs w:val="21"/>
                <w:highlight w:val="none"/>
              </w:rPr>
              <w:t>合计</w:t>
            </w:r>
          </w:p>
        </w:tc>
        <w:tc>
          <w:tcPr>
            <w:tcW w:w="1180" w:type="dxa"/>
            <w:noWrap w:val="0"/>
            <w:vAlign w:val="center"/>
          </w:tcPr>
          <w:p w14:paraId="3A65E50C">
            <w:pPr>
              <w:spacing w:line="400" w:lineRule="exact"/>
              <w:ind w:left="2" w:leftChars="1"/>
              <w:jc w:val="center"/>
              <w:rPr>
                <w:rFonts w:ascii="仿宋" w:hAnsi="仿宋" w:eastAsia="仿宋" w:cs="宋体"/>
                <w:color w:val="auto"/>
                <w:szCs w:val="21"/>
                <w:highlight w:val="none"/>
              </w:rPr>
            </w:pPr>
            <w:r>
              <w:rPr>
                <w:rFonts w:hint="eastAsia" w:ascii="仿宋" w:hAnsi="仿宋" w:eastAsia="仿宋" w:cs="宋体"/>
                <w:color w:val="auto"/>
                <w:szCs w:val="21"/>
                <w:highlight w:val="none"/>
              </w:rPr>
              <w:t>100分</w:t>
            </w:r>
          </w:p>
        </w:tc>
        <w:tc>
          <w:tcPr>
            <w:tcW w:w="7670" w:type="dxa"/>
            <w:noWrap w:val="0"/>
            <w:vAlign w:val="center"/>
          </w:tcPr>
          <w:p w14:paraId="54D67E00">
            <w:pPr>
              <w:spacing w:line="400" w:lineRule="exact"/>
              <w:ind w:left="2" w:leftChars="1"/>
              <w:rPr>
                <w:rFonts w:ascii="仿宋" w:hAnsi="仿宋" w:eastAsia="仿宋" w:cs="宋体"/>
                <w:color w:val="auto"/>
                <w:szCs w:val="21"/>
                <w:highlight w:val="none"/>
              </w:rPr>
            </w:pPr>
          </w:p>
        </w:tc>
      </w:tr>
    </w:tbl>
    <w:p w14:paraId="02FEC64F">
      <w:pPr>
        <w:pStyle w:val="6"/>
        <w:keepNext w:val="0"/>
        <w:keepLines w:val="0"/>
        <w:pageBreakBefore w:val="0"/>
        <w:widowControl w:val="0"/>
        <w:kinsoku/>
        <w:wordWrap/>
        <w:overflowPunct/>
        <w:topLinePunct w:val="0"/>
        <w:autoSpaceDE w:val="0"/>
        <w:autoSpaceDN w:val="0"/>
        <w:bidi w:val="0"/>
        <w:adjustRightInd w:val="0"/>
        <w:snapToGrid/>
        <w:spacing w:after="0" w:line="400" w:lineRule="exact"/>
        <w:ind w:left="0" w:leftChars="0" w:firstLine="0" w:firstLineChars="0"/>
        <w:textAlignment w:val="auto"/>
        <w:rPr>
          <w:rFonts w:hint="eastAsia" w:ascii="仿宋" w:hAnsi="仿宋" w:eastAsia="仿宋"/>
          <w:bCs/>
          <w:color w:val="auto"/>
          <w:szCs w:val="21"/>
          <w:highlight w:val="none"/>
        </w:rPr>
      </w:pPr>
      <w:r>
        <w:rPr>
          <w:rFonts w:hint="eastAsia" w:ascii="仿宋" w:hAnsi="仿宋" w:eastAsia="仿宋"/>
          <w:bCs/>
          <w:color w:val="auto"/>
          <w:szCs w:val="21"/>
          <w:highlight w:val="none"/>
        </w:rPr>
        <w:t>说明：</w:t>
      </w:r>
    </w:p>
    <w:p w14:paraId="1D003275">
      <w:pPr>
        <w:pStyle w:val="6"/>
        <w:keepNext w:val="0"/>
        <w:keepLines w:val="0"/>
        <w:pageBreakBefore w:val="0"/>
        <w:widowControl w:val="0"/>
        <w:kinsoku/>
        <w:wordWrap/>
        <w:overflowPunct/>
        <w:topLinePunct w:val="0"/>
        <w:autoSpaceDE w:val="0"/>
        <w:autoSpaceDN w:val="0"/>
        <w:bidi w:val="0"/>
        <w:adjustRightInd w:val="0"/>
        <w:snapToGrid/>
        <w:spacing w:after="0" w:line="400" w:lineRule="exact"/>
        <w:ind w:left="0" w:leftChars="0" w:firstLine="210" w:firstLineChars="100"/>
        <w:textAlignment w:val="auto"/>
        <w:rPr>
          <w:rFonts w:hint="eastAsia" w:ascii="仿宋" w:hAnsi="仿宋" w:eastAsia="仿宋"/>
          <w:bCs/>
          <w:color w:val="auto"/>
          <w:szCs w:val="21"/>
          <w:highlight w:val="none"/>
        </w:rPr>
      </w:pPr>
      <w:r>
        <w:rPr>
          <w:rFonts w:hint="eastAsia" w:ascii="仿宋" w:hAnsi="仿宋" w:eastAsia="仿宋"/>
          <w:bCs/>
          <w:color w:val="auto"/>
          <w:szCs w:val="21"/>
          <w:highlight w:val="none"/>
          <w:lang w:val="en-US" w:eastAsia="zh-CN"/>
        </w:rPr>
        <w:t>1、</w:t>
      </w:r>
      <w:r>
        <w:rPr>
          <w:rFonts w:hint="eastAsia" w:ascii="仿宋" w:hAnsi="仿宋" w:eastAsia="仿宋"/>
          <w:bCs/>
          <w:color w:val="auto"/>
          <w:szCs w:val="21"/>
          <w:highlight w:val="none"/>
        </w:rPr>
        <w:t>评分依据评标标准，对照响应文件进行。评标标准涉及要求提供复印件的，响应文件中须附相关证书和证明文件的复印件并加盖单位公章，否则相应计分项不予计分。评标标准或资格条件中涉及要求递交原件的，供应商须在投标截止时间前将要求提供的原件包装与响应文件一起递交，否则相应计分项不予计分。</w:t>
      </w:r>
    </w:p>
    <w:p w14:paraId="62C78E4A">
      <w:pPr>
        <w:pStyle w:val="6"/>
        <w:keepNext w:val="0"/>
        <w:keepLines w:val="0"/>
        <w:pageBreakBefore w:val="0"/>
        <w:widowControl w:val="0"/>
        <w:numPr>
          <w:ilvl w:val="0"/>
          <w:numId w:val="0"/>
        </w:numPr>
        <w:kinsoku/>
        <w:wordWrap/>
        <w:overflowPunct/>
        <w:topLinePunct w:val="0"/>
        <w:autoSpaceDE w:val="0"/>
        <w:autoSpaceDN w:val="0"/>
        <w:bidi w:val="0"/>
        <w:adjustRightInd w:val="0"/>
        <w:snapToGrid/>
        <w:spacing w:after="0" w:line="400" w:lineRule="exact"/>
        <w:ind w:firstLine="210" w:firstLineChars="100"/>
        <w:textAlignment w:val="auto"/>
        <w:rPr>
          <w:rFonts w:hint="eastAsia" w:ascii="仿宋" w:hAnsi="仿宋" w:eastAsia="仿宋"/>
          <w:bCs/>
          <w:color w:val="auto"/>
          <w:szCs w:val="21"/>
          <w:highlight w:val="none"/>
        </w:rPr>
      </w:pPr>
      <w:r>
        <w:rPr>
          <w:rFonts w:hint="eastAsia" w:ascii="仿宋" w:hAnsi="仿宋" w:eastAsia="仿宋"/>
          <w:bCs/>
          <w:color w:val="auto"/>
          <w:szCs w:val="21"/>
          <w:highlight w:val="none"/>
        </w:rPr>
        <w:t>2、供应商应当诚信守法、公平竞争。如有以提供虚假材料（包括但不限于虚假技术参数响应、虚假制造商产品彩页、虚假业绩、虚假证书等）、隐瞒失信信息等谋取中标的行为，一经发现，将报行政监管部门严肃查处。</w:t>
      </w:r>
    </w:p>
    <w:p w14:paraId="237D5E75">
      <w:pPr>
        <w:pStyle w:val="6"/>
        <w:keepNext w:val="0"/>
        <w:keepLines w:val="0"/>
        <w:pageBreakBefore w:val="0"/>
        <w:widowControl w:val="0"/>
        <w:numPr>
          <w:ilvl w:val="0"/>
          <w:numId w:val="0"/>
        </w:numPr>
        <w:kinsoku/>
        <w:wordWrap/>
        <w:overflowPunct/>
        <w:topLinePunct w:val="0"/>
        <w:autoSpaceDE w:val="0"/>
        <w:autoSpaceDN w:val="0"/>
        <w:bidi w:val="0"/>
        <w:adjustRightInd w:val="0"/>
        <w:snapToGrid/>
        <w:spacing w:after="0" w:line="400" w:lineRule="exact"/>
        <w:ind w:firstLine="210" w:firstLineChars="100"/>
        <w:textAlignment w:val="auto"/>
      </w:pPr>
      <w:r>
        <w:rPr>
          <w:rFonts w:hint="eastAsia" w:ascii="仿宋" w:hAnsi="仿宋" w:eastAsia="仿宋"/>
          <w:bCs/>
          <w:color w:val="auto"/>
          <w:szCs w:val="21"/>
          <w:highlight w:val="none"/>
          <w:lang w:val="en-US" w:eastAsia="zh-CN"/>
        </w:rPr>
        <w:t>3、节目成片中必须确保无版权问题，且节目（包含所拍摄素材等）版权、所有权等所有知识产权归采购人所有。</w:t>
      </w: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7934B20"/>
    <w:rsid w:val="27934B2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8">
    <w:name w:val="Default Paragraph Font"/>
    <w:semiHidden/>
    <w:uiPriority w:val="0"/>
  </w:style>
  <w:style w:type="table" w:default="1" w:styleId="7">
    <w:name w:val="Normal Table"/>
    <w:semiHidden/>
    <w:uiPriority w:val="0"/>
    <w:tblPr>
      <w:tblCellMar>
        <w:top w:w="0" w:type="dxa"/>
        <w:left w:w="108" w:type="dxa"/>
        <w:bottom w:w="0" w:type="dxa"/>
        <w:right w:w="108" w:type="dxa"/>
      </w:tblCellMar>
    </w:tblPr>
  </w:style>
  <w:style w:type="paragraph" w:styleId="2">
    <w:name w:val="annotation text"/>
    <w:basedOn w:val="1"/>
    <w:qFormat/>
    <w:uiPriority w:val="0"/>
    <w:pPr>
      <w:jc w:val="left"/>
    </w:pPr>
    <w:rPr>
      <w:rFonts w:ascii="Times New Roman" w:hAnsi="Times New Roman" w:eastAsia="宋体" w:cs="Times New Roman"/>
    </w:rPr>
  </w:style>
  <w:style w:type="paragraph" w:styleId="3">
    <w:name w:val="Body Text"/>
    <w:basedOn w:val="1"/>
    <w:qFormat/>
    <w:uiPriority w:val="0"/>
    <w:pPr>
      <w:spacing w:after="120"/>
    </w:pPr>
    <w:rPr>
      <w:rFonts w:ascii="Calibri" w:hAnsi="Calibri" w:cs="Arial"/>
    </w:rPr>
  </w:style>
  <w:style w:type="paragraph" w:styleId="4">
    <w:name w:val="Body Text Indent"/>
    <w:basedOn w:val="1"/>
    <w:next w:val="5"/>
    <w:qFormat/>
    <w:uiPriority w:val="0"/>
    <w:pPr>
      <w:spacing w:after="120"/>
      <w:ind w:left="420" w:leftChars="200"/>
    </w:pPr>
    <w:rPr>
      <w:rFonts w:ascii="Calibri" w:hAnsi="Calibri" w:cs="Arial"/>
    </w:rPr>
  </w:style>
  <w:style w:type="paragraph" w:styleId="5">
    <w:name w:val="annotation subject"/>
    <w:basedOn w:val="2"/>
    <w:next w:val="1"/>
    <w:qFormat/>
    <w:uiPriority w:val="0"/>
    <w:rPr>
      <w:rFonts w:ascii="Times New Roman" w:hAnsi="Times New Roman" w:eastAsia="宋体" w:cs="Times New Roman"/>
      <w:b/>
      <w:bCs/>
    </w:rPr>
  </w:style>
  <w:style w:type="paragraph" w:styleId="6">
    <w:name w:val="Body Text First Indent 2"/>
    <w:basedOn w:val="4"/>
    <w:qFormat/>
    <w:uiPriority w:val="0"/>
    <w:pPr>
      <w:ind w:firstLine="420" w:firstLineChars="200"/>
    </w:pPr>
    <w:rPr>
      <w:rFonts w:ascii="Times New Roman" w:hAnsi="Times New Roman"/>
    </w:rPr>
  </w:style>
  <w:style w:type="paragraph" w:customStyle="1" w:styleId="9">
    <w:name w:val="列出段落1"/>
    <w:basedOn w:val="1"/>
    <w:qFormat/>
    <w:uiPriority w:val="34"/>
    <w:pPr>
      <w:ind w:firstLine="420" w:firstLineChars="200"/>
    </w:pPr>
    <w:rPr>
      <w:szCs w:val="20"/>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0</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2026-08-05T07:20:00Z</dcterms:created>
  <dc:creator>郭千千</dc:creator>
  <cp:lastModifiedBy>郭千千</cp:lastModifiedBy>
  <dcterms:modified xsi:type="dcterms:W3CDTF">2026-08-05T07:37:12Z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5FD1F904C9EE4C39A5D445C8B913A494_11</vt:lpwstr>
  </property>
  <property fmtid="{D5CDD505-2E9C-101B-9397-08002B2CF9AE}" pid="4" name="KSOTemplateDocerSaveRecord">
    <vt:lpwstr>eyJoZGlkIjoiM2EzYzNhYjlmZWMxOGJhNTU4NzI3MzBlZDc2OWNmMmMiLCJ1c2VySWQiOiI0NDkwODc5MTYifQ==</vt:lpwstr>
  </property>
</Properties>
</file>