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2F749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rPr>
        <w:t>长沙机场改扩建工程 T3 口岸查验系统建设项目</w:t>
      </w:r>
      <w:r>
        <w:rPr>
          <w:rFonts w:hint="eastAsia" w:ascii="Times New Roman" w:hAnsi="Times New Roman" w:cs="Times New Roman"/>
          <w:color w:val="auto"/>
          <w:sz w:val="28"/>
          <w:szCs w:val="28"/>
          <w:lang w:val="en-US" w:eastAsia="zh-CN"/>
        </w:rPr>
        <w:t>边检</w:t>
      </w:r>
      <w:r>
        <w:rPr>
          <w:rFonts w:hint="default" w:ascii="Times New Roman" w:hAnsi="Times New Roman" w:cs="Times New Roman"/>
          <w:color w:val="auto"/>
          <w:sz w:val="28"/>
          <w:szCs w:val="28"/>
          <w:lang w:val="fr-FR"/>
        </w:rPr>
        <w:t>配套设备设施及信息化系统建设工程施工</w:t>
      </w:r>
      <w:r>
        <w:rPr>
          <w:rFonts w:hint="default" w:ascii="Times New Roman" w:hAnsi="Times New Roman" w:cs="Times New Roman"/>
          <w:color w:val="auto"/>
          <w:sz w:val="28"/>
          <w:szCs w:val="28"/>
        </w:rPr>
        <w:t>答疑</w:t>
      </w:r>
      <w:r>
        <w:rPr>
          <w:rFonts w:hint="default" w:ascii="Times New Roman" w:hAnsi="Times New Roman" w:cs="Times New Roman"/>
          <w:color w:val="auto"/>
          <w:sz w:val="28"/>
          <w:szCs w:val="28"/>
          <w:lang w:val="en-US" w:eastAsia="zh-CN"/>
        </w:rPr>
        <w:t>澄清</w:t>
      </w:r>
      <w:bookmarkStart w:id="1" w:name="_GoBack"/>
      <w:bookmarkEnd w:id="1"/>
      <w:r>
        <w:rPr>
          <w:rFonts w:hint="default" w:ascii="Times New Roman" w:hAnsi="Times New Roman" w:cs="Times New Roman"/>
          <w:color w:val="auto"/>
          <w:sz w:val="28"/>
          <w:szCs w:val="28"/>
          <w:lang w:val="en-US" w:eastAsia="zh-CN"/>
        </w:rPr>
        <w:t>文件</w:t>
      </w:r>
    </w:p>
    <w:p w14:paraId="76FF6DA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default" w:ascii="Times New Roman" w:hAnsi="Times New Roman" w:cs="Times New Roman"/>
          <w:color w:val="auto"/>
          <w:sz w:val="24"/>
          <w:szCs w:val="24"/>
        </w:rPr>
      </w:pPr>
    </w:p>
    <w:p w14:paraId="3D76C0E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方正仿宋_GB2312" w:cs="Times New Roman"/>
          <w:i w:val="0"/>
          <w:iCs w:val="0"/>
          <w:caps w:val="0"/>
          <w:color w:val="auto"/>
          <w:spacing w:val="0"/>
          <w:sz w:val="24"/>
          <w:szCs w:val="24"/>
          <w:shd w:val="clear" w:fill="FFFFFF"/>
        </w:rPr>
        <w:t>长沙机场改扩建工程 T3 口岸查验系统建设项目</w:t>
      </w:r>
      <w:r>
        <w:rPr>
          <w:rFonts w:hint="eastAsia" w:ascii="Times New Roman" w:hAnsi="Times New Roman" w:eastAsia="方正仿宋_GB2312" w:cs="Times New Roman"/>
          <w:i w:val="0"/>
          <w:iCs w:val="0"/>
          <w:caps w:val="0"/>
          <w:color w:val="auto"/>
          <w:spacing w:val="0"/>
          <w:sz w:val="24"/>
          <w:szCs w:val="24"/>
          <w:shd w:val="clear" w:fill="FFFFFF"/>
          <w:lang w:val="en-US" w:eastAsia="zh-CN"/>
        </w:rPr>
        <w:t>边检</w:t>
      </w:r>
      <w:r>
        <w:rPr>
          <w:rFonts w:hint="default" w:ascii="Times New Roman" w:hAnsi="Times New Roman" w:eastAsia="方正仿宋_GB2312" w:cs="Times New Roman"/>
          <w:i w:val="0"/>
          <w:iCs w:val="0"/>
          <w:caps w:val="0"/>
          <w:color w:val="auto"/>
          <w:spacing w:val="0"/>
          <w:sz w:val="24"/>
          <w:szCs w:val="24"/>
          <w:shd w:val="clear" w:fill="FFFFFF"/>
        </w:rPr>
        <w:t>配套设备设施及信息化系统建设工程施工投标人提出疑问时间已按招标公告的规定时间（2026年06月0</w:t>
      </w:r>
      <w:r>
        <w:rPr>
          <w:rFonts w:hint="default" w:ascii="Times New Roman" w:hAnsi="Times New Roman" w:eastAsia="方正仿宋_GB2312" w:cs="Times New Roman"/>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i w:val="0"/>
          <w:iCs w:val="0"/>
          <w:caps w:val="0"/>
          <w:color w:val="auto"/>
          <w:spacing w:val="0"/>
          <w:sz w:val="24"/>
          <w:szCs w:val="24"/>
          <w:shd w:val="clear" w:fill="FFFFFF"/>
        </w:rPr>
        <w:t>日17：00）截止。投标人提交的问题经过汇总归类，类似问题不逐个答复。本次澄清与答疑文件作为招标文件组成部分，与招标文件具有同等法律效力，现对投标人疑问的答复如下：</w:t>
      </w:r>
    </w:p>
    <w:p w14:paraId="7F35090D">
      <w:pPr>
        <w:rPr>
          <w:rFonts w:hint="default" w:ascii="Times New Roman" w:hAnsi="Times New Roman" w:cs="Times New Roman" w:eastAsiaTheme="minorEastAsia"/>
          <w:color w:val="auto"/>
          <w:sz w:val="24"/>
          <w:szCs w:val="24"/>
          <w:lang w:val="en-US" w:eastAsia="zh-CN"/>
        </w:rPr>
      </w:pPr>
    </w:p>
    <w:p w14:paraId="675F954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第一部分 对投标人疑问的回复</w:t>
      </w:r>
    </w:p>
    <w:p w14:paraId="0CE5AA8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 xml:space="preserve">第一节 </w:t>
      </w:r>
      <w:r>
        <w:rPr>
          <w:rFonts w:hint="default" w:ascii="Times New Roman" w:hAnsi="Times New Roman" w:eastAsia="方正仿宋_GB2312" w:cs="Times New Roman"/>
          <w:b/>
          <w:bCs/>
          <w:i w:val="0"/>
          <w:iCs w:val="0"/>
          <w:caps w:val="0"/>
          <w:color w:val="auto"/>
          <w:spacing w:val="0"/>
          <w:sz w:val="24"/>
          <w:szCs w:val="24"/>
          <w:shd w:val="clear" w:fill="FFFFFF"/>
        </w:rPr>
        <w:t>通用商务类问题</w:t>
      </w:r>
    </w:p>
    <w:p w14:paraId="20606D6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default" w:ascii="Times New Roman" w:hAnsi="Times New Roman" w:eastAsia="方正仿宋_GB2312" w:cs="Times New Roman"/>
          <w:i w:val="0"/>
          <w:iCs w:val="0"/>
          <w:caps w:val="0"/>
          <w:color w:val="auto"/>
          <w:spacing w:val="0"/>
          <w:sz w:val="24"/>
          <w:szCs w:val="24"/>
          <w:shd w:val="clear" w:fill="FFFFFF"/>
          <w:lang w:eastAsia="zh-CN"/>
        </w:rPr>
        <w:t>（</w:t>
      </w:r>
      <w:r>
        <w:rPr>
          <w:rFonts w:hint="default" w:ascii="Times New Roman" w:hAnsi="Times New Roman" w:eastAsia="方正仿宋_GB2312" w:cs="Times New Roman"/>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i w:val="0"/>
          <w:iCs w:val="0"/>
          <w:caps w:val="0"/>
          <w:color w:val="auto"/>
          <w:spacing w:val="0"/>
          <w:sz w:val="24"/>
          <w:szCs w:val="24"/>
          <w:shd w:val="clear" w:fill="FFFFFF"/>
          <w:lang w:eastAsia="zh-CN"/>
        </w:rPr>
        <w:t>）</w:t>
      </w:r>
      <w:r>
        <w:rPr>
          <w:rFonts w:hint="default" w:ascii="Times New Roman" w:hAnsi="Times New Roman" w:eastAsia="方正仿宋_GB2312" w:cs="Times New Roman"/>
          <w:i w:val="0"/>
          <w:iCs w:val="0"/>
          <w:caps w:val="0"/>
          <w:color w:val="auto"/>
          <w:spacing w:val="0"/>
          <w:sz w:val="24"/>
          <w:szCs w:val="24"/>
          <w:shd w:val="clear" w:fill="FFFFFF"/>
        </w:rPr>
        <w:t>招标文件所在位置1：招标文件</w:t>
      </w:r>
      <w:r>
        <w:rPr>
          <w:rFonts w:hint="eastAsia" w:ascii="Times New Roman" w:hAnsi="Times New Roman" w:eastAsia="方正仿宋_GB2312" w:cs="Times New Roman"/>
          <w:i w:val="0"/>
          <w:iCs w:val="0"/>
          <w:caps w:val="0"/>
          <w:color w:val="auto"/>
          <w:spacing w:val="0"/>
          <w:sz w:val="24"/>
          <w:szCs w:val="24"/>
          <w:shd w:val="clear" w:fill="FFFFFF"/>
          <w:lang w:val="en-US" w:eastAsia="zh-CN"/>
        </w:rPr>
        <w:t>-</w:t>
      </w:r>
      <w:r>
        <w:rPr>
          <w:rFonts w:hint="default" w:ascii="Times New Roman" w:hAnsi="Times New Roman" w:eastAsia="方正仿宋_GB2312" w:cs="Times New Roman"/>
          <w:i w:val="0"/>
          <w:iCs w:val="0"/>
          <w:caps w:val="0"/>
          <w:color w:val="auto"/>
          <w:spacing w:val="0"/>
          <w:sz w:val="24"/>
          <w:szCs w:val="24"/>
          <w:shd w:val="clear" w:fill="FFFFFF"/>
        </w:rPr>
        <w:t>第一章、招标公告</w:t>
      </w:r>
    </w:p>
    <w:p w14:paraId="1D9DF15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i w:val="0"/>
          <w:iCs w:val="0"/>
          <w:caps w:val="0"/>
          <w:color w:val="auto"/>
          <w:spacing w:val="0"/>
          <w:sz w:val="24"/>
          <w:szCs w:val="24"/>
          <w:shd w:val="clear" w:fill="FFFFFF"/>
        </w:rPr>
        <w:t>招标文件内容1：2.项目概况2.1招标项目或标段（以下简称：招标项目）名称：长沙机场改扩建工程T3口岸查验系统建设项目；</w:t>
      </w:r>
    </w:p>
    <w:p w14:paraId="1ADB248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i w:val="0"/>
          <w:iCs w:val="0"/>
          <w:caps w:val="0"/>
          <w:color w:val="auto"/>
          <w:spacing w:val="0"/>
          <w:sz w:val="24"/>
          <w:szCs w:val="24"/>
          <w:shd w:val="clear" w:fill="FFFFFF"/>
        </w:rPr>
        <w:t>招标文件所在位置2： 招标文件-第二章、投标人须知 投标人须知前附表</w:t>
      </w:r>
    </w:p>
    <w:p w14:paraId="557BEE7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i w:val="0"/>
          <w:iCs w:val="0"/>
          <w:caps w:val="0"/>
          <w:color w:val="auto"/>
          <w:spacing w:val="0"/>
          <w:sz w:val="24"/>
          <w:szCs w:val="24"/>
          <w:shd w:val="clear" w:fill="FFFFFF"/>
        </w:rPr>
        <w:t>招标文件内容2： 1.1.4 招标项目名称：长沙机场改扩建工程T3口岸查验系统建设项目海关配套设备设施及信息化系统建设工程施工2410-430121-04-05-829362</w:t>
      </w:r>
      <w:r>
        <w:rPr>
          <w:rFonts w:hint="default" w:ascii="Times New Roman" w:hAnsi="Times New Roman" w:eastAsia="方正仿宋_GB2312" w:cs="Times New Roman"/>
          <w:i w:val="0"/>
          <w:iCs w:val="0"/>
          <w:caps w:val="0"/>
          <w:color w:val="auto"/>
          <w:spacing w:val="0"/>
          <w:sz w:val="24"/>
          <w:szCs w:val="24"/>
          <w:shd w:val="clear" w:fill="FFFFFF"/>
          <w:lang w:val="en-US" w:eastAsia="zh-CN"/>
        </w:rPr>
        <w:t>（</w:t>
      </w:r>
      <w:r>
        <w:rPr>
          <w:rFonts w:hint="default" w:ascii="Times New Roman" w:hAnsi="Times New Roman" w:eastAsia="方正仿宋_GB2312" w:cs="Times New Roman"/>
          <w:i w:val="0"/>
          <w:iCs w:val="0"/>
          <w:caps w:val="0"/>
          <w:color w:val="auto"/>
          <w:spacing w:val="0"/>
          <w:sz w:val="24"/>
          <w:szCs w:val="24"/>
          <w:shd w:val="clear" w:fill="FFFFFF"/>
        </w:rPr>
        <w:t>1.1.4 招标项目名称：长沙机场改扩建工程T3口岸查验系统建设项目边检配套设备设施及信息化系统建设工程施工2410-430121-04-05-829362</w:t>
      </w:r>
      <w:r>
        <w:rPr>
          <w:rFonts w:hint="default" w:ascii="Times New Roman" w:hAnsi="Times New Roman" w:eastAsia="方正仿宋_GB2312" w:cs="Times New Roman"/>
          <w:i w:val="0"/>
          <w:iCs w:val="0"/>
          <w:caps w:val="0"/>
          <w:color w:val="auto"/>
          <w:spacing w:val="0"/>
          <w:sz w:val="24"/>
          <w:szCs w:val="24"/>
          <w:shd w:val="clear" w:fill="FFFFFF"/>
          <w:lang w:val="en-US" w:eastAsia="zh-CN"/>
        </w:rPr>
        <w:t>）</w:t>
      </w:r>
    </w:p>
    <w:p w14:paraId="7F7C1FF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i w:val="0"/>
          <w:iCs w:val="0"/>
          <w:caps w:val="0"/>
          <w:color w:val="auto"/>
          <w:spacing w:val="0"/>
          <w:sz w:val="24"/>
          <w:szCs w:val="24"/>
          <w:shd w:val="clear" w:fill="FFFFFF"/>
        </w:rPr>
        <w:t>澄清申请：两处描述的招标项目名称不一致，是否以“招标文件-第二章、投标人须知 投标人须知前附表”描述为准？</w:t>
      </w:r>
    </w:p>
    <w:p w14:paraId="5A80C9C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i w:val="0"/>
          <w:iCs w:val="0"/>
          <w:caps w:val="0"/>
          <w:color w:val="auto"/>
          <w:spacing w:val="0"/>
          <w:sz w:val="24"/>
          <w:szCs w:val="24"/>
          <w:shd w:val="clear" w:fill="FFFFFF"/>
          <w:lang w:val="fr-FR"/>
        </w:rPr>
        <w:t>招标文件第4页-招标公告中项目名称为“长沙机场改扩建工程T3口岸查验系统建设项目”、标段名称为“海关配套设备设施及信息化系统建设工程施工”，第9页投标人须知前附表中招标项目名称为“长沙机场改扩建工程T3口岸查验系统建设项目海关配套设备设施及信息化系统建设工程施工2410-430121-04-05-829362”，工程量清单中项目名称及标段名称均为“长沙机场改扩建工程T3口岸查验系统建设项目海关配套设备设施及信息化系统建设工程施工”，建议将项目名称统一为“长沙机场改扩建工程T3口岸查验系统建设项目”，标段名称统一为“海关配套设备设施及信息化系统建设工程施工”。</w:t>
      </w:r>
    </w:p>
    <w:p w14:paraId="44E4DAC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统一名称规范如下，招标项目名称：长沙机场改扩建工程T3口岸查验系统建设项目；标段一名称：海关配套设备设施及信息化系统建设工程施工；标段二名称：边检配套设备设施及信息化系统建设工程施工。其中“2410-430121-04-05-829362”为本项目湖南省投资编码，为系统自动同步带入，不作为项目及标段正式名称使用。</w:t>
      </w:r>
    </w:p>
    <w:p w14:paraId="5C892E85">
      <w:pPr>
        <w:numPr>
          <w:ilvl w:val="0"/>
          <w:numId w:val="0"/>
        </w:numPr>
        <w:adjustRightInd w:val="0"/>
        <w:snapToGrid w:val="0"/>
        <w:rPr>
          <w:rFonts w:hint="default" w:ascii="Times New Roman" w:hAnsi="Times New Roman" w:eastAsia="宋体" w:cs="Times New Roman"/>
          <w:b/>
          <w:bCs/>
          <w:snapToGrid w:val="0"/>
          <w:color w:val="auto"/>
          <w:kern w:val="0"/>
          <w:sz w:val="24"/>
          <w:lang w:val="en-US" w:eastAsia="zh-CN"/>
        </w:rPr>
      </w:pPr>
    </w:p>
    <w:p w14:paraId="5ED897E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default" w:ascii="Times New Roman" w:hAnsi="Times New Roman" w:eastAsia="方正仿宋_GB2312" w:cs="Times New Roman"/>
          <w:i w:val="0"/>
          <w:iCs w:val="0"/>
          <w:caps w:val="0"/>
          <w:color w:val="auto"/>
          <w:spacing w:val="0"/>
          <w:sz w:val="24"/>
          <w:szCs w:val="24"/>
          <w:shd w:val="clear" w:fill="FFFFFF"/>
        </w:rPr>
        <w:t>招标文件 P4 项目概况中标段描述与 P5 招标范围内容、名称前后不一致，需明确具体以哪个范围为准。</w:t>
      </w:r>
    </w:p>
    <w:p w14:paraId="7E3B09C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回复：招标范围内容以招标文件第一章第2款项目概况的标段内容描述为准。</w:t>
      </w:r>
    </w:p>
    <w:p w14:paraId="11466E8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29CBCBD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default" w:ascii="Times New Roman" w:hAnsi="Times New Roman" w:eastAsia="方正仿宋_GB2312" w:cs="Times New Roman"/>
          <w:i w:val="0"/>
          <w:iCs w:val="0"/>
          <w:caps w:val="0"/>
          <w:color w:val="auto"/>
          <w:spacing w:val="0"/>
          <w:sz w:val="24"/>
          <w:szCs w:val="24"/>
          <w:shd w:val="clear" w:fill="FFFFFF"/>
        </w:rPr>
        <w:t>招标文件中技术部分前后目录内容不一致，本项目技术标为暗标评审，请问人员、设备、资源调度效能及经验是否归属技术标部分内容，该部分如何评定。</w:t>
      </w:r>
    </w:p>
    <w:p w14:paraId="7CA8ABA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回复：“人员、设备、资源调度效能及经验”属于技术标评审内容，但不属于暗标评审范畴。</w:t>
      </w:r>
    </w:p>
    <w:p w14:paraId="4A09422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4DD3D36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default" w:ascii="Times New Roman" w:hAnsi="Times New Roman" w:eastAsia="方正仿宋_GB2312" w:cs="Times New Roman"/>
          <w:i w:val="0"/>
          <w:iCs w:val="0"/>
          <w:caps w:val="0"/>
          <w:color w:val="auto"/>
          <w:spacing w:val="0"/>
          <w:sz w:val="24"/>
          <w:szCs w:val="24"/>
          <w:shd w:val="clear" w:fill="FFFFFF"/>
          <w:lang w:val="en-US" w:eastAsia="zh-CN"/>
        </w:rPr>
        <w:t>投标人须知前附表 3.4.1☑要求提交投标担保，接受电子保函、保证保险，电子保函须登录湖南省公共资源交易服务平台 -- 机器管招投标服务专区（</w:t>
      </w:r>
      <w:r>
        <w:rPr>
          <w:rFonts w:hint="default" w:ascii="Times New Roman" w:hAnsi="Times New Roman" w:eastAsia="方正仿宋_GB2312" w:cs="Times New Roman"/>
          <w:i w:val="0"/>
          <w:iCs w:val="0"/>
          <w:caps w:val="0"/>
          <w:color w:val="auto"/>
          <w:spacing w:val="0"/>
          <w:sz w:val="24"/>
          <w:szCs w:val="24"/>
          <w:shd w:val="clear" w:fill="FFFFFF"/>
          <w:lang w:val="en-US" w:eastAsia="zh-CN"/>
        </w:rPr>
        <w:fldChar w:fldCharType="begin"/>
      </w:r>
      <w:r>
        <w:rPr>
          <w:rFonts w:hint="default" w:ascii="Times New Roman" w:hAnsi="Times New Roman" w:eastAsia="方正仿宋_GB2312" w:cs="Times New Roman"/>
          <w:i w:val="0"/>
          <w:iCs w:val="0"/>
          <w:caps w:val="0"/>
          <w:color w:val="auto"/>
          <w:spacing w:val="0"/>
          <w:sz w:val="24"/>
          <w:szCs w:val="24"/>
          <w:shd w:val="clear" w:fill="FFFFFF"/>
          <w:lang w:val="en-US" w:eastAsia="zh-CN"/>
        </w:rPr>
        <w:instrText xml:space="preserve"> HYPERLINK "https://link.wtturl.cn/?target=https://bhjs.hnsggzy.com:19981/&amp;scene=im&amp;aid=497858&amp;lang=zh" \o "autolink" \t "_blank" </w:instrText>
      </w:r>
      <w:r>
        <w:rPr>
          <w:rFonts w:hint="default" w:ascii="Times New Roman" w:hAnsi="Times New Roman" w:eastAsia="方正仿宋_GB2312" w:cs="Times New Roman"/>
          <w:i w:val="0"/>
          <w:iCs w:val="0"/>
          <w:caps w:val="0"/>
          <w:color w:val="auto"/>
          <w:spacing w:val="0"/>
          <w:sz w:val="24"/>
          <w:szCs w:val="24"/>
          <w:shd w:val="clear" w:fill="FFFFFF"/>
          <w:lang w:val="en-US" w:eastAsia="zh-CN"/>
        </w:rPr>
        <w:fldChar w:fldCharType="separate"/>
      </w:r>
      <w:r>
        <w:rPr>
          <w:rFonts w:hint="default" w:ascii="Times New Roman" w:hAnsi="Times New Roman" w:eastAsia="方正仿宋_GB2312" w:cs="Times New Roman"/>
          <w:i w:val="0"/>
          <w:iCs w:val="0"/>
          <w:caps w:val="0"/>
          <w:color w:val="auto"/>
          <w:spacing w:val="0"/>
          <w:sz w:val="24"/>
          <w:szCs w:val="24"/>
          <w:shd w:val="clear" w:fill="FFFFFF"/>
        </w:rPr>
        <w:t>https://bhjs.hnsggzy.com:19981/</w:t>
      </w:r>
      <w:r>
        <w:rPr>
          <w:rFonts w:hint="default" w:ascii="Times New Roman" w:hAnsi="Times New Roman" w:eastAsia="方正仿宋_GB2312" w:cs="Times New Roman"/>
          <w:i w:val="0"/>
          <w:iCs w:val="0"/>
          <w:caps w:val="0"/>
          <w:color w:val="auto"/>
          <w:spacing w:val="0"/>
          <w:sz w:val="24"/>
          <w:szCs w:val="24"/>
          <w:shd w:val="clear" w:fill="FFFFFF"/>
          <w:lang w:val="en-US" w:eastAsia="zh-CN"/>
        </w:rPr>
        <w:fldChar w:fldCharType="end"/>
      </w:r>
      <w:r>
        <w:rPr>
          <w:rFonts w:hint="default" w:ascii="Times New Roman" w:hAnsi="Times New Roman" w:eastAsia="方正仿宋_GB2312" w:cs="Times New Roman"/>
          <w:i w:val="0"/>
          <w:iCs w:val="0"/>
          <w:caps w:val="0"/>
          <w:color w:val="auto"/>
          <w:spacing w:val="0"/>
          <w:sz w:val="24"/>
          <w:szCs w:val="24"/>
          <w:shd w:val="clear" w:fill="FFFFFF"/>
          <w:lang w:val="en-US" w:eastAsia="zh-CN"/>
        </w:rPr>
        <w:t>）办理。 （1）由湖南省公共资源交易保险保函接收系统自动生成的电子保函，文本格式与招标文件保函范本存在差异，该格式保函是否符合招标文件要求？ （2）如采用保证保险，因承保银行存在自身制式文本规范要求，在不改动保函保险责任、担保金额、担保期限、赔付义务等实质性履约条款内容的前提下，银行能否对保险保函格式行文、排版、非实质性文字内容进行微调修改？</w:t>
      </w:r>
    </w:p>
    <w:p w14:paraId="765ED82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回复：按招标文件相关规定执行。</w:t>
      </w:r>
    </w:p>
    <w:p w14:paraId="378A0D4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14776F1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default" w:ascii="Times New Roman" w:hAnsi="Times New Roman" w:eastAsia="方正仿宋_GB2312" w:cs="Times New Roman"/>
          <w:i w:val="0"/>
          <w:iCs w:val="0"/>
          <w:caps w:val="0"/>
          <w:color w:val="auto"/>
          <w:spacing w:val="0"/>
          <w:sz w:val="24"/>
          <w:szCs w:val="24"/>
          <w:shd w:val="clear" w:fill="FFFFFF"/>
          <w:lang w:val="en-US" w:eastAsia="zh-CN"/>
        </w:rPr>
        <w:t>投标人须知前附表1.3.2计划工期：120日历天；计划开工日期：2026-07-15；计划完 (交) 工日期：2026-11-12。2026年7月15日至2026年11月12日实际日历天为 121日历天，请问编制投标文件总工期是以120日历天还是以121日历天为准？</w:t>
      </w:r>
    </w:p>
    <w:p w14:paraId="02E6E76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1AAB0D0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2B2255C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default" w:ascii="Times New Roman" w:hAnsi="Times New Roman" w:eastAsia="方正仿宋_GB2312" w:cs="Times New Roman"/>
          <w:i w:val="0"/>
          <w:iCs w:val="0"/>
          <w:caps w:val="0"/>
          <w:color w:val="auto"/>
          <w:spacing w:val="0"/>
          <w:sz w:val="24"/>
          <w:szCs w:val="24"/>
          <w:shd w:val="clear" w:fill="FFFFFF"/>
          <w:lang w:val="en-US" w:eastAsia="en-US"/>
        </w:rPr>
        <w:t>招标文件第八章投标文件三、投标函附录第 5 点缺陷责任期，</w:t>
      </w:r>
    </w:p>
    <w:p w14:paraId="62023BD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 xml:space="preserve">第二节 通用合同条款“ </w:t>
      </w:r>
      <w:r>
        <w:rPr>
          <w:rFonts w:hint="default" w:ascii="Times New Roman" w:hAnsi="Times New Roman" w:eastAsia="方正仿宋_GB2312" w:cs="Times New Roman"/>
          <w:i w:val="0"/>
          <w:iCs w:val="0"/>
          <w:caps w:val="0"/>
          <w:color w:val="auto"/>
          <w:spacing w:val="0"/>
          <w:sz w:val="24"/>
          <w:szCs w:val="24"/>
          <w:shd w:val="clear" w:fill="FFFFFF"/>
          <w:lang w:val="en-US" w:eastAsia="en-US"/>
        </w:rPr>
        <w:fldChar w:fldCharType="begin"/>
      </w:r>
      <w:r>
        <w:rPr>
          <w:rFonts w:hint="default" w:ascii="Times New Roman" w:hAnsi="Times New Roman" w:eastAsia="方正仿宋_GB2312" w:cs="Times New Roman"/>
          <w:i w:val="0"/>
          <w:iCs w:val="0"/>
          <w:caps w:val="0"/>
          <w:color w:val="auto"/>
          <w:spacing w:val="0"/>
          <w:sz w:val="24"/>
          <w:szCs w:val="24"/>
          <w:shd w:val="clear" w:fill="FFFFFF"/>
          <w:lang w:val="en-US" w:eastAsia="en-US"/>
        </w:rPr>
        <w:instrText xml:space="preserve"> HYPERLINK "1.1.4.5" </w:instrText>
      </w:r>
      <w:r>
        <w:rPr>
          <w:rFonts w:hint="default" w:ascii="Times New Roman" w:hAnsi="Times New Roman" w:eastAsia="方正仿宋_GB2312" w:cs="Times New Roman"/>
          <w:i w:val="0"/>
          <w:iCs w:val="0"/>
          <w:caps w:val="0"/>
          <w:color w:val="auto"/>
          <w:spacing w:val="0"/>
          <w:sz w:val="24"/>
          <w:szCs w:val="24"/>
          <w:shd w:val="clear" w:fill="FFFFFF"/>
          <w:lang w:val="en-US" w:eastAsia="en-US"/>
        </w:rPr>
        <w:fldChar w:fldCharType="separate"/>
      </w:r>
      <w:r>
        <w:rPr>
          <w:rFonts w:hint="default" w:ascii="Times New Roman" w:hAnsi="Times New Roman" w:eastAsia="方正仿宋_GB2312" w:cs="Times New Roman"/>
          <w:i w:val="0"/>
          <w:iCs w:val="0"/>
          <w:caps w:val="0"/>
          <w:color w:val="auto"/>
          <w:spacing w:val="0"/>
          <w:sz w:val="24"/>
          <w:szCs w:val="24"/>
          <w:shd w:val="clear" w:fill="FFFFFF"/>
          <w:lang w:val="en-US" w:eastAsia="en-US"/>
        </w:rPr>
        <w:t>1.1.4.5</w:t>
      </w:r>
      <w:r>
        <w:rPr>
          <w:rFonts w:hint="default" w:ascii="Times New Roman" w:hAnsi="Times New Roman" w:eastAsia="方正仿宋_GB2312" w:cs="Times New Roman"/>
          <w:i w:val="0"/>
          <w:iCs w:val="0"/>
          <w:caps w:val="0"/>
          <w:color w:val="auto"/>
          <w:spacing w:val="0"/>
          <w:sz w:val="24"/>
          <w:szCs w:val="24"/>
          <w:shd w:val="clear" w:fill="FFFFFF"/>
          <w:lang w:val="en-US" w:eastAsia="en-US"/>
        </w:rPr>
        <w:fldChar w:fldCharType="end"/>
      </w:r>
      <w:r>
        <w:rPr>
          <w:rFonts w:hint="default" w:ascii="Times New Roman" w:hAnsi="Times New Roman" w:eastAsia="方正仿宋_GB2312" w:cs="Times New Roman"/>
          <w:i w:val="0"/>
          <w:iCs w:val="0"/>
          <w:caps w:val="0"/>
          <w:color w:val="auto"/>
          <w:spacing w:val="0"/>
          <w:sz w:val="24"/>
          <w:szCs w:val="24"/>
          <w:shd w:val="clear" w:fill="FFFFFF"/>
          <w:lang w:val="en-US" w:eastAsia="en-US"/>
        </w:rPr>
        <w:t xml:space="preserve"> 缺陷责任期：指履行第 19.2 款约定的缺陷责任的期限，具体期限由专用合同条款约定，包括根据第19.3 款约定所作的延长。”此处并未写明缺陷责任期具体时间。但是在招标文件内 P163 质量保修书内体现了缺陷责任期为 36 个月，但未具体体现合同条款号，</w:t>
      </w:r>
    </w:p>
    <w:p w14:paraId="5B1CCEF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请问第八章投标文件三、投标函附录第 5 点缺陷责任期，是否可以写成如下内容？</w:t>
      </w:r>
    </w:p>
    <w:tbl>
      <w:tblPr>
        <w:tblStyle w:val="12"/>
        <w:tblW w:w="85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1702"/>
        <w:gridCol w:w="1702"/>
        <w:gridCol w:w="1703"/>
        <w:gridCol w:w="1708"/>
      </w:tblGrid>
      <w:tr w14:paraId="30438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707" w:type="dxa"/>
            <w:vAlign w:val="center"/>
          </w:tcPr>
          <w:p w14:paraId="08C5B65B">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序号</w:t>
            </w:r>
          </w:p>
        </w:tc>
        <w:tc>
          <w:tcPr>
            <w:tcW w:w="1702" w:type="dxa"/>
            <w:vAlign w:val="center"/>
          </w:tcPr>
          <w:p w14:paraId="2BAD93AF">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条款内容</w:t>
            </w:r>
          </w:p>
        </w:tc>
        <w:tc>
          <w:tcPr>
            <w:tcW w:w="1702" w:type="dxa"/>
            <w:vAlign w:val="center"/>
          </w:tcPr>
          <w:p w14:paraId="70C263F2">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合同条款号</w:t>
            </w:r>
          </w:p>
        </w:tc>
        <w:tc>
          <w:tcPr>
            <w:tcW w:w="1703" w:type="dxa"/>
            <w:vAlign w:val="center"/>
          </w:tcPr>
          <w:p w14:paraId="694AE43A">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约定内容</w:t>
            </w:r>
          </w:p>
        </w:tc>
        <w:tc>
          <w:tcPr>
            <w:tcW w:w="1708" w:type="dxa"/>
            <w:vAlign w:val="center"/>
          </w:tcPr>
          <w:p w14:paraId="24E160F3">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说明</w:t>
            </w:r>
          </w:p>
        </w:tc>
      </w:tr>
      <w:tr w14:paraId="01E97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07" w:type="dxa"/>
            <w:vAlign w:val="center"/>
          </w:tcPr>
          <w:p w14:paraId="1B29CEB6">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5</w:t>
            </w:r>
          </w:p>
        </w:tc>
        <w:tc>
          <w:tcPr>
            <w:tcW w:w="1702" w:type="dxa"/>
            <w:vAlign w:val="center"/>
          </w:tcPr>
          <w:p w14:paraId="2EC3AE86">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缺陷责任期</w:t>
            </w:r>
          </w:p>
        </w:tc>
        <w:tc>
          <w:tcPr>
            <w:tcW w:w="1702" w:type="dxa"/>
            <w:vAlign w:val="center"/>
          </w:tcPr>
          <w:p w14:paraId="3EB61D6E">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1.1.4.5</w:t>
            </w:r>
          </w:p>
        </w:tc>
        <w:tc>
          <w:tcPr>
            <w:tcW w:w="1703" w:type="dxa"/>
            <w:vAlign w:val="center"/>
          </w:tcPr>
          <w:p w14:paraId="418DEBD6">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36 个月</w:t>
            </w:r>
          </w:p>
        </w:tc>
        <w:tc>
          <w:tcPr>
            <w:tcW w:w="1708" w:type="dxa"/>
            <w:vAlign w:val="center"/>
          </w:tcPr>
          <w:p w14:paraId="55914E68">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p>
        </w:tc>
      </w:tr>
    </w:tbl>
    <w:p w14:paraId="36420A9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回复：按招标文件规定的格式规范填报。</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本项目缺陷责任期调整为24个月。</w:t>
      </w:r>
    </w:p>
    <w:p w14:paraId="05948936">
      <w:pPr>
        <w:rPr>
          <w:rFonts w:hint="default" w:ascii="Times New Roman" w:hAnsi="Times New Roman" w:cs="Times New Roman"/>
          <w:color w:val="auto"/>
        </w:rPr>
      </w:pPr>
    </w:p>
    <w:p w14:paraId="1201951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问题7：</w:t>
      </w:r>
      <w:r>
        <w:rPr>
          <w:rFonts w:hint="default" w:ascii="Times New Roman" w:hAnsi="Times New Roman" w:eastAsia="方正仿宋_GB2312" w:cs="Times New Roman"/>
          <w:i w:val="0"/>
          <w:iCs w:val="0"/>
          <w:caps w:val="0"/>
          <w:color w:val="auto"/>
          <w:spacing w:val="0"/>
          <w:sz w:val="24"/>
          <w:szCs w:val="24"/>
          <w:shd w:val="clear" w:fill="FFFFFF"/>
          <w:lang w:val="en-US" w:eastAsia="en-US"/>
        </w:rPr>
        <w:t>招标人是否可提供 excel 版工程量清单？</w:t>
      </w:r>
    </w:p>
    <w:p w14:paraId="25CFE2D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回复：不提供。</w:t>
      </w:r>
    </w:p>
    <w:p w14:paraId="7D7F391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p>
    <w:p w14:paraId="7AE6AF9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问题8：</w:t>
      </w:r>
      <w:r>
        <w:rPr>
          <w:rFonts w:hint="default" w:ascii="Times New Roman" w:hAnsi="Times New Roman" w:eastAsia="方正仿宋_GB2312" w:cs="Times New Roman"/>
          <w:i w:val="0"/>
          <w:iCs w:val="0"/>
          <w:caps w:val="0"/>
          <w:color w:val="auto"/>
          <w:spacing w:val="0"/>
          <w:sz w:val="24"/>
          <w:szCs w:val="24"/>
          <w:shd w:val="clear" w:fill="FFFFFF"/>
          <w:lang w:val="en-US" w:eastAsia="en-US"/>
        </w:rPr>
        <w:t>招标文件中的.HNZBJ 电子招标清单文件导入计价软件后，其生成的工程量清单内容、项目特征、计量单位及表格样式等与 PDF 版工程量清单存在不完全一致。招标文件约定 “由计价软件打印的已标价工程量清单与上述文件格式不一致的，以计价软件表格为准”。请问投标人是否应完全以.HNZBJ 电子清单文件中的数据及软件生成的格式为唯一标准进行报价和编制投标文件？若因此导致与 PDF 版清单存在差异，是否均视为有效响应？</w:t>
      </w:r>
    </w:p>
    <w:p w14:paraId="1474BE3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回复：PDF版工程量清单为.HNZBJ电子招标清单文件导入交易系统后自动转换生成，若出现格式、内容不一致情形，统一以计价软件打印的已标价工程量清单内容及格式为准。</w:t>
      </w:r>
    </w:p>
    <w:p w14:paraId="588097B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05C3537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问题9：</w:t>
      </w:r>
      <w:r>
        <w:rPr>
          <w:rFonts w:hint="default" w:ascii="Times New Roman" w:hAnsi="Times New Roman" w:eastAsia="方正仿宋_GB2312" w:cs="Times New Roman"/>
          <w:i w:val="0"/>
          <w:iCs w:val="0"/>
          <w:caps w:val="0"/>
          <w:color w:val="auto"/>
          <w:spacing w:val="0"/>
          <w:sz w:val="24"/>
          <w:szCs w:val="24"/>
          <w:shd w:val="clear" w:fill="FFFFFF"/>
          <w:lang w:val="en-US" w:eastAsia="en-US"/>
        </w:rPr>
        <w:t>请问投标人是否可以自行选择造价软件进行投标报价软件的制作？</w:t>
      </w:r>
    </w:p>
    <w:p w14:paraId="0E11FD0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回复：投标人可自主选择在湖南省住建厅公布的“通过建设工程计价软件符合性评测名单”内的软件版本。编制的</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投标报价</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需确保能被系统自动识别、解析和清标，电子系统使用操作遇到问题时可及时向湖南省工程建设招投交易系统咨询，联系方式:400-777-7016，0731-84807016。</w:t>
      </w:r>
    </w:p>
    <w:p w14:paraId="55495BB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3020373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问题10：</w:t>
      </w:r>
      <w:r>
        <w:rPr>
          <w:rFonts w:hint="default" w:ascii="Times New Roman" w:hAnsi="Times New Roman" w:eastAsia="方正仿宋_GB2312" w:cs="Times New Roman"/>
          <w:i w:val="0"/>
          <w:iCs w:val="0"/>
          <w:caps w:val="0"/>
          <w:color w:val="auto"/>
          <w:spacing w:val="0"/>
          <w:sz w:val="24"/>
          <w:szCs w:val="24"/>
          <w:shd w:val="clear" w:fill="FFFFFF"/>
          <w:lang w:val="en-US" w:eastAsia="en-US"/>
        </w:rPr>
        <w:t>针对文件执行优先级，请依次明确：（1）招标技术规格书与图纸不一致时，以哪个为准？（2）招标技术规格书中的清单与 PDF 版工程量清单不一致时，以哪个为准？（3）工程量清单项目特征描述与招标技术规格书功能、参数不一致时，以哪个为准？</w:t>
      </w:r>
    </w:p>
    <w:p w14:paraId="399F007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技术规格书与图纸不一致时，以技术规格书为准</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；按</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招标</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工程量清单报价。</w:t>
      </w:r>
    </w:p>
    <w:p w14:paraId="1E8AE37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2555328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问题11：</w:t>
      </w:r>
      <w:r>
        <w:rPr>
          <w:rFonts w:hint="default" w:ascii="Times New Roman" w:hAnsi="Times New Roman" w:eastAsia="方正仿宋_GB2312" w:cs="Times New Roman"/>
          <w:i w:val="0"/>
          <w:iCs w:val="0"/>
          <w:caps w:val="0"/>
          <w:color w:val="auto"/>
          <w:spacing w:val="0"/>
          <w:sz w:val="24"/>
          <w:szCs w:val="24"/>
          <w:shd w:val="clear" w:fill="FFFFFF"/>
          <w:lang w:val="en-US" w:eastAsia="zh-CN"/>
        </w:rPr>
        <w:t>招标各系统技术规格书中部分设备要求提供检测报告、认证等厂商资料，有的明确在进场时提供，有的明确为投标时提供，有的未明确提供时间。请问招标要求的检测报告、认证等厂商资料可否统一为中标后提供。</w:t>
      </w:r>
    </w:p>
    <w:p w14:paraId="56BCA8B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回复：设备检测报告、认证等厂商资料统一在中标后提供。</w:t>
      </w:r>
    </w:p>
    <w:p w14:paraId="4285BAC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2E23F31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投标文件制作工具中联合体协议书无上传文件的选项，请问联合体协议书该如何上传，烦请明确。</w:t>
      </w:r>
    </w:p>
    <w:p w14:paraId="4E93833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回复：本项目投标过程中，电子系统使用操作遇到问题时可及时向湖南省工程建设招投交易系统咨询，联系方式:400-777-7016，0731-84807016。</w:t>
      </w:r>
    </w:p>
    <w:p w14:paraId="643B407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position w:val="-54"/>
        </w:rPr>
      </w:pPr>
    </w:p>
    <w:p w14:paraId="43ABCC3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上传投标文件需要填写项目负责人相关信息：姓名、联系电话、身份证号码；并且有“项目负责人信息填写内容涉及招标代理/招标人授权委托人及后续人脸校验环节，挑选后请确认信息无误”内容提示，下方还有委托人身份信息认证，须扫描上传身份证图片。</w:t>
      </w:r>
    </w:p>
    <w:p w14:paraId="18DB893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snapToGrid/>
          <w:color w:val="auto"/>
        </w:rPr>
      </w:pPr>
      <w:r>
        <w:rPr>
          <w:rFonts w:hint="default" w:ascii="Times New Roman" w:hAnsi="Times New Roman" w:cs="Times New Roman"/>
          <w:snapToGrid/>
          <w:color w:val="auto"/>
        </w:rPr>
        <w:drawing>
          <wp:inline distT="0" distB="0" distL="0" distR="0">
            <wp:extent cx="5274310" cy="2281555"/>
            <wp:effectExtent l="0" t="0" r="2540" b="4445"/>
            <wp:docPr id="463547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7128" name="图片 1"/>
                    <pic:cNvPicPr>
                      <a:picLocks noChangeAspect="1"/>
                    </pic:cNvPicPr>
                  </pic:nvPicPr>
                  <pic:blipFill>
                    <a:blip r:embed="rId5"/>
                    <a:stretch>
                      <a:fillRect/>
                    </a:stretch>
                  </pic:blipFill>
                  <pic:spPr>
                    <a:xfrm>
                      <a:off x="0" y="0"/>
                      <a:ext cx="5274310" cy="2281555"/>
                    </a:xfrm>
                    <a:prstGeom prst="rect">
                      <a:avLst/>
                    </a:prstGeom>
                  </pic:spPr>
                </pic:pic>
              </a:graphicData>
            </a:graphic>
          </wp:inline>
        </w:drawing>
      </w:r>
    </w:p>
    <w:p w14:paraId="41681CB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请问：由于委托代理人需要办理CA，项目负责人与委托人是否要求为同一人？</w:t>
      </w:r>
    </w:p>
    <w:p w14:paraId="7245D19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宋体" w:cs="Times New Roman"/>
          <w:b/>
          <w:bCs/>
          <w:snapToGrid w:val="0"/>
          <w:color w:val="auto"/>
          <w:kern w:val="0"/>
          <w:sz w:val="24"/>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回复：本项目投标过程中，电子系统使用操作遇到问题时可及时向湖南省工程建设招投交易系统咨询，联系方式:400-777-7016，0731-84807016。</w:t>
      </w:r>
    </w:p>
    <w:p w14:paraId="3CB103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b/>
          <w:bCs/>
          <w:snapToGrid w:val="0"/>
          <w:color w:val="auto"/>
          <w:kern w:val="0"/>
          <w:sz w:val="24"/>
          <w:lang w:val="en-US" w:eastAsia="zh-CN"/>
        </w:rPr>
      </w:pPr>
    </w:p>
    <w:p w14:paraId="2B11D9F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 P229 第八章投标文件组成（四）项目管理表格仅列明填报栏目，未说明人员填报范围，请问表格中需要放置哪些人员，有无具体要求？</w:t>
      </w:r>
    </w:p>
    <w:p w14:paraId="437757A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回复：按照《省建筑工程施工监理关键岗位人员管理办法》（湘建建〔2020〕208号）相关规定执行。</w:t>
      </w:r>
    </w:p>
    <w:p w14:paraId="1D8357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b/>
          <w:bCs/>
          <w:snapToGrid w:val="0"/>
          <w:color w:val="auto"/>
          <w:kern w:val="0"/>
          <w:sz w:val="24"/>
          <w:lang w:val="en-US" w:eastAsia="zh-CN"/>
        </w:rPr>
      </w:pPr>
    </w:p>
    <w:p w14:paraId="39A82AC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本项目分为两个标段，投标人可投两个标段、最多中标一个标段。</w:t>
      </w:r>
    </w:p>
    <w:p w14:paraId="2FB6B4A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（1）若我单位同时参与两个标段投标，是否可以使用同一名项目负责人、同一套主要项目实施人员（技术负责人、施工员、安全员等）？</w:t>
      </w:r>
    </w:p>
    <w:p w14:paraId="06B37EA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（2）结合前述前况，本项目分为2个标段同时招标，若我单位同时参与本项目全部2个标段的投标，基于此情形，是否允许同一名项目负责人（项目经理） 同时担任不同标段的项目负责人？</w:t>
      </w:r>
    </w:p>
    <w:p w14:paraId="4FDB311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回复：投标人参与两个标段投标时，可共用同一项目负责人、技术负责人及其他主要项目管理人员。</w:t>
      </w:r>
    </w:p>
    <w:p w14:paraId="2E1D6B6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5AE830D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投标人须知前附表 6.4 奖项得分计算公式：奖项得分 = 奖项权重总分 × 奖项级别权重 × 奖项等级权重 × 奖项排名权重。我单位拥有省科学技术进步奖 - 二等奖，请问级别权重是否按照 80% 计算？奖项等级权重和奖项排名权重招标文件未提及，是否按照 100% 计算？</w:t>
      </w:r>
    </w:p>
    <w:p w14:paraId="4054EA7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回复：按照招标文件要求及以下规则</w:t>
      </w:r>
      <w:r>
        <w:rPr>
          <w:rFonts w:hint="default" w:ascii="Times New Roman" w:hAnsi="Times New Roman" w:eastAsia="方正仿宋_GB2312" w:cs="Times New Roman"/>
          <w:b/>
          <w:bCs/>
          <w:i w:val="0"/>
          <w:iCs w:val="0"/>
          <w:caps w:val="0"/>
          <w:color w:val="auto"/>
          <w:spacing w:val="0"/>
          <w:sz w:val="24"/>
          <w:szCs w:val="24"/>
          <w:shd w:val="clear" w:fill="FFFFFF"/>
          <w:lang w:val="en-US" w:eastAsia="zh"/>
        </w:rPr>
        <w:t>执行</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1）湖南省发展和改革委员会、湖南省公共资源交易中心关于印发《湖南省公共资源交易数字化、模块化招标文件范本框架导引及编制导则》的通知第三十二条奖项加分原则；（2）湖南省发展和改革委员会、湖南省公共资源交易中心关于发布“机器管招投标”系统关键运行逻辑释义的通知。</w:t>
      </w:r>
    </w:p>
    <w:p w14:paraId="3711AC9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3A4C1CA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奖项和发明专利加分权重:其中奖项加分权重为70%，发明专利不做具体评审，统一计奖项和发明专利总权重的30%。”由于发明专利不做具体评审，占统一计奖项和发明专利总权重的30%，请问发明专利是否能得分（0.45分），是否对专利要限制和要求？</w:t>
      </w:r>
    </w:p>
    <w:p w14:paraId="20FE71F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 xml:space="preserve">回复：按招标文件投标人须知前附表 6.4 商务部分评审的奖项、业绩规定执行。 </w:t>
      </w:r>
    </w:p>
    <w:p w14:paraId="17A9EB9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3E76531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仅写明发明专利计入加分，未限定应用领域、工程类别。请问：（1）发明专利是否要求和本项目电子与智能化工程专业、施工内容匹配？实用新型专利、外观设计专利、软件著作权是否纳入本项加分范围？</w:t>
      </w:r>
    </w:p>
    <w:p w14:paraId="5CB8D14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回复：按招标文件投标人须知前附表 6.4 商务部分评审的奖项、业绩规定执行。</w:t>
      </w:r>
    </w:p>
    <w:p w14:paraId="4E58149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46A85A5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投标人须知前附表 6.4 商务部分评审的奖项、业绩规定中仅写明奖项和发明专利计入奖项专利总分权重 30%。而第八章、投标文件组成 八、商务部分 (一)商务部分（业绩、奖项及信用）自评表“4 发明专利（不适用） ”。请问如有发明专利是否在“4 发明专利（不适用） ”栏内填写？</w:t>
      </w:r>
    </w:p>
    <w:p w14:paraId="665BDCC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回复：按招标文件投标人须知前附表 6.4 商务部分评审的奖项、业绩规定执行。</w:t>
      </w:r>
    </w:p>
    <w:p w14:paraId="0835B48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28AA15D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招标文件222页，第七章-七、商务部分- (一)商务部分(业绩、奖项及信用)自评表中，为“发明专利（不适用）”。招标文件232页，第七章-七、商务部分-(八)发明专利表中，为“发明专利（如有）”。内容不一致，还请明确。</w:t>
      </w:r>
    </w:p>
    <w:p w14:paraId="06DC50B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回复：按招标文件投标人须知前附表 6.4 商务部分评审的奖项、业绩规定执行。</w:t>
      </w:r>
    </w:p>
    <w:p w14:paraId="150727B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3BFB736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二章“投标人须知6.4.奖项和发明专利加分：奖项加分项应为获得的与该项目工程类别、专业领域和主体工程均相对应的国家级、省级奖项。投标人近3年的口房屋建筑工程口市政公用工程及其参建工程奖项予以计分(奖项类别应与项目所需资质类别相对应，如无资质要求时，房屋建筑工程和市政公用工程的奖项均予以计分)”。铁路工程、城市轨道交通工程在鲁班奖申报评选时工程类别分别划分为工业交通水利工程、市政园林工程，在国家优质工程奖申报评选时工程类别分别划分为交通工程、市政公用工程；请问我公司承建的包含智能化系统的铁路工程或城市轨道交通车站、站房等项目获得的鲁班奖、国家优质工程奖奖项是否满足加分条件?</w:t>
      </w:r>
    </w:p>
    <w:p w14:paraId="1124C22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回复：按招标文件投标人须知前附表 6.4 商务部分评审的奖项、业绩规定执行。</w:t>
      </w:r>
    </w:p>
    <w:p w14:paraId="7611A75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lang w:val="en-US" w:eastAsia="en-US"/>
        </w:rPr>
      </w:pPr>
    </w:p>
    <w:p w14:paraId="5E65945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招标文件P12 投标人须知前附表 6.4 中规定 需提供电子系统工程和建筑智能化工程的业绩；招标文件P67人员、设备、资源调度效能及经验评分条款要求：需提供 3个近 3 年单项合同额≥</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7556.803579万元（海关标段）、</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7284.268458万元</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（边检标段）</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的建筑工程的施工或工程总承包履约业绩。</w:t>
      </w:r>
    </w:p>
    <w:p w14:paraId="40C3EED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鉴于本项目招标内容为电子系统工程项目，项目实施范畴归属于电子智能化专业工程，并非传统土建类房建工程。招标文件前后两处条款对业绩名称界定表述不一致，请招标人予以澄清确认：招标文件P67 人员、设备、资源调度效能及经验评分条款中所指“建筑工程”是否包含电子系统工程、建筑智能化专业工程，符合合同额标准的电子及智能化工程履约业绩？</w:t>
      </w:r>
    </w:p>
    <w:p w14:paraId="7106AEB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回复：按照招标文件第三章评标办法（综合评估法2）评标办法前附表附注规定“履约业绩是否符合要求的评判标准与招标文件中对企业业绩的评判标准一致”执行。</w:t>
      </w:r>
    </w:p>
    <w:p w14:paraId="402B5F7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1A47D33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我方现有铁路客服信息系统项目，项目建设内容包含信息化集成、机房建设、网络布设、旅客信息发布、票务智能化等智能化配套施工内容，施工内容契合电子及智能化工程建设范畴，请问该铁路客服信息系统工程项目，可否认定为本项目认可的类似有效业绩？</w:t>
      </w:r>
    </w:p>
    <w:p w14:paraId="54FE753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5C84D66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5220FF2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铁路项目和人员铁路项目业绩在 “湖南省数字城建档案馆丨智慧住建云”、“全国建筑市场监管公共服务平台” 无相关截图，请问是否凭中标、合同、竣工验收资料进行评审？</w:t>
      </w:r>
    </w:p>
    <w:p w14:paraId="1AD37FC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04A327E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0DE54ED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我方投标所用铁路业绩项目已完工通车、完成建设单位牵头初验并取得正式初验报告；铁路行业惯例初验合格且投运即代表工程完工，如无竣工验收证明，是否可以申请初验报告作为完工有效业绩材料？</w:t>
      </w:r>
    </w:p>
    <w:p w14:paraId="1E1FD87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17B1D48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5C5C6EA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要求拟任项目经理需具备对应类似工程业绩，请问拟任项目经理担任过类似工程的项目副经理、项目副总工程师、项目组织机构部门负责人等职位是否可以？相关任职证明材料是否可以使用本公司项目部任职令或业主方出具的业绩证明？</w:t>
      </w:r>
    </w:p>
    <w:p w14:paraId="0DF2B30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回复：不予认可。</w:t>
      </w:r>
    </w:p>
    <w:p w14:paraId="2E5CBE5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1323B60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若投标人提供的总承包项目业绩包含智能化工程内容，但相关证明材料（例如中标通知书、工程合同、交工验收或竣工验收文件（证书）、招标文件规定的行业数据库中查询企业及人员业绩信息获取的对应项目网页截图等）均未体现本项目类似业绩要求的相关指标，请问还需补充提供哪些佐证材料，方可认定该业绩有效？</w:t>
      </w:r>
    </w:p>
    <w:p w14:paraId="6FF9752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为机管系统电子评标项目，请投标人自行理解关于印发《湖南省公共资源交易数字化、模块化招标文件范本框架导引及编制导则》的通知（湘发改法规规〔2024〕958号）及相关规定，按照《湖南省“机器管招投标”交易系统投标人操作指南》进行投标文件编制，投标文件编制应当符合“湖南省机器管招标电子交易系统”要求。本项目投标过程中，电子系统使用操作遇到问题时可及时向湖南省工程建设招投交易系统咨询，联系方式:400-777-7016，0731-84807016。</w:t>
      </w:r>
    </w:p>
    <w:p w14:paraId="76238C5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投标人可补充提供建设单位加盖公章的证明材料，业绩最终有效性由评标委员会综合评审认定。</w:t>
      </w:r>
    </w:p>
    <w:p w14:paraId="3FC9A78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02B1011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投标人提供的类似工程业绩中的电子与智能化工程专业的工程规模指标在合同、竣工验收等资料无法体现，是否可以用加盖业主公章的业主证明材料补充证明？</w:t>
      </w:r>
    </w:p>
    <w:p w14:paraId="15CA83E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为机管系统电子评标项目，请投标人自行理解关于印发《湖南省公共资源交易数字化、模块化招标文件范本框架导引及编制导则》的通知（湘发改法规规〔2024〕958号）及相关规定，按照《湖南省“机器管招投标”交易系统投标人操作指南》进行投标文件编制，投标文件编制应当符合“湖南省机器管招标电子交易系统”要求。本项目投标过程中，电子系统使用操作遇到问题时可及时向湖南省工程建设招投交易系统咨询，联系方式:400-777-7016，0731-84807016。</w:t>
      </w:r>
    </w:p>
    <w:p w14:paraId="27319A1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投标人可补充提供建设单位加盖公章的证明材料，业绩最终有效性由评标委员会综合评审认定。</w:t>
      </w:r>
    </w:p>
    <w:p w14:paraId="32514D4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color w:val="auto"/>
          <w:kern w:val="0"/>
          <w:sz w:val="24"/>
          <w:szCs w:val="24"/>
          <w:lang w:val="en-US" w:eastAsia="zh-CN" w:bidi="ar"/>
        </w:rPr>
      </w:pPr>
    </w:p>
    <w:p w14:paraId="0EFBA78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在“第二章 投标人须知”，投标人须知前附表条款号“10.10”中，《1.加分类似业绩：（1）招标项目存在不同类型专业工程内容的,招标人应根据项目实际情况在招标文件中明确主要类型（专业），加分业绩的认定须以主要类型专业为准。本项目主要类型专业：电子与智能化工程(住建)》。</w:t>
      </w:r>
    </w:p>
    <w:p w14:paraId="2029274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结合前述情况，通信工程业绩是否属于类似工程业绩？请予以澄清说明。</w:t>
      </w:r>
    </w:p>
    <w:p w14:paraId="2B52B01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5C28DD6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color w:val="auto"/>
          <w:kern w:val="0"/>
          <w:sz w:val="24"/>
          <w:szCs w:val="24"/>
          <w:lang w:val="en-US" w:eastAsia="zh-CN" w:bidi="ar"/>
        </w:rPr>
      </w:pPr>
    </w:p>
    <w:p w14:paraId="21A2E13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经理业绩提供资料请问本项目中项目经理业绩提供①全国建筑市场监管公共服务平台截图（参与单位及相关负责人板块页面截图体现企业名称及项目经理名字但未体现合同金额）、②地方公共资源交易中心公示中标截图（体现企业及项目经理名字和中标金额）、③中标通知书（体现企业及项目经理名字和中标金额）、④项目施工合同（体现项目经理名字和金额）及竣工报告（四方验收，体现项目经理签字和金额）是否可以得分？</w:t>
      </w:r>
    </w:p>
    <w:p w14:paraId="582261A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0E27C47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33D2F00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若将“必须在网上查阅到行业数据库查询到的企业、人员业绩信息相关项目网页截图”作为业绩认定的唯一或强制性前置条件，是否涉嫌以不合理条件限制、排斥潜在投标人？根据《中华人民共和国政府采购法实施条例》第二十条及《中华人民共和国招标投标法实施条例》第三十二条的相关规定，设定的资格、技术、商务条件应当与采购项目的具体特点和实际需要相适应。在工程实践中，部分真实合法且已完工的项目，因历史原因、项目类型（如部分专业分包、改扩建工程）或地方系统数据对接滞后等客观因素，确实未能录入“四库一平台”或省级行业数据库。若“一刀切”地强制要求提供数据库网页截图，实质上是将具备履约能力但业绩未入库的潜在投标人排斥在外，构成了对潜在投标人的差别待遇。</w:t>
      </w:r>
    </w:p>
    <w:p w14:paraId="0D4DDD2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过度依赖单一的数据库截图，是否违背了业绩认定的客观真实性原则？业绩认定的核心在于核实投标人是否真实具备相应的履约经验。中标通知书、工程合同、交工/竣工验收文件（证书）等法定证明材料，已足以形成完整的证据链证明业绩的真实性。</w:t>
      </w:r>
    </w:p>
    <w:p w14:paraId="45B6B21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3）为保障招投标活动的公平、公正及充分竞争，恳请贵司及招标人予以澄清，并建议将相关条款修改为：“投标人提供类似工程业绩时，优先提供行业数据库（含交易系统生成的业绩库）查询到的网页截图；若因客观原因无法在相关数据库中查询到，或数据库信息不完整无法充分反映评审因素的，投标人可提供中标通知书、工程合同、交工/竣工验收文件（证书）等法定证明材料作为等效替代。评标委员会应结合上述材料对业绩的真实性及关键指标进行综合认定。”</w:t>
      </w:r>
    </w:p>
    <w:p w14:paraId="01C490A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为机管系统电子评标项目，请投标人自行理解关于印发《湖南省公共资源交易数字化、模块化招标文件范本框架导引及编制导则》的通知（湘发改法规规〔2024〕958号）及相关规定，按照《湖南省“机器管招投标”交易系统投标人操作指南》进行投标文件编制，投标文件编制应当符合“湖南省机器管招标电子交易系统”要求。本项目投标过程中，电子系统使用操作遇到问题时可及时向湖南省工程建设招投交易系统咨询，联系方式:400-777-7016，0731-84807016。</w:t>
      </w:r>
    </w:p>
    <w:p w14:paraId="3224483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4BD45F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color w:val="auto"/>
          <w:kern w:val="0"/>
          <w:sz w:val="24"/>
          <w:szCs w:val="24"/>
          <w:lang w:val="en-US" w:eastAsia="zh-CN" w:bidi="ar"/>
        </w:rPr>
      </w:pPr>
    </w:p>
    <w:p w14:paraId="7B7D1D5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“总包或专业分包业绩”的证明材料提供用户证明或工程清单，基于此情形，该类工程业绩是否可认定为类似工程业绩？请予以澄清说明。</w:t>
      </w:r>
    </w:p>
    <w:p w14:paraId="46EB17C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本项目为机管系统电子评标项目，请投标人自行理解关于印发《湖南省公共资源交易数字化、模块化招标文件范本框架导引及编制导则》的通知（湘发改法规规〔2024〕958号）及相关规定，按照《湖南省“机器管招投标”交易系统投标人操作指南》进行投标文件编制，投标文件编制应当符合“湖南省机器管招标电子交易系统”要求。本项目投标过程中，电子系统使用操作遇到问题时可及时向湖南省工程建设招投交易系统咨询，联系方式:400-777-7016，0731-84807016。</w:t>
      </w:r>
    </w:p>
    <w:p w14:paraId="168D5DF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5BBE141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（1）招标人及招标代理人以何规定或案例为依据，设置本项目需经备案的业绩的数量为3个才能满分，而不是1个或者2个？</w:t>
      </w:r>
    </w:p>
    <w:p w14:paraId="49C7614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（2）若依照目前的评分办法，许多不具备口岸项目施工经验的单位均可以参与投标，对项目的完成时间及完成质量造成极大不确定性，招标人及招标代理人是否已充足研判过此风险？</w:t>
      </w:r>
    </w:p>
    <w:p w14:paraId="7992DD0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（3）我公司建议删除“2.1投标人类似工程业绩个数：□1个□2个☑3个，要求近3年的施工业绩”和“2.2拟任项目经理类似工程业绩：□否 ☑是1个，要求近3年的施工业绩”。（类似工程业绩年限要求一般为近3年，轨道交通项目可放宽至5年。）及相关要求，让更多有实际口岸项目施工经验的单位参与到本项目竞标。</w:t>
      </w:r>
    </w:p>
    <w:p w14:paraId="06DA79A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回复：本项目招标文件依据湖南省房屋建筑和市政基础设施工程“机器管招投标”模块化招标文件（施工）（2025年版）编制，按招标文件执行。</w:t>
      </w:r>
    </w:p>
    <w:p w14:paraId="3EF1280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投标人须知前附表 10.9 信用评价“首次入湘投标或在湘未承包过工程项目的企业，暂不开展信用评价，以本省信用评价平均分作为基准分，按照相应指标权重减去其不良行为扣分后，作为其投标信用评价得分，但同样需要投标人登录注册检录平台（主体库），确认并锁定信用评价结果。”</w:t>
      </w:r>
    </w:p>
    <w:p w14:paraId="230817A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“第八章、投标文件组成 八、商务部分 (一)商务部分（业绩、奖项及信用） 自评表备注“2.信用加分栏填写说明：在“湖南省数字城建档案馆|智慧住建云”有公布信息的，填写“湖南省数字城建档案馆|智慧住建云上 ”最新公布的信用评价总分；无信用评价结果的，填写“无信用评价总分 ”；省外企业无信用评价查询结果的，可以提供企业注册地省级住房和城乡建设部门公布的信用评价结果（非百分制的按照《导则》规定的原则，按照百分制自行折算后填写）。”</w:t>
      </w:r>
    </w:p>
    <w:p w14:paraId="1244A04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我单位在湖南省公共资源交易-注册检录平台系统核查本单位信用评价结果分值时，系统自动关联生成 1 条有效锁定信用数据：</w:t>
      </w:r>
    </w:p>
    <w:p w14:paraId="53B708D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信用分 85.36 分（数据来源：信用平台统一获取）；已锁定生效状态。</w:t>
      </w:r>
    </w:p>
    <w:p w14:paraId="13C5C56E">
      <w:pPr>
        <w:widowControl/>
        <w:kinsoku w:val="0"/>
        <w:autoSpaceDE w:val="0"/>
        <w:autoSpaceDN w:val="0"/>
        <w:adjustRightInd w:val="0"/>
        <w:snapToGrid w:val="0"/>
        <w:spacing w:line="1116" w:lineRule="exact"/>
        <w:ind w:firstLine="14"/>
        <w:jc w:val="left"/>
        <w:textAlignment w:val="baseline"/>
        <w:rPr>
          <w:rFonts w:hint="default" w:ascii="Times New Roman" w:hAnsi="Times New Roman" w:eastAsia="Arial" w:cs="Times New Roman"/>
          <w:snapToGrid w:val="0"/>
          <w:color w:val="auto"/>
          <w:kern w:val="0"/>
          <w:szCs w:val="21"/>
          <w:lang w:eastAsia="en-US"/>
        </w:rPr>
      </w:pPr>
      <w:r>
        <w:rPr>
          <w:rFonts w:hint="default" w:ascii="Times New Roman" w:hAnsi="Times New Roman" w:eastAsia="Arial" w:cs="Times New Roman"/>
          <w:snapToGrid w:val="0"/>
          <w:color w:val="auto"/>
          <w:kern w:val="0"/>
          <w:position w:val="-22"/>
          <w:szCs w:val="21"/>
          <w:lang w:eastAsia="en-US"/>
        </w:rPr>
        <w:drawing>
          <wp:inline distT="0" distB="0" distL="0" distR="0">
            <wp:extent cx="5253990" cy="708660"/>
            <wp:effectExtent l="0" t="0" r="3810" b="1524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
                    <a:stretch>
                      <a:fillRect/>
                    </a:stretch>
                  </pic:blipFill>
                  <pic:spPr>
                    <a:xfrm>
                      <a:off x="0" y="0"/>
                      <a:ext cx="5253990" cy="709294"/>
                    </a:xfrm>
                    <a:prstGeom prst="rect">
                      <a:avLst/>
                    </a:prstGeom>
                  </pic:spPr>
                </pic:pic>
              </a:graphicData>
            </a:graphic>
          </wp:inline>
        </w:drawing>
      </w:r>
    </w:p>
    <w:p w14:paraId="242CA34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请问，我单位为省外企业，在企业注册地省级住房和城乡建设部门公布的也无信用评价结果。评分时以哪个为准呢？投标文件自评表内信用加分栏填写内容以哪个为准？</w:t>
      </w:r>
    </w:p>
    <w:p w14:paraId="31108D0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投标人须知前附表 10.9 信用评价</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的规定执行。</w:t>
      </w:r>
    </w:p>
    <w:p w14:paraId="07F2FE4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color w:val="auto"/>
          <w:kern w:val="0"/>
          <w:sz w:val="24"/>
          <w:szCs w:val="24"/>
          <w:lang w:val="en-US" w:eastAsia="en-US" w:bidi="ar"/>
        </w:rPr>
      </w:pPr>
    </w:p>
    <w:p w14:paraId="63AB963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关于本项目评标办法中信用评价（6分），目前各投标人信用评价得分均以“湘发改法规〔2025〕521号《湖南省工程建设项目招标投标信用评价管理办法》”计算得出，具体计算公式如下：</w:t>
      </w:r>
    </w:p>
    <w:p w14:paraId="5642A8C8">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5276850" cy="153670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6850" cy="1536700"/>
                    </a:xfrm>
                    <a:prstGeom prst="rect">
                      <a:avLst/>
                    </a:prstGeom>
                    <a:noFill/>
                    <a:ln>
                      <a:noFill/>
                    </a:ln>
                  </pic:spPr>
                </pic:pic>
              </a:graphicData>
            </a:graphic>
          </wp:inline>
        </w:drawing>
      </w:r>
    </w:p>
    <w:p w14:paraId="0B58E3E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其中行业施工类评价分以“（湘建监督〔2024〕32号）《湖南省房屋建筑和市政基础设施工程施工及监理招标投标信用暂行办法》”为准。该暂行办法第十二条：“本暂行办法自2024年6月1日起施行，有效期至2026年5月30日止。”截止目前该办法已失去行政效力，同时咨询具体发文部门后，暂无新规定出台，而本项目开标时间为该办法有效期后，请问本项目信用分参考什么文件认定？是否取消信用评价默认各投标人均得满分？</w:t>
      </w:r>
    </w:p>
    <w:p w14:paraId="6E63A1A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投标人须知前附表 10.9 信用评价</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的规定执行。</w:t>
      </w:r>
    </w:p>
    <w:p w14:paraId="12E371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color w:val="auto"/>
          <w:kern w:val="0"/>
          <w:sz w:val="24"/>
          <w:szCs w:val="24"/>
          <w:lang w:val="en-US" w:eastAsia="zh-CN" w:bidi="ar"/>
        </w:rPr>
      </w:pPr>
    </w:p>
    <w:p w14:paraId="4ED611A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招标文件P16投标须知前附表10.1合同价格形式中表示本项目为总价合同，但招标文件P81合同协议书中表示合同价格形式采用固定单价合同，请明确本项目采取哪种合同形式？</w:t>
      </w:r>
    </w:p>
    <w:p w14:paraId="33ED2DE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回复：本项目合同价格形式为单价合同。</w:t>
      </w:r>
    </w:p>
    <w:p w14:paraId="0682846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40714F0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招标文件第16页-第二章投标人须知前附表7.5 履约担保 2.担保金额：合同金额的8%。招标文件第128页-第四章合同条款及格式 第三节合同专用条款 4.2履约担保 4.2.4 履约担保的金额为：中标合同金额（扣除含税暂列金额）的8%。建议修改为中标合同金额（扣除含税暂列金额）的8%，与合同条款保持一致。</w:t>
      </w:r>
    </w:p>
    <w:p w14:paraId="23F8D43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回复：本项目履约担保金额为中标合同金额（扣除含税暂列金额）的8%。</w:t>
      </w:r>
    </w:p>
    <w:p w14:paraId="3441132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1DA5E7A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16页-第二章投标人须知前附表10.1“最高投标限价①最高投标限价总价；②安全生产措施费金额及其费率；③增值税金额及其费率”，工程量清单中只给定了安全生产措施费5.29%及增值税9%的费率，未给定具体金额，建议取消对金额的限制，投标报价仅费率与招标给定费率一致即可。</w:t>
      </w:r>
    </w:p>
    <w:p w14:paraId="2D6D746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回复：安全生产措施费及增值税的费率按招标文件规定执行。</w:t>
      </w:r>
    </w:p>
    <w:p w14:paraId="088E8B1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16584F2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招标文件第三节专用合同条款16.1条约定：“因物价波动引起的价格调整，本款约定为：不调差。因汇率变动引起的价格调整风险由承包人承担”。 因电线电缆、金属管材、桥架、光缆均以铜、钢等大宗商品为原材料，机房大功率核心设备、海关专用大宗前端设备受外贸市场及汇率波动影响较大，现有条款不利于施工单位管控成本，会对项目保质履约产生不利影响，因此建议修改为：施工期间，若电线电缆、金属管材、桥架、光缆、机房大功率核心设备、海关专用大宗前端设备的价格波动幅度超过±5%，则对超出部分予以价格调整。</w:t>
      </w:r>
    </w:p>
    <w:p w14:paraId="079B338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3579513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51C93B0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招标文件第146页-第四章合同条款及格式 第三节合同专用条款 17.2 预付款 17.2.1 预付款（1）预付款支付比例：预付款总额＝合同总额（扣除含税暂列金额及安全生产费）的10%。根据《建设工程价款结算暂行办法》财建[2004]369号文的规定 第十二条 工程预付款结算应符合下列规定：（一）包工包料工程的预付款按合同约定拨付，原则上预付比例不低于合同金额的10%，不高于合同金额的30%，对重大工程项目，按年度工程计划逐年预付。计价执行《建设工程工程量清单计价规范》（GB50500—2003）的工程，实体性消耗和非实体性消耗部分应在合同中分别约定预付款比例，建议增加预付款比例。</w:t>
      </w:r>
    </w:p>
    <w:p w14:paraId="32DB2F7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4BCD0B7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2E89B47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招标文件第146页-第四章合同条款及格式 第三节合同专用条款 17.3.1 付款周期 17.3.2 进度付款申请17.3.2.1 进度付款申请单的编制 关于进度付款申请单编制的约定： 按照发包人计量支付管理办法，在完成本期工程量验工计量计价后，向发包人申请工程进度款。详见《长沙机场改扩建工程计量与支付实施细则》，若有更新，以最新文本为准。招标文件中未见《长沙机场改扩建工程计量与支付实施细则》，建议补充《长沙机场改扩建工程计量与支付实施细则》。</w:t>
      </w:r>
    </w:p>
    <w:p w14:paraId="26D67E6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回复：已补充，详见附件。</w:t>
      </w:r>
    </w:p>
    <w:p w14:paraId="239DCEF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46A1D0C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招标文件第131页-第四章合同条款及格式 第三节合同专用条款 4.9工程价款应专款 专用本合同签订后，承包人须及时签订《农民工工资三方监管协议》，在发包人指定的当地银行设立专用账户，并按照协议接受发包人的监管。根据《湖南省实施&lt;工程建设领域农民工工资专用账户管理暂行办法&gt;办法》第二章 专用账户开立、撤销 第五条“总包单位有2个及以上工程建设项目的，可开立新的专用账户，也可在符合项目所在地监管要求的情况下，在已有专用账户下按项目分别管理”。我公司在长沙已有在建项目并开立了农民工工资专用账户，建议可以在已有专用账户下按项目分别管理。</w:t>
      </w:r>
    </w:p>
    <w:p w14:paraId="511C55C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6661698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750BA77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招标文件第148页-第四章合同条款及格式 第三节合同专用条款 17.4质量保证金 17.4.1 质量保证金的金额或比例：竣工结算合同总价金额的3%。质量保证金的扣留方法：工程竣工结算时一次性扣留质量保证金。根据“中华人民共和国工业和信息化部财政部关于优化调整国务院部门涉企保证金目录清单的公告2024年第34号”附件6、工程质量保证金承包人可以使用银行保函（保险）替代现金保证金，履约担保的金额中已包含质量保证金的金额，建议取消质量保证金再次扣留。</w:t>
      </w:r>
    </w:p>
    <w:p w14:paraId="219E2F9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44F80E1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4B13BFE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181页-第五章、工程量清单-3.投标报价说明3.1要求“投标人按照上述依据自主确定投标报价，并对已标价工程量清单填报价格的一致性及合理性负责，承担不合理报价及总价合同的工程量清单缺陷等风险”，而第四章第三节-专用合同条款五、合同价格形式为固定单价合同，固定单价合同计价规则为依据分部分项工程项目清单据实报价、按实结算，工程量清单缺陷风险不由投标人承担，建议修改为“投标人按照上述依据自主确定投标报价，并对已标价工程量清单填报价格的一致性及合理性负责，承担不合理报价的风险”。</w:t>
      </w:r>
    </w:p>
    <w:p w14:paraId="51166B7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回复：本项目合同价格形式为单价合同</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；详见本次答疑的</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工程量清单投标报价说明。</w:t>
      </w:r>
    </w:p>
    <w:p w14:paraId="1E0C6F8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304EE75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工程量清单汇总表未公布各子系统、措施项目、其他项目的分项最高投标限价，恳请补充相关限价数据。（招标工程量清单-工程项目清单汇总表中，分部分项工程项目各个子系统的最高投标限价，以及措施项目和其他项目的最高投标限价，能否进行补充？）</w:t>
      </w:r>
    </w:p>
    <w:p w14:paraId="788D3E2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回复：本项目只对投标报价总价设置最高投标限价。</w:t>
      </w:r>
    </w:p>
    <w:p w14:paraId="04491DD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7D37092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问题46：</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所有技术规格书中均要求“投标人必须按照《长沙机场改扩建工程T3口岸查验系统建设项目技术要求PART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0</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和PART1》及本部分所有内容，对本系统的招标要求进行响应”，（1）技术规格书中无《长沙机场改扩建工程T3口岸查验系统建设项目技术要求PART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0</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和PART1》相关内容，请确认是否缺少此内容；（2）“对本系统的招标要求进行响应”是否可以采用承诺函的方式提供，例如：我公司承诺完全响应技术规格书要求。</w:t>
      </w:r>
    </w:p>
    <w:p w14:paraId="1DEB4B1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删除技术规格书“</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投标人必须按照《长沙机场改扩建工程T3口岸查验系统建设项目技术要求PART</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0</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和PART1》及本部分所有内容，对本系统的招标要求进行响应</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。（2）可以采用承诺函方式，格式自拟。</w:t>
      </w:r>
    </w:p>
    <w:p w14:paraId="39EDEBD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1EA9349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二</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节 标段二（边检）技术类问题</w:t>
      </w:r>
    </w:p>
    <w:p w14:paraId="4E65954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14-边检视频监控系统，第19页，360度高空全景摄像机，要求“焦距：全景2mm；细节6~240mm”，不同厂家全景摄像机细节焦距存在差异，例如：4.95～198mm、5.2～210mm、5.5～220mm、6~240mm，但均能满足40倍光学变倍。建议将上述要求修改为“焦距：全景2mm；细节4.95～198mm或5.2～210mm或5.5～220mm或6~240mm等，满足40倍光学变倍”。</w:t>
      </w:r>
    </w:p>
    <w:p w14:paraId="7E32EE4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297E4B2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18-机房工程，第24页，2.3.3.15数据展示屏：“用于微模块机房数据展示，屏幕尺寸≥43英寸”。根据机柜的深度考虑，空间不足以安装43寸显示屏，建议修改为：“用于微模块机房数据展示，屏幕尺寸≥32英寸”。</w:t>
      </w:r>
    </w:p>
    <w:p w14:paraId="4622D3C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1BFFAB2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边检技术规格书PART18-机房工程，第16页，2.3.2机柜及精密空调，建议明确本项目精密空调是否需要接入边检机房中央水冷系统，配套冷凝器、管道是否在本标段范围内。</w:t>
      </w:r>
    </w:p>
    <w:p w14:paraId="3F907B7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回复：按澄清文件附件技术规格书执行，配套设备及管道均在本标段范围内。</w:t>
      </w:r>
    </w:p>
    <w:p w14:paraId="7F1BB10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精密空调：</w:t>
      </w:r>
    </w:p>
    <w:p w14:paraId="55333C9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列间精密空调采用湿膜加湿，自来水易结垢失效，是否可以增加电极加湿选项？</w:t>
      </w:r>
    </w:p>
    <w:p w14:paraId="1EBAAB2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回复：由投标人自行考虑。</w:t>
      </w:r>
    </w:p>
    <w:p w14:paraId="47A3D13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（2）招标文件所在位置：2.3.2.13列间精密空调</w:t>
      </w:r>
    </w:p>
    <w:p w14:paraId="57198C1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 xml:space="preserve">招标文件内容：列间精密空调，总制冷量≥46kW，风量≥9000m³/h，恒温恒湿，正面送风，EC 风机，风机采用全覆盖式布局，湿膜加湿，高效漩涡压缩机，变频，支持 R410A </w:t>
      </w:r>
    </w:p>
    <w:p w14:paraId="311DF7D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制冷剂，室内机尺寸：600*1200*2000</w:t>
      </w:r>
    </w:p>
    <w:p w14:paraId="52997D5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澄清申请：本湿膜加湿，采用普通自来水极易结垢堵膜，必须配套纯水机 / 软化水设备，纯水制备增加前期设备费与运行电费；无纯水时湿膜 3～6 个月就失效。且加湿时水会直接排走无法循环利用。请问是否可以修改为：</w:t>
      </w:r>
    </w:p>
    <w:p w14:paraId="124C84B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列间精密空调，总制冷量≥46kW，风量≥9000m³/h，恒温恒湿，正面送风，EC 风机，风机采用全覆盖式布局，湿膜加湿或电极加湿，高效漩涡压缩机，变频，支持 R410A 制冷剂，室内机尺寸：600*1200*2000</w:t>
      </w:r>
    </w:p>
    <w:p w14:paraId="0BDCBB8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回复：由投标人自行考虑。</w:t>
      </w:r>
    </w:p>
    <w:p w14:paraId="7D37E18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（3）招标文件所在位置：2.3.2.23列间精密空调（12.5KW）</w:t>
      </w:r>
    </w:p>
    <w:p w14:paraId="488FAB8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 xml:space="preserve">招标文件内容：列间精密空调，总制冷量≥12.5kW，风量≥2700m³/h，恒温恒湿，两侧送 风，EC 风机，风机采用全覆盖式布局，湿膜加湿，漩涡压缩机，变频，支持 R410A </w:t>
      </w:r>
    </w:p>
    <w:p w14:paraId="3A054B2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制冷剂，室内机尺寸：300*1200*2000，含 5 米连接铜管</w:t>
      </w:r>
    </w:p>
    <w:p w14:paraId="78394BD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澄清申请：湿膜加湿，采用普通自来水极易结垢堵膜，必须配套纯水机 / 软化水设备，纯水制备增加前期设备费与运行电费；无纯水时湿膜 3～6 个月就失效。且加湿时水会直接排走无法循环利用。请问是否可以修改为：</w:t>
      </w:r>
    </w:p>
    <w:p w14:paraId="6EFC3F0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列间精密空调，总制冷量≥12.5kW，风量≥2700m³/h，恒温恒湿，两侧送风，EC 风机，风机采用全覆盖式布局，湿膜加湿或电极加湿，漩涡压缩机，变频，支持 R410A 制冷剂，室内机尺寸：300*1200*2000，含 5 米连接铜管？</w:t>
      </w:r>
    </w:p>
    <w:p w14:paraId="2AB4521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回复：加湿方式由投标人自行考虑。列间精密空调（12.5KW）室内机参考尺寸修改为300*1400*2000。</w:t>
      </w:r>
    </w:p>
    <w:p w14:paraId="4814032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机房工程中精密空调和列间空调采用“水冷换热模块”方式，常见的工况是供、回水温多少？水冷换热模块到冷却水塔之间施工和材料没有明确？是否由第三方施工到位？</w:t>
      </w:r>
    </w:p>
    <w:p w14:paraId="107F773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回复：供、回水温为32/37℃，水冷换热模块到冷却水塔之间施工和材料由其他标段提供。</w:t>
      </w:r>
    </w:p>
    <w:p w14:paraId="06F77B0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口岸配套技术规格书PART02-计算机网络系统2.4.1公安网路由器，边检技术规格书PART20-边检网络系统2.4.1.1公安网-边检总站-路由器，口岸签证技术规格书PART03-计算机网络系统2.4.1.公安网路由器，均要求：“（1）交换容量≥243Tbps，包转发率≥54000Mpps；（2）线卡槽位数≥8个；（3）万兆光口≥10个，千兆光口≥10个”；原有性能及端口参数标准偏高，部分主流厂商无法满足，240Tbps交换容量，48000Mpps包转发率，8个板卡槽位，8个万兆光口，8个千兆光口即可满足使用需求，建议修改为：“（1）交换容量≥240Tbps，包转发率≥48000Mpps；（2）板卡槽位数≥8；（3）万兆光口≥8个，千兆光口≥8个”。</w:t>
      </w:r>
    </w:p>
    <w:p w14:paraId="40C2BBF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244D659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边检技术规格书PART1-边检设施设备2.3.3.4 POE交换机，口岸配套技术规格书PART02-计算机网络系统2.4.4 24口POE接入交换机，口岸签证技术规格书PART03-计算机网络系统2.4.4 24口接入交换机，均要求：“支持24口PoE++满供，POE功率≥1700W”，部分主流品牌无法满足此要求，且无大功率接入终端，720W已满足使用需求，建议修改为：“支持24口POE/PoE+满供，POE功率≥720W”。</w:t>
      </w:r>
    </w:p>
    <w:p w14:paraId="2C6E1DA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28EA1CE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问题10：</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边检技术规格书PART20-边检网络系统2.4.3.3互联网-POE 交换机、2.4.5.3视频专网-POE交换机、2.4.6.4无线网-POE交换机，均要求：“支持24口PoE++满供，POE功率≥1200W”，部分主流品牌无法满足此要求，且无大功率接入终端，720W已满足使用需求，建议修改为：“支持24口POE/PoE+满供，POE 功率≥720W”。</w:t>
      </w:r>
    </w:p>
    <w:p w14:paraId="739ED2C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233B5E9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边检技术规格书PART20-边检网络系统第18页，2.4.8.1 5G专网-路由器要求：“国芯路由器，转发性能≥240Mpps，交换容量≥250Gbps；提供≥2个万兆光口、≥2个千兆Combo口、≥4个千兆电口”，部分厂家无Combo口，千兆光口、120Mpps转发性能、250Gbps交换容量即可满足使用需求。建议修改为：“国芯路由器，转发性能≥120Mpps，交换容量≥250Gbps；提供≥2个万兆光口、≥2个千兆光口、≥4个千兆电口”。</w:t>
      </w:r>
    </w:p>
    <w:p w14:paraId="7229DD7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4AE6788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20-边检网络系统，2.4.6.2互联网无线控制器、2.4.6.3面板AP，均要求：“CPU采用国产化芯片”，航站楼旅客无线AP不属于关键核心保障设备，现行行业标准及采购规范均无芯片国产化强制要求。同时本标段对应的互联网无线放装AP未设置国产化CPU要求，前后技术标准不统一。建议删除：“CPU采用国产化芯片”。</w:t>
      </w:r>
    </w:p>
    <w:p w14:paraId="4053D9D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67F7864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边检技术规格书PART20-边检网络系统第12页，2.4.1.5公安网-汇聚交换机要求：“支持VxLAN；支持M-LAG；支持 MACsec”，VxLAN、M-LAG和MACsec常用于数据中心与使用场景不符，建议删除此要求。</w:t>
      </w:r>
    </w:p>
    <w:p w14:paraId="54601C4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1E6A5E3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18-机房工程，第20页，2.3.3.8嵌入式一体化监控主机（含监控软件和3D动画功能）：“不少于4路RS232/485二合一串口，不少于4路数字量输出控制端口（DO），2路USB2.0接口”，目前嵌入式主板广泛使用TYPE-C接口，可兼容USB2.0/3.0协议；4路串口、4路输出端口部分厂家无法满足，建议修改为：“不少于2路RS232/485二合一串口，不少于2路数字量输出控制端口（DO），具备TYPE-C接口或USB2.0接口”。</w:t>
      </w:r>
    </w:p>
    <w:p w14:paraId="143E6AF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20AC847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问题15：</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边检技术规格书PART18-机房工程，第20页，2.3.3.8嵌入式一体化监控主机（含监控软件和3D动画功能）：“监控软件和3D动画功能”，3D动画渲染需要较高CPU/GPU算力，通常部署于独立服务器，建议明确3D动画功能由独立的服务器实现，嵌入式主机仅提供数据接口。</w:t>
      </w:r>
    </w:p>
    <w:p w14:paraId="63EF118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63C5C76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项目编码030502003001、030502003004、030502003009、030502003012、030502003003、030502003008六类非屏蔽双绞线项目特征要求“满足YD/T926.2、ISO/IEC 11801、TIA-568.2-D性能指标要求”，YD/T926.2现行标准为YD/T 926.2-2023：光纤光缆布线及连接件通用技术要求，不适用六类非屏蔽双绞线，建议修改为“满足ISO/IEC 11801、TIA-568.2-D性能指标要求”。</w:t>
      </w:r>
    </w:p>
    <w:p w14:paraId="709DAFB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40E52D4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项目编码030502008008 24口光纤配线架、项目编码030502008002、030502008002 48口光纤配线架项目特征要求“采用旋转式结构”，各厂商光纤配线架的外观结构不尽相同，但不影响实际使用需求，建议修改为“采用旋转式或固定式或托盘式结构”。</w:t>
      </w:r>
    </w:p>
    <w:p w14:paraId="270B364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7FA7F6A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项目编码030502008001、030502008005 、030502008007 、030502008001、030502008003、030502008006 24口六类非屏蔽配线架要求“管理模块可以向前翻转，在前面可以进行线缆端接”，各厂家的线缆管理模块采用方式不一致但不影响线缆端接需求，并且翻转转轴、卡扣属于活动机械部件，机房常年机柜震动、线缆拉扯，长期使用易出现模块松动、虚接，后期运维故障增多，建议修改为“管理模块可以向前翻转，在前面可以进行线缆端接或采用固定式配线架，在机柜后端进行线缆端接”。</w:t>
      </w:r>
    </w:p>
    <w:p w14:paraId="6154367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1244FA8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030502010001双口网络插座（含模块）项目特征描述要求“英制86型面板”，英制面板遵循英标，其底盒内腔、卡扣深度与国标86型不同，但外观和实际使用功能与国标86面板相同，建议修改为“英制86型面板或国标86面板”。</w:t>
      </w:r>
    </w:p>
    <w:p w14:paraId="3F7DF56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2F2A6C4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图纸门禁线缆标注 RYY，工程量清单标注 RVV，二者不一致，以哪个为准？门禁一体机至控制器需 RYYP 6*1.0 六芯屏蔽线，清单未列项，请补充。（海关门禁系统中，根据门禁系统使用要求，门禁一体机到门禁控制器应采用6芯屏蔽信号线，但图纸、技术规格书及工程量清单中均无此规格线缆，建议增加RYYP6*1.0线缆。）</w:t>
      </w:r>
    </w:p>
    <w:p w14:paraId="4A456F4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回复：以RYY为准，其余由投标人自行考虑。</w:t>
      </w:r>
    </w:p>
    <w:p w14:paraId="0C253BA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智能验讫章大门：</w:t>
      </w:r>
    </w:p>
    <w:p w14:paraId="73F7659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招标文件所在位置：工程量清单：030501001025 智能验讫章柜（24柜）</w:t>
      </w:r>
    </w:p>
    <w:p w14:paraId="6962EF4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招标文件内容：大门规格：上下两扇滑动式；</w:t>
      </w:r>
    </w:p>
    <w:p w14:paraId="4F09054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澄清申请：经调研，市场上符合口岸查验要求的同类优质产品中，既有采用“上下两扇滑动式”设计的，也有采用“对开式”设计且性能、稳定性、安全性均能满足使用需求的成熟产品。若仅限定为“上下两扇滑动式”，可能会在一定程度上缩小潜在供应商的选择范围，不利于引入更多技术方案成熟、产品质量可靠的产品参与竞争。为了在保证项目质量的前提下，进一步提升采购的开放性和竞争充分性，建议将该条款修改为“大门规格：上下两扇滑动式或对开式”？</w:t>
      </w:r>
    </w:p>
    <w:p w14:paraId="543A8DB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43B51F2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22-教学培训室第8页，2.3.1.3瘦终端要求：“USB：2*USB2.0+4*USB3.0”，部分厂家无法满足此要求，且瘦终端主要连接键鼠、U-Key及外设调试，4个USB接口已充分满足日常办公需求。建议修改为：“USB：2*USB2.0+2*USB3.0”。</w:t>
      </w:r>
    </w:p>
    <w:p w14:paraId="6B556C4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23</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边检技术规格书-PART22-教学培训室</w:t>
      </w:r>
    </w:p>
    <w:p w14:paraId="2A54C8E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提问内容：技术规格书：PART22-教学培训室中，“云桌面一体机”、“终端接入授权”、“瘦终端”的参数配置为瘦终端架构云桌面模式。市场上主流架构云桌面模式包括瘦终端架构模式和胖终端架构模式。</w:t>
      </w:r>
    </w:p>
    <w:p w14:paraId="0322901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是否可以在满足性能指标要求的前提下，自主选择瘦终端架构模式和胖终端架构模式进行投标？</w:t>
      </w:r>
    </w:p>
    <w:p w14:paraId="09A5C03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690068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会议音频综合管理平台集成要求过高，建议修改为具备统一监控、远程控制、告警等通用功能。</w:t>
      </w:r>
    </w:p>
    <w:p w14:paraId="6655529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39C3252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本次机场公共广播系统为设备扩展，为确保系统兼容性，建议提供机场T3航站楼原广播系统品牌。</w:t>
      </w:r>
    </w:p>
    <w:p w14:paraId="5ED1602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回复：在施工单位进场后进一步明确。</w:t>
      </w:r>
    </w:p>
    <w:p w14:paraId="5956974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边检门禁系统是否需要与航站楼门禁系统进行对接，如需要对接需要提供原门禁品牌。</w:t>
      </w:r>
    </w:p>
    <w:p w14:paraId="5BE7EF0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回复：在施工单位进场后进一步明确。</w:t>
      </w:r>
    </w:p>
    <w:p w14:paraId="45F596C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执法定位系统以对讲机作为定位标签：</w:t>
      </w:r>
    </w:p>
    <w:p w14:paraId="7093D39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（1）请明确对讲机数量、技术参数、现有设备品牌；系统清单包含操作系统、中间件，未配置数据库，是否需要补充国产化数据库并计入报价？</w:t>
      </w:r>
    </w:p>
    <w:p w14:paraId="54FF32E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对讲机作为本项目定位终端，且定位系统需要对对讲语音记录等数据进行存储，（2）如果本项目对讲机为已有产品需要明确设备型号和厂商，如果在本次招标范围内，是否本次招标有对讲机品牌推荐和技术参数？</w:t>
      </w:r>
    </w:p>
    <w:p w14:paraId="136AA0B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本执法定位系统分项清单中提及了操作系统和中间件，但没有数据库项，且定位系统服务器也不在本分项中，需要明确数据库是否需要包含在本次报价中还是在服务器中已经含有数据库。本项目缺少必需的数据库，是否可以补充1套国产化数据库系统？</w:t>
      </w:r>
    </w:p>
    <w:p w14:paraId="5205140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执法定位系统是通过对讲机和电子腕带为定位标签进行定</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位</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，本次建设为定位基站和定位系统，需要确认是否已有定位标签（电子腕带），如已有定位标签建议明确定位标签品牌，需要根据定位标签来选择定位基站和系统厂家。</w:t>
      </w:r>
    </w:p>
    <w:p w14:paraId="5408DC0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7A3765F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边检监控：招标文件内容：2.2.2.2 原视频平台扩容 需提供 1000 路原来平台级联监控点数量。</w:t>
      </w:r>
    </w:p>
    <w:p w14:paraId="2CD7442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澄清申请：请问本项目监控系统与原视频平台的关系是什么？原视频平台品牌是什么？</w:t>
      </w:r>
    </w:p>
    <w:p w14:paraId="6AF4155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原视频平台为扩容项目，请明确原有视频平台品牌、原有级联监控点数量。</w:t>
      </w:r>
    </w:p>
    <w:p w14:paraId="57041B3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项目编码030501019053，原视频平台扩容，项目特征描述要求“原来平台级联监控点数量”，为保证扩容功能实现，建议明确原有视频平台品牌及型号。</w:t>
      </w:r>
    </w:p>
    <w:p w14:paraId="3E9AD37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回复：本项目监控系统与原视频平台为级联关系，原有视频平台品牌及型号、原有级联监控点数量在施工单位进场后进一步明确。</w:t>
      </w:r>
    </w:p>
    <w:p w14:paraId="142AC04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公安网、视频专网等云服务器 4K 随机读、读写、顺序写性能指标，是单台设备要求还是集群整体要求，请明确。</w:t>
      </w:r>
    </w:p>
    <w:p w14:paraId="42EB5D3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回复：均为对应专网超融合集群的整体性能要求，详见澄清文件附件技术规格书。</w:t>
      </w:r>
    </w:p>
    <w:p w14:paraId="5AF9544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招标文件所在位置：视频专网</w:t>
      </w:r>
    </w:p>
    <w:p w14:paraId="5964489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招标文件内容：</w:t>
      </w:r>
    </w:p>
    <w:p w14:paraId="20808E2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云服务器/梅沙网-云服务器/互联网-云服务器/IT运维网-云服务器/5G专网-云服务器澄清申请：</w:t>
      </w:r>
    </w:p>
    <w:p w14:paraId="1CAAB1D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1、参数中包含超融合软件功能，本次是否需要按超融合软硬件一起报价？</w:t>
      </w:r>
    </w:p>
    <w:p w14:paraId="6B43095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支持计算、存储等设备单点故障及任意2块数据盘同时故障后，数据不丢失,平台高可用，”需要三副本或者4+2：1纠删码机制才能满足，这两种方式都需要硬件节点大于3，当面配置为2节点，仅支持2副本，允许故障单节点或者单块硬盘，无法满足要求。</w:t>
      </w:r>
    </w:p>
    <w:p w14:paraId="69B1FE1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3、“数据盘可用容量≥21T；”超融合的数据盘可用容量一般按副本/纠删码计算，按当前2节点配置，只能使用2副本，2副本硬盘裸容量需要2倍，再加预留的数据重构空间及标称容量差值，裸容量需要55TB左右，容量差异会导致设备成本增加，此容量按照裸容量计算还是超融合计算？</w:t>
      </w:r>
    </w:p>
    <w:p w14:paraId="6EA56F5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回复：1、需要按超融合软硬件一起报价。</w:t>
      </w:r>
    </w:p>
    <w:p w14:paraId="385FD27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2、按澄清文件附件技术规格书执行。</w:t>
      </w:r>
    </w:p>
    <w:p w14:paraId="4BAA19F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3、按澄清文件附件技术规格书执行。</w:t>
      </w:r>
    </w:p>
    <w:p w14:paraId="1F4969F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云服务器：</w:t>
      </w:r>
    </w:p>
    <w:p w14:paraId="46C6EB3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招标文件所在位置：公安网</w:t>
      </w:r>
    </w:p>
    <w:p w14:paraId="1FFAAA4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招标文件内容：云服务器</w:t>
      </w:r>
    </w:p>
    <w:p w14:paraId="4704C14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澄清申请：</w:t>
      </w:r>
    </w:p>
    <w:p w14:paraId="3935930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1、参数中包含超融合软件功能，本次是否需要按超融合软硬件一起报价？</w:t>
      </w:r>
    </w:p>
    <w:p w14:paraId="53623FF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数据盘可用容量≥21T；”超融合的数据盘可用容量一般按副本/纠删码计算，如需满足，需要考虑使用三副本，硬盘裸容量需要3倍，再加预留的数据重构空间及标称容量差值，裸容量需要82TB左右，容量差异会导致设备成本增加，此容量按照裸容量计算还是超融合计算？</w:t>
      </w:r>
    </w:p>
    <w:p w14:paraId="2BDF7E1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3、云服务器、超融合设备是否按软硬件整体报价？数据盘容量按照裸容量还是集群可用容量计算？现有2节点架构无法满足多块硬盘故障保护，是否调整设备参数？</w:t>
      </w:r>
    </w:p>
    <w:p w14:paraId="45A58FC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回复：1、需要按超融合软硬件一起报价。2、按澄清文件附件技术规格书执行。3、按澄清文件附件技术规格书执行。</w:t>
      </w:r>
    </w:p>
    <w:p w14:paraId="08BF522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边检技术规格书-PART09-超融合系统-公安网-云服务器/视频专网-云服务器/梅沙网-云服务器参数。</w:t>
      </w:r>
    </w:p>
    <w:p w14:paraId="12F62A2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提问内容：</w:t>
      </w:r>
    </w:p>
    <w:p w14:paraId="0D2D446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公安网-云服务器 ，视频专网-云服务器 ，梅沙网-云服务器等参数中均提到1.7、本次采购设备整体要求：4K多并发随机读IOPS≥80万，4K多并发随机7:3读写IOPS≥30万，1M多并发顺序写带宽≥2.2G，请问这个性能指标是所有超融合服务器加起来的性能要求，还是单个项目，比如公安网-云服务器，视频专网-云服务器均需分别满足此要求？还请明确该性能要求的集群范围。</w:t>
      </w:r>
    </w:p>
    <w:p w14:paraId="2013365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回复：均为对应专网超融合集群的整体性能要求，详见澄清文件附件技术规格书。</w:t>
      </w:r>
    </w:p>
    <w:p w14:paraId="6567D47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项目编码BC0300101002、BC0300101008、BC0300102008、BC0300103004、BC0300104001，定制灯光智慧系统，项目特征描述、图纸、技术规格书均无参数要求，建议补充详细参数要求，便于选型报价。</w:t>
      </w:r>
    </w:p>
    <w:p w14:paraId="3CA262E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回复：在施工单位进场后进一步明确。</w:t>
      </w:r>
    </w:p>
    <w:p w14:paraId="049AC2B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招标人未提供全套 CAD 施工图纸，请补充。</w:t>
      </w:r>
    </w:p>
    <w:p w14:paraId="3F22F8E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回复：不提供CAD图纸。</w:t>
      </w:r>
    </w:p>
    <w:p w14:paraId="5B07EAF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机房工程图纸不全：缺失配电系统图和暖通（精密空调部分的图纸）等图纸，影响核算成本报价，还请提供相关图纸</w:t>
      </w:r>
    </w:p>
    <w:p w14:paraId="132A365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37343A9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图纸18-机房工程-边检机房工程平面图-ES-W-R-QP001，缺少室外机和管路平面布置图，建议补充详细图纸。</w:t>
      </w:r>
    </w:p>
    <w:p w14:paraId="69A1470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23D6563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机房平面图缺少室外机、管路平面布置图，请补充。</w:t>
      </w:r>
    </w:p>
    <w:p w14:paraId="7ABE0D1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01A6B08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011507001003、011507001004、011507001005，项目名称：出入境记录自助打印（标识贴纸）、外国人指纹自助留存（标识贴纸）、咨询服务（标识贴纸）等标识产品缺少具体尺寸，且所有标识产品均未提供图纸，建议补充标识尺寸及标识大样图、平面图、系统图。</w:t>
      </w:r>
    </w:p>
    <w:p w14:paraId="23B4A96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回复：参照“中华人民共和国国家标准《对外开放口岸边防检查现场标志》（GB 43704—2024）”执行。</w:t>
      </w:r>
    </w:p>
    <w:p w14:paraId="7979E73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项目编码030502008004，项目名称：设备箱，招标图纸中无设备箱系统图、大样图，建议补充对应的系统图、大样图。</w:t>
      </w:r>
    </w:p>
    <w:p w14:paraId="1BEB276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3070AE36">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cs="Times New Roman"/>
          <w:color w:val="auto"/>
          <w:highlight w:val="none"/>
        </w:rPr>
        <w:drawing>
          <wp:anchor distT="0" distB="0" distL="114300" distR="114300" simplePos="0" relativeHeight="251659264" behindDoc="0" locked="0" layoutInCell="1" allowOverlap="1">
            <wp:simplePos x="0" y="0"/>
            <wp:positionH relativeFrom="column">
              <wp:posOffset>118110</wp:posOffset>
            </wp:positionH>
            <wp:positionV relativeFrom="paragraph">
              <wp:posOffset>718185</wp:posOffset>
            </wp:positionV>
            <wp:extent cx="3942715" cy="2792095"/>
            <wp:effectExtent l="0" t="0" r="635" b="8255"/>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3942715" cy="2792095"/>
                    </a:xfrm>
                    <a:prstGeom prst="rect">
                      <a:avLst/>
                    </a:prstGeom>
                    <a:noFill/>
                    <a:ln>
                      <a:noFill/>
                    </a:ln>
                  </pic:spPr>
                </pic:pic>
              </a:graphicData>
            </a:graphic>
          </wp:anchor>
        </w:drawing>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招标图纸“证件信息研究设备图纸目录设计说明清单”证件信息研究设备设计说明存在综合布线系统内容，是否有误需确认。</w:t>
      </w:r>
    </w:p>
    <w:p w14:paraId="611ED83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highlight w:val="none"/>
        </w:rPr>
      </w:pPr>
    </w:p>
    <w:p w14:paraId="2FC309A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回复：删除设计说明中的“综合布线系统内容”。</w:t>
      </w:r>
    </w:p>
    <w:p w14:paraId="27CD797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出境边检查验设施设备招标平面图上部分区域文字说明为二期建设本次仅预留强电、弱电点位，但图纸上并未明确预留弱电点位数量及位置，需明确此部分内容数量及安装位置。</w:t>
      </w:r>
    </w:p>
    <w:p w14:paraId="465778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b/>
          <w:bCs/>
          <w:color w:val="auto"/>
          <w:kern w:val="0"/>
          <w:sz w:val="36"/>
          <w:szCs w:val="36"/>
          <w:highlight w:val="none"/>
          <w:lang w:val="en-US" w:eastAsia="zh-CN" w:bidi="ar"/>
        </w:rPr>
      </w:pPr>
      <w:r>
        <w:rPr>
          <w:rFonts w:hint="default" w:ascii="Times New Roman" w:hAnsi="Times New Roman" w:eastAsia="宋体" w:cs="Times New Roman"/>
          <w:b/>
          <w:bCs/>
          <w:color w:val="auto"/>
          <w:kern w:val="0"/>
          <w:sz w:val="36"/>
          <w:szCs w:val="36"/>
          <w:highlight w:val="none"/>
          <w:lang w:val="en-US" w:eastAsia="zh-CN" w:bidi="ar"/>
        </w:rPr>
        <w:drawing>
          <wp:inline distT="0" distB="0" distL="114300" distR="114300">
            <wp:extent cx="4799965" cy="2419985"/>
            <wp:effectExtent l="0" t="0" r="63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4829586" cy="2435154"/>
                    </a:xfrm>
                    <a:prstGeom prst="rect">
                      <a:avLst/>
                    </a:prstGeom>
                    <a:noFill/>
                    <a:ln>
                      <a:noFill/>
                    </a:ln>
                  </pic:spPr>
                </pic:pic>
              </a:graphicData>
            </a:graphic>
          </wp:inline>
        </w:drawing>
      </w:r>
    </w:p>
    <w:p w14:paraId="3C119CF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197DC4D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工程量清单编制说明中暂列金额 6943241.50 元，请明确该金额是否为含税费用。</w:t>
      </w:r>
    </w:p>
    <w:p w14:paraId="7B941AD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回复：不可预见费是含税金额，按澄清文件附件招标工程量清单及招标控制价执行。</w:t>
      </w:r>
    </w:p>
    <w:p w14:paraId="0418744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项目编码030501005005、030501005022、030501005029 、030501005036 、030501005043 、030501005050 、030501005006、030501005003，项目名称-设备承重底座，项目特征描述“4.包含机柜、空调、UPS配电柜、电池柜等”，工程量清单中已有机柜、空调、UPS 配电柜、电池柜等清单项，建议明确此处是否为“包含机柜、空调、UPS 配电柜、电池柜的底座”。</w:t>
      </w:r>
    </w:p>
    <w:p w14:paraId="5403F6E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回复：按澄清文件附件招标工程量清单执行。</w:t>
      </w:r>
    </w:p>
    <w:p w14:paraId="5B2CA06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项目编码030501015028，数字中继板卡，项目特征描述要求“两个两兆（要求能适配原有的模拟程控交换机）”，为保证适配性，建议明确现有程控交换机品牌及型号。</w:t>
      </w:r>
    </w:p>
    <w:p w14:paraId="26E45E1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回复：在施工单位进场后进一步明确。</w:t>
      </w:r>
    </w:p>
    <w:p w14:paraId="2359903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本项目存在技术规格书材料表、图纸和工程量清单数量不一致的情况，例如：（1）18-机房工程-边检机房工程图纸目录设计说明材料表系统图-主要设备及材料表（一），名称：底座，数量66个，工程量清单名称：设备承重底座，项目编码30501005022，数量为5000kg；图纸材料表中名称：R410A制冷剂，数量50kg，而工程量清单中无此项。（2）边检监控设备清单，主要设备及材料表-第38项配线架数量为20个，清单项目编码030502008001配线架数量为29个；（3）PART14-边检视频监控系统，第6页设备箱数量3个；边检施工图14-边检视频监控系统-边检监控设备清单-主要设备及材料表中设备箱数量3个；工程量清单-项目编码030502008004-项目名称：设备箱，数量：2个；（4）图纸T3航站楼-边检-弱电-ES-W-T-SY001~002，边检公安网系统图中核心交换机数量2台，而工程量清单中为3台；（5）口岸签证施工图-9.机房工程-口岸签证图纸目录设计说明材料表系统图中主要设备及材料表三 配电系统，1强电线缆1、线径:WDZC-YJY-0.6/1KV-4*70+1*35，此电缆在工程量清单中没有体现。（6）边检教学培训室系统图，系统图设计包含汇聚交换机和接入交换机，但技术规格书和工程量清单仅有汇聚交换机。建议本项目所有技术规格书材料表、图纸和工程量清单数量不一致时，以工程量清单为准。</w:t>
      </w:r>
    </w:p>
    <w:p w14:paraId="6FF2C29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回复：按澄清文件附件招标工程量清单执行。</w:t>
      </w:r>
    </w:p>
    <w:p w14:paraId="23588A8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本项目存在工程量清单项目特征、图纸和技术规格书参数描述不一致的情况，例如：（1）图纸18-机房工程-边检机房工程图纸目录设计说明材料表系统图，施工图设计说明（一） 5、防雷接地子系统中要求“在机房四周敷设30*4mm紫铜带”，但材料表、工程量清单、技术规格书中敷设在机房四周的均为30*3mm紫铜带。（2）4、边检门禁系统技术规格书门禁线缆要求为RYY，工程量清单要求为RVV；（3）PART13-边检信息发布系统，第9页，2.3主要软硬件设备要求：“2.3.1.5 LCD液晶显示屏，包含安装支架、多媒体发布盒”，工程量清单边检配套设备设施工程---边检信息发布系统-项目编码：030505016006，项目名称：LCD液晶显示屏，项目特征描述：“包含大屏支架、4K发送卡、拼接控制器、播放盒、专业主控、配电柜、屏体包边、电源线及网线、播放盒与专业主控间HDMI线”。（4）PART11-边检勤务指挥中心配套建设，第22页-2.3.6.12镀锌钢管：JDG25管；边检施工图11-边检勤务指挥中心配套建设-分系统图纸目录K-边检勤务指挥中心-主要设备及材料表2中镀锌钢管技术参数为：JDG25管；工程量清单-项目编码030505007040-项目名称：配管-项目特征描述：“3.型号、规格：JDG20,壁厚不低于国标壁厚标准”。建议本项目所有工程量清单项目特征、图纸和技术规格书参数不一致时，以技术规格书为准。</w:t>
      </w:r>
    </w:p>
    <w:p w14:paraId="5F88CFD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技术规格书与图纸不一致时，以技术规格书为准</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；按</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招标</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工程量清单报价。</w:t>
      </w:r>
    </w:p>
    <w:p w14:paraId="2EAD479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云存储、NVR 设备在总容量不降低的前提下，是否可灵活更换硬盘规格？云存储系统是否需要补充双机热备管理节点？</w:t>
      </w:r>
    </w:p>
    <w:p w14:paraId="4CA98D2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（1）招标工程量清单-PART14-边检视频监控系统</w:t>
      </w:r>
    </w:p>
    <w:p w14:paraId="75DB8E4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提问内容：工程量清单：21长沙机场改扩建工程T3口岸查验系统建设项目边检配套设备设施及信息化系统建设工程施工-----边检配套设备设施工程---边检视频监控系统中，“硬盘（30TB）”、“硬盘（12TB）”。实际情况下，并非所有主流厂家都按此硬盘规格进行配置供货。</w:t>
      </w:r>
    </w:p>
    <w:p w14:paraId="33F97E9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是否可以在满足容量不低于569块30TB硬盘总容量和不低于120块12TB硬盘总容量大小的前提下，自行按照硬盘大小灵活配置？</w:t>
      </w:r>
    </w:p>
    <w:p w14:paraId="0D8475E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（2）招标工程量清单-PART14-边检视频监控系统</w:t>
      </w:r>
    </w:p>
    <w:p w14:paraId="3C0848C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提问内容：</w:t>
      </w:r>
    </w:p>
    <w:p w14:paraId="23FA4F3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工程量清单：36长沙机场改扩建工程T3口岸查验系统建设项目边检配套设备设施及信息化系统建设工程施工-口岸签证配套设备设施工程-视频监控系统中，“5 030501019005 监控存储NVR”和“5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ab/>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 xml:space="preserve">030501019001 </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ab/>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监控存储NVR”均要求“存储接口：36个SATA接口，支持硬盘热插拔，含36块12T硬盘”。实际情况下，并非所有主流厂家都按此硬盘规格进行配置供货。</w:t>
      </w:r>
    </w:p>
    <w:p w14:paraId="6923FEB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是否可以在满足容量不低于36块12T硬盘总容量的前提下，自行按照硬盘大小灵活配置（如27块16TB硬盘）？</w:t>
      </w:r>
    </w:p>
    <w:p w14:paraId="7663954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回复：按澄清文件附件工程量清单</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报价</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p>
    <w:p w14:paraId="4EB8C75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07089C4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水冷换热模块配套 12.5kW 精密空调，设备用途、使用场景不明，请补充图纸及说明。</w:t>
      </w:r>
    </w:p>
    <w:p w14:paraId="6C35660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D58643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2E58DC0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各类传感器、边缘计算网关按照行业常规放宽、修改参数要求。</w:t>
      </w:r>
    </w:p>
    <w:p w14:paraId="30D389A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回复：按澄清文件附件工程量清单</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报价</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p>
    <w:p w14:paraId="2D9FC45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2382487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工程量清单“出、入境负压隔离室-安装工程-入境处/处境处-消防工程”只涉及外端设备，无控制主机。若本次外端设备接入原有消防系统，为确保系统对接无误，建议明确原有控制主机品牌；若不接入原有消防系统，为确保系统功能完整，建议增加控制主机的清单项。</w:t>
      </w:r>
    </w:p>
    <w:p w14:paraId="6CD964A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回复：需接入T3航站楼消防系统；在施工单位进场后进一步明确。</w:t>
      </w:r>
    </w:p>
    <w:p w14:paraId="0FBF0A2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0AE724E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配电箱、控制箱、标识类产品缺少图纸及详细参数，请补充。</w:t>
      </w:r>
    </w:p>
    <w:p w14:paraId="164B3EC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回复：配电箱、控制箱按澄清文件附件图纸执行，标识类产品须满足边检相关规范执行。</w:t>
      </w:r>
    </w:p>
    <w:p w14:paraId="477FFED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7AEC70C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招标工程量清单-边检配套设备设施工程--边检信息发布系统-播控服务器参数</w:t>
      </w:r>
    </w:p>
    <w:p w14:paraId="518E092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参数要求：机架式服务器，能实现控制出入境大厅所有LED屏的媒体播放、 LED条屏的分段播放。</w:t>
      </w:r>
    </w:p>
    <w:p w14:paraId="0D0D508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建议删除</w:t>
      </w:r>
      <w:r>
        <w:rPr>
          <w:rFonts w:hint="eastAsia" w:ascii="Times New Roman" w:hAnsi="Times New Roman" w:eastAsia="方正仿宋_GB2312" w:cs="Times New Roman"/>
          <w:b w:val="0"/>
          <w:bCs w:val="0"/>
          <w:i w:val="0"/>
          <w:iCs w:val="0"/>
          <w:caps w:val="0"/>
          <w:color w:val="auto"/>
          <w:spacing w:val="0"/>
          <w:sz w:val="24"/>
          <w:szCs w:val="24"/>
          <w:shd w:val="clear" w:fill="FFFFFF"/>
          <w:lang w:val="en-US" w:eastAsia="zh-CN"/>
        </w:rPr>
        <w:t>。</w:t>
      </w:r>
    </w:p>
    <w:p w14:paraId="5188B97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回复：删除“机架式服务器，能实现控制出入境大厅所有LED屏的媒体播放、 LED条屏的分段播放”。</w:t>
      </w:r>
    </w:p>
    <w:p w14:paraId="2AB2C5A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5EB1692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3</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招标工程量清单-边检配套设备设施工程--边检信息发布系统-信息发布软件参数</w:t>
      </w:r>
    </w:p>
    <w:p w14:paraId="3E87A7E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参数要求：素材类型:图片（jpg、png、bmp、gif（多媒体播放器）等）、视频（wmv、3gp、mp4、avi、flv、mkv、mpg、rmvb、mov、ts等）、Word、Excle、 PPT、TXT、PDF、数据库（Oracle、SQL Server、PostgreSQL、MySql等）。</w:t>
      </w:r>
    </w:p>
    <w:p w14:paraId="556E0FB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此参数要求是某品牌特定性能，具有显著倾向性，Oracle、SQLServer、MySQL、 PostgreSQL 属于后台数据库存储文件，并非多媒体播放素材， 日常节目编排、</w:t>
      </w:r>
    </w:p>
    <w:p w14:paraId="6638088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终端投放全过程不会使用数据库文件，该项参数属于超出项目实际使用需求的多余指标。数据库文件不属于多媒体素材范畴，参数设置缺乏行业标准依据。</w:t>
      </w:r>
    </w:p>
    <w:p w14:paraId="70340F4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建议修改为：</w:t>
      </w:r>
    </w:p>
    <w:p w14:paraId="2271F66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素材类型:图片（jpg、png、bmp、gif（多媒体播放器）等）、视频（wmv、 3gp、mp4、avi、flv、mkv、mpg、rmvb、mov、ts等）、Word、Excle、PPT、TXT、PDF；</w:t>
      </w:r>
    </w:p>
    <w:p w14:paraId="3005301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回复：删除“数据库（Oracle、SQL Server、PostgreSQL、MySql等）”。</w:t>
      </w:r>
    </w:p>
    <w:p w14:paraId="45086B1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218DBB3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第二部分 澄清补充</w:t>
      </w:r>
    </w:p>
    <w:p w14:paraId="776F486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一、“兼投不兼中”规则补充：</w:t>
      </w:r>
    </w:p>
    <w:p w14:paraId="09B8C17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长沙机场改扩建工程T3口岸查验系统建设项目施工共两个标段，其中：标段一海关配套设备设施及信息化系统建设工程施工、标段二边检配套设备设施及信息化系统建设工程施工。同一投标人可以同时参加本项目两个标段的投标，但同一投标人最多只允许中标1个标段。</w:t>
      </w:r>
    </w:p>
    <w:p w14:paraId="40D194B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1.若同一投标人在两个标段同时排名第一时，则须选择最高投标限价金额大的标段为其中标标段，其放弃的标段由排名其后的中标候选人替补，以此类推。</w:t>
      </w:r>
    </w:p>
    <w:p w14:paraId="2BC89F5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2.对于存在替补中标情形的标段，其中标价即为替补中标人的自身投标报价。</w:t>
      </w:r>
    </w:p>
    <w:p w14:paraId="4620A6E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3.若需替补中标的标段，出现无中标候选人替补中标的情形，则对该标段重新招标。</w:t>
      </w:r>
    </w:p>
    <w:p w14:paraId="69C3905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二、工程量清单、技术规格书、图纸均已做调整更新，请投标人自行下载更新后的文件。</w:t>
      </w:r>
    </w:p>
    <w:p w14:paraId="5A1C1BB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最高投标限价调整如下：</w:t>
      </w:r>
    </w:p>
    <w:p w14:paraId="5B50CB4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标段一海关配套设备设施及信息化系统建设工程施工最高投标限价为149333548.59元；牵引项数据同步做以下更新：</w:t>
      </w:r>
      <w:r>
        <w:rPr>
          <w:rFonts w:hint="default" w:ascii="Times New Roman" w:hAnsi="Times New Roman" w:eastAsia="方正仿宋_GB2312" w:cs="Times New Roman"/>
          <w:b w:val="0"/>
          <w:bCs w:val="0"/>
          <w:i w:val="0"/>
          <w:iCs w:val="0"/>
          <w:caps w:val="0"/>
          <w:color w:val="auto"/>
          <w:spacing w:val="0"/>
          <w:sz w:val="24"/>
          <w:szCs w:val="24"/>
          <w:shd w:val="clear" w:fill="FFFFFF"/>
          <w:lang w:eastAsia="zh-CN"/>
        </w:rPr>
        <w:t>电子与智能化工程：单项合同额14744.90万元；建筑装修装饰工程：单项合同额188.45万元。</w:t>
      </w:r>
    </w:p>
    <w:p w14:paraId="36B9B35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标段二边检配套设备设施及信息化系统建设工程施工最高投标限价为143970895.33元。</w:t>
      </w:r>
    </w:p>
    <w:p w14:paraId="3B98224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三、本项目投标截止时间、投标保证金递交截止时间及开标时间延期至2026年   月   日9：00时。</w:t>
      </w:r>
    </w:p>
    <w:p w14:paraId="0B95078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四、本次答疑澄清公告及答疑文件正文作为招标文件组成部分，与招标文件具有同等法律效力。本项目招标文件中涉及上述相关内容的相应进行修改，原招标文件与本次发布的文件内容不一致的，以本次发布的答疑澄清公告及答疑文件正文内容为准。敬请各投标人自行关注，招标人不再另行通知。</w:t>
      </w:r>
    </w:p>
    <w:p w14:paraId="0A67126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cs="Times New Roman"/>
          <w:color w:val="auto"/>
          <w:sz w:val="24"/>
          <w:szCs w:val="24"/>
          <w:lang w:val="fr-FR"/>
        </w:rPr>
      </w:pPr>
    </w:p>
    <w:p w14:paraId="68C1382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cs="Times New Roman"/>
          <w:color w:val="auto"/>
          <w:sz w:val="24"/>
          <w:szCs w:val="24"/>
          <w:lang w:val="fr-FR"/>
        </w:rPr>
      </w:pPr>
    </w:p>
    <w:p w14:paraId="609978AE">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right"/>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eastAsia="zh-CN"/>
        </w:rPr>
      </w:pPr>
      <w:bookmarkStart w:id="0" w:name="ZB90888f3355ed67e3db559813efbc4a52"/>
      <w:r>
        <w:rPr>
          <w:rFonts w:hint="default" w:ascii="Times New Roman" w:hAnsi="Times New Roman" w:eastAsia="方正仿宋_GB2312" w:cs="Times New Roman"/>
          <w:b w:val="0"/>
          <w:bCs w:val="0"/>
          <w:i w:val="0"/>
          <w:iCs w:val="0"/>
          <w:caps w:val="0"/>
          <w:color w:val="auto"/>
          <w:spacing w:val="0"/>
          <w:sz w:val="24"/>
          <w:szCs w:val="24"/>
          <w:shd w:val="clear" w:fill="FFFFFF"/>
          <w:lang w:eastAsia="zh-CN"/>
        </w:rPr>
        <w:t>湖南机场股份有限公司</w:t>
      </w:r>
      <w:bookmarkEnd w:id="0"/>
      <w:r>
        <w:rPr>
          <w:rFonts w:hint="default" w:ascii="Times New Roman" w:hAnsi="Times New Roman" w:eastAsia="方正仿宋_GB2312" w:cs="Times New Roman"/>
          <w:b w:val="0"/>
          <w:bCs w:val="0"/>
          <w:i w:val="0"/>
          <w:iCs w:val="0"/>
          <w:caps w:val="0"/>
          <w:color w:val="auto"/>
          <w:spacing w:val="0"/>
          <w:sz w:val="24"/>
          <w:szCs w:val="24"/>
          <w:shd w:val="clear" w:fill="FFFFFF"/>
          <w:lang w:eastAsia="zh-CN"/>
        </w:rPr>
        <w:t xml:space="preserve"> </w:t>
      </w:r>
    </w:p>
    <w:p w14:paraId="61AAAFF7">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right"/>
        <w:textAlignment w:val="auto"/>
        <w:rPr>
          <w:rFonts w:hint="default" w:ascii="方正仿宋_GB2312" w:hAnsi="方正仿宋_GB2312" w:eastAsia="方正仿宋_GB2312" w:cs="方正仿宋_GB2312"/>
          <w:b w:val="0"/>
          <w:bCs w:val="0"/>
          <w:i w:val="0"/>
          <w:iCs w:val="0"/>
          <w:caps w:val="0"/>
          <w:color w:val="333333"/>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2026年6月1</w:t>
      </w:r>
      <w:r>
        <w:rPr>
          <w:rFonts w:hint="eastAsia" w:ascii="Times New Roman" w:hAnsi="Times New Roman" w:eastAsia="方正仿宋_GB2312" w:cs="Times New Roman"/>
          <w:b w:val="0"/>
          <w:bCs w:val="0"/>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63594C4-A552-4D21-B76C-C2AB7B4E815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2" w:fontKey="{DE96FAC2-6CF5-406C-B83C-354E1A877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F1ED6">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C5CC5">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7FC5CC5">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9C7C7A"/>
    <w:rsid w:val="001B4D4F"/>
    <w:rsid w:val="02242ADA"/>
    <w:rsid w:val="02B64C24"/>
    <w:rsid w:val="069F0F4E"/>
    <w:rsid w:val="06B156A8"/>
    <w:rsid w:val="07550729"/>
    <w:rsid w:val="077119F0"/>
    <w:rsid w:val="0A2A393B"/>
    <w:rsid w:val="0BF32F26"/>
    <w:rsid w:val="0CD142CE"/>
    <w:rsid w:val="0F574A7F"/>
    <w:rsid w:val="11206427"/>
    <w:rsid w:val="117824E5"/>
    <w:rsid w:val="11AB47B0"/>
    <w:rsid w:val="123E24E6"/>
    <w:rsid w:val="13712447"/>
    <w:rsid w:val="17D72DD0"/>
    <w:rsid w:val="18F040F9"/>
    <w:rsid w:val="1B4F7512"/>
    <w:rsid w:val="1C546989"/>
    <w:rsid w:val="1E340443"/>
    <w:rsid w:val="1E3865E0"/>
    <w:rsid w:val="1ED803AA"/>
    <w:rsid w:val="1FA81C78"/>
    <w:rsid w:val="20E13C77"/>
    <w:rsid w:val="214128BA"/>
    <w:rsid w:val="21E26244"/>
    <w:rsid w:val="255F2A47"/>
    <w:rsid w:val="28EC35B0"/>
    <w:rsid w:val="2AF97B0C"/>
    <w:rsid w:val="2C027F0A"/>
    <w:rsid w:val="2C4955B5"/>
    <w:rsid w:val="2D824FD0"/>
    <w:rsid w:val="2E556795"/>
    <w:rsid w:val="2FEB089C"/>
    <w:rsid w:val="302F3B93"/>
    <w:rsid w:val="30DF6273"/>
    <w:rsid w:val="311E5564"/>
    <w:rsid w:val="31692558"/>
    <w:rsid w:val="32580B66"/>
    <w:rsid w:val="354F58D3"/>
    <w:rsid w:val="36014B8D"/>
    <w:rsid w:val="361F22DE"/>
    <w:rsid w:val="371F3DE4"/>
    <w:rsid w:val="379C7C7A"/>
    <w:rsid w:val="388E5473"/>
    <w:rsid w:val="3A7403C7"/>
    <w:rsid w:val="3AB52D8B"/>
    <w:rsid w:val="3BBF0D15"/>
    <w:rsid w:val="3DAD7631"/>
    <w:rsid w:val="3ECD05CA"/>
    <w:rsid w:val="43064506"/>
    <w:rsid w:val="44351CAF"/>
    <w:rsid w:val="44892861"/>
    <w:rsid w:val="44EE4DF6"/>
    <w:rsid w:val="4734568A"/>
    <w:rsid w:val="475F1427"/>
    <w:rsid w:val="48CC307C"/>
    <w:rsid w:val="495C67D2"/>
    <w:rsid w:val="4ADF3B5F"/>
    <w:rsid w:val="4B8E2DC1"/>
    <w:rsid w:val="506D2311"/>
    <w:rsid w:val="51A927D1"/>
    <w:rsid w:val="536072D8"/>
    <w:rsid w:val="53667BC8"/>
    <w:rsid w:val="53AE40CE"/>
    <w:rsid w:val="56F50595"/>
    <w:rsid w:val="57FE02E7"/>
    <w:rsid w:val="58CD4FF7"/>
    <w:rsid w:val="58DB4C91"/>
    <w:rsid w:val="5CEA5864"/>
    <w:rsid w:val="5E9B0343"/>
    <w:rsid w:val="61CE74A7"/>
    <w:rsid w:val="61EA3E09"/>
    <w:rsid w:val="632F62F8"/>
    <w:rsid w:val="63711318"/>
    <w:rsid w:val="63F66CE9"/>
    <w:rsid w:val="64D751A7"/>
    <w:rsid w:val="657D6BE3"/>
    <w:rsid w:val="6613507E"/>
    <w:rsid w:val="66BB6DD6"/>
    <w:rsid w:val="67DF4686"/>
    <w:rsid w:val="6CCC3C0D"/>
    <w:rsid w:val="6F963F3C"/>
    <w:rsid w:val="6FE342D3"/>
    <w:rsid w:val="6FEA2151"/>
    <w:rsid w:val="705F6D76"/>
    <w:rsid w:val="731F249B"/>
    <w:rsid w:val="73FE2150"/>
    <w:rsid w:val="74583B71"/>
    <w:rsid w:val="74A62666"/>
    <w:rsid w:val="761340C0"/>
    <w:rsid w:val="771F0C51"/>
    <w:rsid w:val="778F3F4C"/>
    <w:rsid w:val="78BD2927"/>
    <w:rsid w:val="793876EF"/>
    <w:rsid w:val="7C29201E"/>
    <w:rsid w:val="7D7611C8"/>
    <w:rsid w:val="7DB3215D"/>
    <w:rsid w:val="7E7F00AA"/>
    <w:rsid w:val="7F893007"/>
    <w:rsid w:val="D8FFC638"/>
    <w:rsid w:val="EFDFAC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Pages>
  <Words>20469</Words>
  <Characters>23153</Characters>
  <Lines>0</Lines>
  <Paragraphs>0</Paragraphs>
  <TotalTime>1</TotalTime>
  <ScaleCrop>false</ScaleCrop>
  <LinksUpToDate>false</LinksUpToDate>
  <CharactersWithSpaces>23395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2026-06-08T17:02:00Z</dcterms:created>
  <dc:creator>Administrator</dc:creator>
  <cp:lastModifiedBy>杨振远</cp:lastModifiedBy>
  <dcterms:modified xsi:type="dcterms:W3CDTF">2026-06-17T04:24:52Z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486E85B2C15D4AA9B7DD729C473789CB_13</vt:lpwstr>
  </property>
  <property fmtid="{D5CDD505-2E9C-101B-9397-08002B2CF9AE}" pid="4" name="KSOTemplateDocerSaveRecord">
    <vt:lpwstr>eyJoZGlkIjoiYzUxOGVkNjUwMWRiYTc0ZTc0N2YzOWQ3YjlhZmMyZTUiLCJ1c2VySWQiOiIxNzYyODkzOTUyIn0=</vt:lpwstr>
  </property>
</Properties>
</file>