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28352">
      <w:pPr>
        <w:spacing w:before="126" w:beforeLines="20" w:line="400" w:lineRule="exact"/>
        <w:rPr>
          <w:rFonts w:hint="eastAsia"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附件2</w:t>
      </w:r>
    </w:p>
    <w:p w14:paraId="38A36F0A">
      <w:pPr>
        <w:pStyle w:val="4"/>
        <w:spacing w:before="320" w:beforeLines="50" w:after="478" w:afterLines="75" w:afterAutospacing="0"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年度部门整体支出绩效自评表</w:t>
      </w:r>
    </w:p>
    <w:bookmarkEnd w:id="0"/>
    <w:tbl>
      <w:tblPr>
        <w:tblStyle w:val="5"/>
        <w:tblW w:w="90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774"/>
        <w:gridCol w:w="609"/>
        <w:gridCol w:w="1275"/>
        <w:gridCol w:w="338"/>
        <w:gridCol w:w="699"/>
        <w:gridCol w:w="636"/>
        <w:gridCol w:w="768"/>
        <w:gridCol w:w="564"/>
        <w:gridCol w:w="36"/>
        <w:gridCol w:w="663"/>
        <w:gridCol w:w="270"/>
        <w:gridCol w:w="481"/>
        <w:gridCol w:w="1023"/>
      </w:tblGrid>
      <w:tr w14:paraId="18877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C94B5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省级预算部门名  称</w:t>
            </w:r>
          </w:p>
        </w:tc>
        <w:tc>
          <w:tcPr>
            <w:tcW w:w="813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DE92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中共湖南省委党校（湖南行政学院）</w:t>
            </w:r>
          </w:p>
        </w:tc>
      </w:tr>
      <w:tr w14:paraId="6F015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0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86880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年度预</w:t>
            </w:r>
          </w:p>
          <w:p w14:paraId="285326B5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算申请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（万元）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1E7F9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BDAA6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年初</w:t>
            </w:r>
          </w:p>
          <w:p w14:paraId="45322058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预算数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7979E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全年</w:t>
            </w:r>
          </w:p>
          <w:p w14:paraId="0D40B1D9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预算数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7B7C2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全年执行数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9EABA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分值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3EB14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执行率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BA8BA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得分</w:t>
            </w:r>
          </w:p>
        </w:tc>
      </w:tr>
      <w:tr w14:paraId="049CD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907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627FC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2323172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年度资金总额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C0302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21868.68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E0590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8496.66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A82A5">
            <w:pPr>
              <w:pStyle w:val="4"/>
              <w:keepNext w:val="0"/>
              <w:keepLines w:val="0"/>
              <w:suppressLineNumbers w:val="0"/>
              <w:tabs>
                <w:tab w:val="left" w:pos="499"/>
              </w:tabs>
              <w:spacing w:before="0" w:beforeAutospacing="0" w:after="0" w:afterLines="0" w:afterAutospacing="0" w:line="220" w:lineRule="exact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23407.25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C0FC5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10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E3137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82.14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%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D16D5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8.3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分</w:t>
            </w:r>
          </w:p>
        </w:tc>
      </w:tr>
      <w:tr w14:paraId="3ABF8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0627F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36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15619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按收入性质分：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964FD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按支出性质分：</w:t>
            </w:r>
          </w:p>
        </w:tc>
      </w:tr>
      <w:tr w14:paraId="1B4E5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B3E50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36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60A32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其中：一般公共预算：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8496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64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37494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其中：基本支出：1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9206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78</w:t>
            </w:r>
          </w:p>
        </w:tc>
      </w:tr>
      <w:tr w14:paraId="0D031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195F8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36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98AE8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600" w:firstLineChars="300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政府性基金拨款：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5F4CD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600" w:firstLineChars="300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项目支出：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9289.88</w:t>
            </w:r>
          </w:p>
        </w:tc>
      </w:tr>
      <w:tr w14:paraId="755FC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D0DA0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36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EBBAE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 xml:space="preserve">     纳入专户管理的非税收入拨款：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57C4A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</w:tr>
      <w:tr w14:paraId="71CFD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B63A1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36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8C202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600" w:firstLineChars="300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其他资金：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A269A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</w:tr>
      <w:tr w14:paraId="75E7D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27F8C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年度总体目标</w:t>
            </w:r>
          </w:p>
        </w:tc>
        <w:tc>
          <w:tcPr>
            <w:tcW w:w="3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7674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预期目标</w:t>
            </w:r>
          </w:p>
        </w:tc>
        <w:tc>
          <w:tcPr>
            <w:tcW w:w="44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9A191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实际完成情况</w:t>
            </w:r>
          </w:p>
        </w:tc>
      </w:tr>
      <w:tr w14:paraId="1FD89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6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9542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3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D1D44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10" w:lineRule="exact"/>
              <w:ind w:left="0" w:leftChars="0" w:right="0" w:firstLine="361" w:firstLineChars="180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培训与教学规模预期目标：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全年计划举办各类培训班次550个以上，培训总人次达到4.5万人次以上。其中，校本部承办省委交办的专题研讨班不少于6期，举办基本培训班75个以上；湖南韶山干部学院举办基本培训班18个以上；完成重点委托班次120个以上，培训1.8万人次以上。面向基层和企业举办政策业务宣讲不少于5期，培训4.5万人次以上；全面从严治党教育中心接待参观学习900场以上、4万人次以上；义务送教下基层180次以上。国际培训方面，举办外国官员研修班（含线上）至少2期，培训外国官员40人次以上，确保海外教育培训基地正式挂牌并开展至少1期培训或交流活动。</w:t>
            </w:r>
          </w:p>
          <w:p w14:paraId="321D5C20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10" w:lineRule="exact"/>
              <w:ind w:left="0" w:leftChars="0" w:right="0" w:firstLine="361" w:firstLineChars="180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课程开发与教学质量预期目标：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全年组织校级集体备课不少于5批次，新打造课程80堂以上，力争2门以上课程获评中组部“全国好课程”。教材建设与理论宣传读本项目立项不少于10项。正式出台并实施《集体备课管理办法》，举办1次全省党校系统教学比赛。领导干部上讲台授课占基本培训课时比例不低于28%。开展跨省互换式教学不少于3次，组织中青班与市级党校混合编班并赴异地教学至少1期，实现主体班学员国防与应急教育全覆盖。举办“外交外事进党校”“红色故事会”等活动各至少1次，完成学员“两带来”答疑交流及论文指导250篇以上。</w:t>
            </w:r>
          </w:p>
          <w:p w14:paraId="10202E93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10" w:lineRule="exact"/>
              <w:ind w:left="0" w:leftChars="0" w:right="0" w:firstLine="361" w:firstLineChars="180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科研项目与咨政服务预期目标：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全年力争立项国家社科基金项目5项以上（保持全国省级党校前列），立项省部级项目60项以上（其中全国党校系统社科规划项目不少于4项，省社科基金项目不少于15项）。撰写咨政报告50篇以上，获得副省级及以上领导肯定性批示不少于35篇（其中正省级及以上不少于25篇）。保持或新增至少1个省级新型智库（合作智库），继续获评“湖南省当代中国马克思主义研究中心优秀分中心”，争取国家社科基金项目管理经验至少获得1次上级推介。</w:t>
            </w:r>
          </w:p>
          <w:p w14:paraId="67C6BA27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10" w:lineRule="exact"/>
              <w:ind w:left="0" w:leftChars="0" w:right="0" w:firstLine="361" w:firstLineChars="180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学科建设与研究生教育预期目标：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持续优化“3237”学科体系，确保纪检监察教研部、湖南干部教育与人才发展研究中心独立运行，稳步推进5个二级学科和2个学科方向的培育。通过哲学一级学科专项评估和社会工作硕士点复评，确保4个学位授权点顺利通过2020—2025年周期性合格评估。成立并运行“湖南省宗教院校思政课教研中心”。全年招收硕士研究生75人以上，毕业90人以上。</w:t>
            </w:r>
          </w:p>
          <w:p w14:paraId="7E41B3F8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10" w:lineRule="exact"/>
              <w:ind w:left="0" w:leftChars="0" w:right="0" w:firstLine="361" w:firstLineChars="180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思想宣传与国际交流预期目标：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承办“湘江大讲堂”10期以上，参与1万人次以上；拍摄并推出微党课系列，单系列总点击量达到150万次以上；组织校内15名以上专家解读省政府工作报告。全年公开发表论文280篇以上，其中中央“三报一刊”不少于12篇，湖南“一报一刊”不少于60篇，核心及以上期刊不少于110篇，出版著作15部以上。确保《湖南干部教育培训研究》专业期刊正式出刊至少1期，至少有1篇论文入选全国性重要学术会议。国际交流方面，赴境外交流访问国家不少于3个，在援外班次讲学20场以上；参加至少1次国际学术会议（如IASIA年会等）；举办双边或多边学术视频会议至少1次；接待国外考察团组不少于2批；力争国际传播工作经验获得中央党校推介至少1次。</w:t>
            </w:r>
          </w:p>
        </w:tc>
        <w:tc>
          <w:tcPr>
            <w:tcW w:w="44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AC0BF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tabs>
                <w:tab w:val="left" w:pos="498"/>
              </w:tabs>
              <w:spacing w:before="0" w:beforeAutospacing="0" w:after="0" w:afterAutospacing="0" w:line="210" w:lineRule="exact"/>
              <w:ind w:left="0" w:right="0" w:firstLine="400" w:firstLineChars="200"/>
              <w:jc w:val="both"/>
              <w:rPr>
                <w:rFonts w:hint="eastAsia" w:ascii="仿宋_GB2312" w:hAnsi="宋体" w:eastAsia="仿宋_GB2312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1.</w:t>
            </w:r>
            <w:r>
              <w:rPr>
                <w:rFonts w:hint="eastAsia" w:ascii="仿宋_GB2312" w:hAnsi="宋体" w:eastAsia="仿宋_GB2312" w:cs="宋体"/>
                <w:color w:val="auto"/>
                <w:sz w:val="20"/>
                <w:szCs w:val="20"/>
                <w:lang w:val="en-US" w:eastAsia="zh-CN"/>
              </w:rPr>
              <w:t>举办各类培训班次562个，培训45930余人次，其中校本部承办省委交办的专题研讨班6个（1203人），举办基本培训班79个（4351人）；湖南韶山干部学院举办基本培训班次19个（826人）。完成133个重点委托班次，培训1.9万余人次。开展校级集体备课6批次，共打造新课程89堂，3门课程获评中组部全国干部教育培训好课程。</w:t>
            </w:r>
          </w:p>
          <w:p w14:paraId="349275B3">
            <w:pPr>
              <w:keepNext w:val="0"/>
              <w:keepLines w:val="0"/>
              <w:suppressLineNumbers w:val="0"/>
              <w:tabs>
                <w:tab w:val="left" w:pos="498"/>
              </w:tabs>
              <w:spacing w:before="0" w:beforeAutospacing="0" w:after="0" w:afterAutospacing="0" w:line="210" w:lineRule="exact"/>
              <w:ind w:left="0" w:right="0" w:firstLine="400" w:firstLineChars="200"/>
              <w:jc w:val="both"/>
              <w:rPr>
                <w:rFonts w:hint="eastAsia" w:ascii="仿宋_GB2312" w:hAnsi="宋体" w:eastAsia="仿宋_GB2312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color w:val="auto"/>
                <w:sz w:val="20"/>
                <w:szCs w:val="20"/>
              </w:rPr>
              <w:t>举办5期政策业务宣讲，培训基层干部、企业人员5万余名。全面从严治党教育中心接待参观学习1055场（46590人次）。在老挝挂牌成立首个海外教育培训基地；参加世界平衡会议和IASIA年会；对古巴等6国开展交流访问；在援外班次讲学22场。与马达加斯加国家行政学院联合举办“治国理政”学术交流视频会议。接待斯里兰卡高级政府官员研修班等4个国外考察团。举办第一期东帝汶政府中高级官员、第五期老挝地方政府中高级领导干部湖南研修班，培训外国官员50余人次。湖南韶山干部学院承办老挝地方政府中高级干部湖南研修班、东帝汶政府中高级官员湖南研修班、澳门中青年人才国情研修班等各类常规委托培训班次286期，累计培训学员68581人次。</w:t>
            </w:r>
          </w:p>
          <w:p w14:paraId="2F8C13AE">
            <w:pPr>
              <w:keepNext w:val="0"/>
              <w:keepLines w:val="0"/>
              <w:suppressLineNumbers w:val="0"/>
              <w:tabs>
                <w:tab w:val="left" w:pos="498"/>
              </w:tabs>
              <w:spacing w:before="0" w:beforeAutospacing="0" w:after="0" w:afterAutospacing="0" w:line="210" w:lineRule="exact"/>
              <w:ind w:left="0" w:right="0" w:firstLine="400" w:firstLineChars="200"/>
              <w:jc w:val="both"/>
              <w:rPr>
                <w:rFonts w:hint="eastAsia" w:ascii="仿宋_GB2312" w:hAnsi="宋体" w:eastAsia="仿宋_GB2312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0"/>
                <w:szCs w:val="20"/>
                <w:lang w:val="en-US" w:eastAsia="zh-CN"/>
              </w:rPr>
              <w:t>3.推进教研咨一体化创新工程教学创新项目，立项高质量课程开发项目114项、教材建设与理论宣传读本项目13项。举办全省党校第十六次教学比赛。落实领导干部上讲台制度，邀请领导干部、专家教授授课195人次，占基本培训课时29.69%。组织4个基本培训班与贵州等省级党校互换式教学；组织中青班与4个市级党校中青班“混合编班”，赴上海等地异地教学；组织学员赴省人武学校等地开展国防与应急教育。与省委外事办合作开展“外交外事进党校”活动；与省文旅厅合作举办“信仰的力量”红色故事会。开展“两带来”答疑交流，安排论文指导289篇。湖南韶山干部学院制定《课题开发三年行动计划（2025—2027年）》，立项课程13堂，其中5堂课程入选全省党校（行政学院）系统2024年度“高质量课程开发”项目，均已顺利结项。</w:t>
            </w:r>
          </w:p>
          <w:p w14:paraId="3CEE9DD9">
            <w:pPr>
              <w:keepNext w:val="0"/>
              <w:keepLines w:val="0"/>
              <w:suppressLineNumbers w:val="0"/>
              <w:tabs>
                <w:tab w:val="left" w:pos="498"/>
              </w:tabs>
              <w:spacing w:before="0" w:beforeAutospacing="0" w:after="0" w:afterAutospacing="0" w:line="210" w:lineRule="exact"/>
              <w:ind w:left="0" w:right="0" w:firstLine="400" w:firstLineChars="200"/>
              <w:jc w:val="both"/>
              <w:rPr>
                <w:rFonts w:hint="eastAsia" w:ascii="仿宋_GB2312" w:hAnsi="宋体" w:eastAsia="仿宋_GB2312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0"/>
                <w:szCs w:val="20"/>
                <w:lang w:val="en-US" w:eastAsia="zh-CN"/>
              </w:rPr>
              <w:t>4.公开发表论文430余篇，开展“智库选题策划会”11期，领题破题80项，孵化成果40余项。立项国家社科基金项目6项（居全国省级党校第6、中部第1位）；立项省部级项目63项，其中全国党校（行政学院）系统社科规划项目5项（居全国省级党校第2、中部第1），省社科基金项目18项。撰写咨政报告54篇（38篇获副省级及以上领导肯定性批示，其中30篇获正省级及以上领导批示）。校（院）被评为“2024年度湖南省当代中国马克思主义研究中心优秀分中心”。校（院）国家社科基金项目管理工作经验获中央党校《科研工作简讯》推介。湖南韶山干部学院主持立项课题3项，参与立项课题2项；主持6项课题结项，参与3项课题结项；在光明日报、解放军报等报纸期刊上公开发表学术著作17篇，内部刊物发表2篇，7篇论文在各类学会会议征文中获奖；参与编写著作3本；4项决策咨询成果获省委主要领导批示，1项被采纳，其中1项为学院教职工主持。</w:t>
            </w:r>
          </w:p>
          <w:p w14:paraId="0D4E62D8">
            <w:pPr>
              <w:keepNext w:val="0"/>
              <w:keepLines w:val="0"/>
              <w:suppressLineNumbers w:val="0"/>
              <w:tabs>
                <w:tab w:val="left" w:pos="498"/>
              </w:tabs>
              <w:spacing w:before="0" w:beforeAutospacing="0" w:after="0" w:afterAutospacing="0" w:line="210" w:lineRule="exact"/>
              <w:ind w:left="0" w:right="0" w:firstLine="400" w:firstLineChars="200"/>
              <w:jc w:val="both"/>
              <w:rPr>
                <w:rFonts w:hint="eastAsia" w:ascii="仿宋_GB2312" w:hAnsi="宋体" w:eastAsia="仿宋_GB2312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0"/>
                <w:szCs w:val="20"/>
                <w:lang w:val="en-US" w:eastAsia="zh-CN"/>
              </w:rPr>
              <w:t>5.持续优化“3237”学科布局，巩固哲学、政治学、公共管理学3个传统一级学科；提升马克思主义理论、中共党史党建学2个优势一级学科；发展纪检监察学、理论经济学、社会学3个一级学科，培育干部教育学、统一战线学、党内法规学、纪检监察理论、应急管理5个二级学科及人才学、干部法治教育学2个学科方向，构建“雁阵式”学科体系。纪检监察教研部、湖南干部教育与人才发展研究中心已独立运行。做好哲学一级学科专项评估和社会工作硕士点复评工作，4个学位授权点通过2020—2025年周期性合格评估。成立“湖南省宗教院校思政课教研中心”。2025年招收硕士78人，毕业97人。</w:t>
            </w:r>
          </w:p>
        </w:tc>
      </w:tr>
      <w:tr w14:paraId="0AC31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9DE67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绩</w:t>
            </w:r>
          </w:p>
          <w:p w14:paraId="7D947F68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效</w:t>
            </w:r>
          </w:p>
          <w:p w14:paraId="00B89EAF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指</w:t>
            </w:r>
          </w:p>
          <w:p w14:paraId="5459F86A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标</w:t>
            </w:r>
          </w:p>
          <w:p w14:paraId="5942639D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27EEC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一级</w:t>
            </w:r>
          </w:p>
          <w:p w14:paraId="6609F65A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指标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C0543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二级指标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5DD5C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三级指标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BC8D6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年度</w:t>
            </w:r>
          </w:p>
          <w:p w14:paraId="6E06219C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指标值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16DB1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实际完成值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5CFF8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分值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6A12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得分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58DFD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偏差原因分析及改进措施</w:t>
            </w:r>
          </w:p>
        </w:tc>
      </w:tr>
      <w:tr w14:paraId="40FD2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816C7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82B52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产出</w:t>
            </w:r>
          </w:p>
          <w:p w14:paraId="7A919B65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指标</w:t>
            </w:r>
          </w:p>
          <w:p w14:paraId="00460BFB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(50分)</w:t>
            </w:r>
          </w:p>
        </w:tc>
        <w:tc>
          <w:tcPr>
            <w:tcW w:w="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627D4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数</w:t>
            </w:r>
          </w:p>
          <w:p w14:paraId="13B6EAA1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量</w:t>
            </w:r>
          </w:p>
          <w:p w14:paraId="05AA412F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指</w:t>
            </w:r>
          </w:p>
          <w:p w14:paraId="720DB48E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标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09F3A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本级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培训人数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592DC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45000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人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E5122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45930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8FB9E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5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84FDC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5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3B4CD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</w:tr>
      <w:tr w14:paraId="767BB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2FBE7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1E368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6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44711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B7211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培训班次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3AF4F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500个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CFEF2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562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7247B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5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7B668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5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B2292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</w:tr>
      <w:tr w14:paraId="6E020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D10B4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59A85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443EE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3F107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研究生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招生数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977E1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人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EE79A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78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4500E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4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917B5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4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51F49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</w:tr>
      <w:tr w14:paraId="26787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E4A07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88FC5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0DC62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9D274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发表论文数量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62458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00篇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A1554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43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0篇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B4980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3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0577A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3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40C19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</w:tr>
      <w:tr w14:paraId="4B984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ECF12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A5FB2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C41CB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9F38E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义务送教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E9611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150次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63499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200余次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4EFB0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3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7483D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3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0FDE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</w:tr>
      <w:tr w14:paraId="756E4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953CE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D042E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9CE22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质</w:t>
            </w:r>
          </w:p>
          <w:p w14:paraId="30A59C13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量</w:t>
            </w:r>
          </w:p>
          <w:p w14:paraId="03863AFD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指</w:t>
            </w:r>
          </w:p>
          <w:p w14:paraId="3DF94AE0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标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1D751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基本培训班教学考核得分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4159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≥95分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BBE63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97.79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分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854A0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5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EB083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5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35F1D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</w:tr>
      <w:tr w14:paraId="72FA5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E655A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2B04C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32B95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8575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研究生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毕业率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12CD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≥96%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486AE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97.6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%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73A14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4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E283C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4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C1726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</w:tr>
      <w:tr w14:paraId="0F7BB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AC180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D8CBE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88D99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D9998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国家和省级课题立项数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A83BA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≥10项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A4697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45项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CDF61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3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7B78A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3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F1267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</w:tr>
      <w:tr w14:paraId="16DAC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F4650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E933B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3612A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94F2B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学术专著</w:t>
            </w:r>
          </w:p>
          <w:p w14:paraId="58724F11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出版率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3AB09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≥95%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0EB3F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100%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FA75C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3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70CE7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3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EA562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</w:tr>
      <w:tr w14:paraId="2EA64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8B5BE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C66DB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4EAD7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时</w:t>
            </w:r>
          </w:p>
          <w:p w14:paraId="20F49C66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效</w:t>
            </w:r>
          </w:p>
          <w:p w14:paraId="06EE5009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指</w:t>
            </w:r>
          </w:p>
          <w:p w14:paraId="3E2B83C1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标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5403C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基本培训班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、轮训班和读书班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培训完成时间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9FE24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当年完成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3647F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当年完成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E48B5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2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DD3A7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0894E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</w:tr>
      <w:tr w14:paraId="14023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775F3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A6AA7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63D49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C2D8F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研究生</w:t>
            </w:r>
          </w:p>
          <w:p w14:paraId="77C6D0CA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培养时间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D80F9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按研究生培养计划进行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BFDEA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按期完成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88D23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2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02C89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71AF2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</w:tr>
      <w:tr w14:paraId="2E5F4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1FD45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BD94E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BF76C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8D0E0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国家级和省级课题完成时间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18633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0"/>
              </w:rPr>
              <w:t>按课题结项时间如期结项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F2A12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 xml:space="preserve">按课题计划进行 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FF943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2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BB916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A6C96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</w:tr>
      <w:tr w14:paraId="672FD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FEE94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AECC3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32EF5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22924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学术专著出版</w:t>
            </w:r>
          </w:p>
          <w:p w14:paraId="2A63F09F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时间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2C026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当年完成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C128B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当年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完成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9F19C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2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9B4C7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E1EDD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</w:tr>
      <w:tr w14:paraId="2BD6B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35710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31490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241F0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成</w:t>
            </w:r>
          </w:p>
          <w:p w14:paraId="48BFC1E8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本</w:t>
            </w:r>
          </w:p>
          <w:p w14:paraId="46C9147E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指</w:t>
            </w:r>
          </w:p>
          <w:p w14:paraId="557DAECC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标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ABC32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整体支出预算控制率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DECDC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≤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100%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6F667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0%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88EF5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3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5DD60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11BB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13"/>
                <w:szCs w:val="13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13"/>
                <w:szCs w:val="13"/>
              </w:rPr>
              <w:t>年中追加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13"/>
                <w:szCs w:val="13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13"/>
                <w:szCs w:val="13"/>
                <w:lang w:val="en-US" w:eastAsia="zh-CN"/>
              </w:rPr>
              <w:t>6+1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13"/>
                <w:szCs w:val="13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13"/>
                <w:szCs w:val="13"/>
                <w:lang w:val="en-US" w:eastAsia="zh-CN"/>
              </w:rPr>
              <w:t>等项目经费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13"/>
                <w:szCs w:val="13"/>
              </w:rPr>
              <w:t>。</w:t>
            </w:r>
          </w:p>
        </w:tc>
      </w:tr>
      <w:tr w14:paraId="49E87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56FAA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08514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6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32807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B9E46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“三公”经费控制率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36CA8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≤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100%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39753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90%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C5450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2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CF4C9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D6557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</w:tr>
      <w:tr w14:paraId="5B0F8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42DB5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19ABF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B2877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0E2F8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公用经费</w:t>
            </w:r>
          </w:p>
          <w:p w14:paraId="7A4D0AB7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控制率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E0B21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≤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100%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A25E9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99%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F2596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FDA86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 xml:space="preserve">2     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CD12E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</w:tr>
      <w:tr w14:paraId="68800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BA3E4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F4112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效益指标</w:t>
            </w:r>
          </w:p>
          <w:p w14:paraId="364E963D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(30分)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45CD1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经济</w:t>
            </w:r>
          </w:p>
          <w:p w14:paraId="02D1895B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效益</w:t>
            </w:r>
          </w:p>
          <w:p w14:paraId="16B275FA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指标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F8C33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  <w:t>乡村振兴点集体经营收入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44976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≥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30万元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D4656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  <w:t>100万元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9265B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  <w:t>4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F63E6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  <w:t>4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1F922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</w:pPr>
          </w:p>
        </w:tc>
      </w:tr>
      <w:tr w14:paraId="415E5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AF65C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28C5C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E79E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社</w:t>
            </w:r>
          </w:p>
          <w:p w14:paraId="68A43ED6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会</w:t>
            </w:r>
          </w:p>
          <w:p w14:paraId="4E4350BC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效</w:t>
            </w:r>
          </w:p>
          <w:p w14:paraId="61A2A290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益</w:t>
            </w:r>
          </w:p>
          <w:p w14:paraId="446C1DAF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指</w:t>
            </w:r>
          </w:p>
          <w:p w14:paraId="6940FCFF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标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E80526F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  <w:t>社会影响力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BF19A6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2"/>
              </w:rPr>
              <w:t>发挥党校教师理论优势，学员实践优势，学校决策咨询功能</w:t>
            </w:r>
            <w:r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2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2"/>
              </w:rPr>
              <w:t>推动湖南干部教育培训事业的发展。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C444C22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2"/>
              </w:rPr>
              <w:t>充分发挥了党校干部培训主渠道、思想建设主阵地作用，推动了湖南干部教育培训事业的发展。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B8A69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  <w:t>5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FDF6C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  <w:t>5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4B16D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</w:pPr>
          </w:p>
        </w:tc>
      </w:tr>
      <w:tr w14:paraId="54AFC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8C03E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E53AB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6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92511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9C2FE9B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  <w:t>基本培训班学员党性修养和政治素养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13FE8C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  <w:t>提高主体班学员的党性修养、政治素养和管理能力，能够更好的为党的事业和湖南省的建设贡献力量。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05D12FF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2"/>
              </w:rPr>
              <w:t>通过培训，</w:t>
            </w:r>
            <w:r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2"/>
              </w:rPr>
              <w:t>有力促进了党员干部政治素质、理论素养、党性修养和履职本领的提高，使其在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2"/>
              </w:rPr>
              <w:t>湖南</w:t>
            </w:r>
            <w:r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2"/>
              </w:rPr>
              <w:t>“三高四新”美好蓝图建设中更好地发挥作用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2"/>
              </w:rPr>
              <w:t>。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9139D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  <w:t>6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C7FC5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  <w:t>6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15523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</w:pPr>
          </w:p>
        </w:tc>
      </w:tr>
      <w:tr w14:paraId="69A96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37063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A62D4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6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E2769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AD7D3EF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  <w:t>研究生专业能力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16AE3A3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  <w:t>提高学生的专业能力和综合素质，使他们能够在工作岗位发挥所长，推动社会进步和发展。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9B01CA2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  <w:t>培养了一批专业能力强和综合素质高的硕士研究生，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  <w:t>研究生的就业和创业能力进一步提升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D2D54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  <w:t>4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43013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  <w:t>4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4821F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</w:pPr>
          </w:p>
        </w:tc>
      </w:tr>
      <w:tr w14:paraId="1634E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49FE8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A122E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C94BB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生态效益指标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A8D3B6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  <w:t>帮扶村生活</w:t>
            </w:r>
          </w:p>
          <w:p w14:paraId="6092834F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  <w:t>环境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E982C1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  <w:t>提高帮扶村居民的生活环境质量。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8F5AEC5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0"/>
                <w:szCs w:val="22"/>
              </w:rPr>
              <w:t>开展驻村结对帮扶，完善</w:t>
            </w:r>
            <w:r>
              <w:rPr>
                <w:rFonts w:hint="default" w:ascii="宋体" w:hAnsi="宋体" w:eastAsia="宋体" w:cs="宋体"/>
                <w:color w:val="auto"/>
                <w:spacing w:val="-8"/>
                <w:kern w:val="0"/>
                <w:sz w:val="20"/>
                <w:szCs w:val="22"/>
              </w:rPr>
              <w:t>了振兴点</w:t>
            </w: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0"/>
                <w:szCs w:val="22"/>
              </w:rPr>
              <w:t>基础设施，改善了人居环境。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113A8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  <w:t>3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3BB51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  <w:t>3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F4310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</w:pPr>
          </w:p>
        </w:tc>
      </w:tr>
      <w:tr w14:paraId="0F6CF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8B23E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17446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6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5579A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FB7173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  <w:t>校（院）环境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2775D5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  <w:t>依法依规对党校后街违建建筑进行拆除，并进行提质改造。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C6913FD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rPr>
                <w:rFonts w:hint="default" w:ascii="宋体" w:hAnsi="宋体" w:eastAsia="宋体" w:cs="宋体"/>
                <w:color w:val="auto"/>
                <w:spacing w:val="-12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kern w:val="0"/>
                <w:sz w:val="20"/>
                <w:szCs w:val="22"/>
              </w:rPr>
              <w:t>校园环境得到明显改善</w:t>
            </w:r>
            <w:r>
              <w:rPr>
                <w:rFonts w:hint="default" w:ascii="宋体" w:hAnsi="宋体" w:eastAsia="宋体" w:cs="宋体"/>
                <w:color w:val="auto"/>
                <w:spacing w:val="-12"/>
                <w:kern w:val="0"/>
                <w:sz w:val="20"/>
                <w:szCs w:val="22"/>
              </w:rPr>
              <w:t>。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848A4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  <w:t>3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AB79B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  <w:t>3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2BA57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</w:pPr>
          </w:p>
        </w:tc>
      </w:tr>
      <w:tr w14:paraId="47A09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DF541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D4FED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17ABB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可持续影响指标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568A918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  <w:t>办学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  <w:t>条件和能力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07BF3E0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  <w:t>通过人才建设、基础设施改善、信息化建设加强，不断提高校（院）的办学条件和办学能力。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D17AB1F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rPr>
                <w:rFonts w:hint="default" w:ascii="宋体" w:hAnsi="宋体" w:eastAsia="宋体" w:cs="宋体"/>
                <w:color w:val="auto"/>
                <w:spacing w:val="-4"/>
                <w:kern w:val="0"/>
                <w:sz w:val="20"/>
                <w:szCs w:val="22"/>
              </w:rPr>
            </w:pPr>
            <w:r>
              <w:rPr>
                <w:rFonts w:hint="default" w:ascii="宋体" w:hAnsi="宋体" w:eastAsia="宋体" w:cs="宋体"/>
                <w:color w:val="auto"/>
                <w:spacing w:val="-4"/>
                <w:kern w:val="0"/>
                <w:sz w:val="20"/>
                <w:szCs w:val="22"/>
              </w:rPr>
              <w:t>通过人才建设、基础设施改善、信息化建设加强，校（院）的办学条件和办学能力不断向好，校（院）不断向高质量发展。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38B36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  <w:t>5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83E94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2"/>
              </w:rPr>
              <w:t>5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49CE9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2"/>
              </w:rPr>
            </w:pPr>
          </w:p>
        </w:tc>
      </w:tr>
      <w:tr w14:paraId="51B4D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D2796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E33C8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满意度</w:t>
            </w:r>
          </w:p>
          <w:p w14:paraId="33ED023D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指标</w:t>
            </w:r>
          </w:p>
          <w:p w14:paraId="463B4599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(10分)</w:t>
            </w:r>
          </w:p>
        </w:tc>
        <w:tc>
          <w:tcPr>
            <w:tcW w:w="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4C17B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服务对象满意度指标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E90AD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学员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满意度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113C4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≥95%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B23BE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%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63E77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6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1B2B5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7D00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</w:p>
        </w:tc>
      </w:tr>
      <w:tr w14:paraId="4272B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A4947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CA7FE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6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9E252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9E0B5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社会公众投诉率/投诉次数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50238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≤3次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D89AE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0次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564A8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4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177EB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</w:rPr>
              <w:t>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E92B0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2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</w:tr>
      <w:tr w14:paraId="67F2C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65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72A375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总分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62F4F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100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94668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7.3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9FA36">
            <w:pPr>
              <w:pStyle w:val="4"/>
              <w:keepNext w:val="0"/>
              <w:keepLines w:val="0"/>
              <w:suppressLineNumbers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</w:tr>
    </w:tbl>
    <w:p w14:paraId="224D9CFC">
      <w:pPr>
        <w:spacing w:before="190" w:beforeLines="30" w:line="240" w:lineRule="exact"/>
        <w:rPr>
          <w:rFonts w:hint="eastAsia" w:ascii="仿宋_GB2312" w:hAnsi="Times New Roman" w:eastAsia="仿宋_GB2312" w:cs="Times New Roman"/>
          <w:color w:val="auto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auto"/>
          <w:sz w:val="24"/>
          <w:szCs w:val="24"/>
        </w:rPr>
        <w:t>填表人：吴丹                             填报日期：202</w:t>
      </w:r>
      <w:r>
        <w:rPr>
          <w:rFonts w:hint="eastAsia" w:ascii="仿宋_GB2312" w:hAnsi="Times New Roman" w:eastAsia="仿宋_GB2312" w:cs="Times New Roman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auto"/>
          <w:sz w:val="24"/>
          <w:szCs w:val="24"/>
        </w:rPr>
        <w:t>年</w:t>
      </w:r>
      <w:r>
        <w:rPr>
          <w:rFonts w:hint="eastAsia" w:ascii="仿宋_GB2312" w:hAnsi="Times New Roman" w:eastAsia="仿宋_GB2312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auto"/>
          <w:sz w:val="24"/>
          <w:szCs w:val="24"/>
        </w:rPr>
        <w:t>月1</w:t>
      </w:r>
      <w:r>
        <w:rPr>
          <w:rFonts w:hint="eastAsia" w:ascii="仿宋_GB2312" w:hAnsi="Times New Roman" w:eastAsia="仿宋_GB2312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auto"/>
          <w:sz w:val="24"/>
          <w:szCs w:val="24"/>
        </w:rPr>
        <w:t>日</w:t>
      </w:r>
    </w:p>
    <w:p w14:paraId="7F0AFB7A">
      <w:pPr>
        <w:pStyle w:val="4"/>
        <w:spacing w:afterLines="0" w:afterAutospacing="0"/>
        <w:ind w:left="0" w:leftChars="0" w:firstLine="0" w:firstLineChars="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 w14:paraId="2340AAD4">
      <w:pPr>
        <w:pStyle w:val="4"/>
        <w:spacing w:afterLines="0" w:afterAutospacing="0"/>
        <w:ind w:left="0" w:leftChars="0" w:firstLine="0" w:firstLineChars="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 w14:paraId="0E8EFC46">
      <w:pPr>
        <w:pStyle w:val="4"/>
        <w:spacing w:afterLines="0" w:afterAutospacing="0"/>
        <w:ind w:left="0" w:leftChars="0" w:firstLine="0" w:firstLineChars="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 w14:paraId="57CEE37F">
      <w:pPr>
        <w:pStyle w:val="4"/>
        <w:spacing w:afterLines="0" w:afterAutospacing="0"/>
        <w:ind w:left="0" w:leftChars="0" w:firstLine="0" w:firstLineChars="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 w14:paraId="3BC93F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92E85D-58A5-4DCC-9D1C-113AC785E8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5BE5604-CB89-4481-AFEC-14AE6F91E7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691462B-DCEF-47E2-B1E2-6F40371D777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ED2BAA7-3C85-4C0C-A36D-C2DC54AFF1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337B8"/>
    <w:rsid w:val="37A3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  <w:rPr>
      <w:rFonts w:ascii="Times New Roman" w:hAnsi="Times New Roman" w:eastAsia="仿宋_GB2312" w:cs="Times New Roman"/>
      <w:sz w:val="30"/>
      <w:szCs w:val="3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eastAsia="仿宋_GB2312" w:cs="Times New Roman"/>
      <w:sz w:val="30"/>
      <w:szCs w:val="30"/>
    </w:r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  <w:rPr>
      <w:rFonts w:eastAsia="宋体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2026-06-22T02:41:00Z</dcterms:created>
  <dc:creator>梦梦</dc:creator>
  <cp:lastModifiedBy>梦梦</cp:lastModifiedBy>
  <dcterms:modified xsi:type="dcterms:W3CDTF">2026-06-22T02:42:21Z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32EB365F4D1446D685402B7D28B8B5B3_11</vt:lpwstr>
  </property>
  <property fmtid="{D5CDD505-2E9C-101B-9397-08002B2CF9AE}" pid="4" name="KSOTemplateDocerSaveRecord">
    <vt:lpwstr>eyJoZGlkIjoiNjMxNDU2NDdjYmI5OWNkYTZmZjMyNzRhODNlYzdlZjMiLCJ1c2VySWQiOiIyNzY5ODY3MjQifQ==</vt:lpwstr>
  </property>
</Properties>
</file>