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9CBB1">
      <w:pPr>
        <w:pStyle w:val="5"/>
        <w:spacing w:afterLines="0" w:afterAutospacing="0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kern w:val="0"/>
          <w:sz w:val="20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附件4</w:t>
      </w:r>
    </w:p>
    <w:p w14:paraId="57D8FFB8">
      <w:pPr>
        <w:pStyle w:val="5"/>
        <w:spacing w:after="0" w:afterLines="0" w:afterAutospacing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年度项目支出绩效自评表</w:t>
      </w:r>
    </w:p>
    <w:p w14:paraId="3FF7AB1C">
      <w:pPr>
        <w:pStyle w:val="5"/>
        <w:spacing w:after="0" w:afterLines="0" w:afterAutospacing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red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（其他事业发展资金）</w:t>
      </w:r>
    </w:p>
    <w:tbl>
      <w:tblPr>
        <w:tblStyle w:val="6"/>
        <w:tblW w:w="91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99"/>
        <w:gridCol w:w="585"/>
        <w:gridCol w:w="1018"/>
        <w:gridCol w:w="1379"/>
        <w:gridCol w:w="1221"/>
        <w:gridCol w:w="735"/>
        <w:gridCol w:w="833"/>
        <w:gridCol w:w="1312"/>
      </w:tblGrid>
      <w:tr w14:paraId="2E55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D45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项目支</w:t>
            </w:r>
          </w:p>
          <w:p w14:paraId="535D318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出名称</w:t>
            </w:r>
          </w:p>
        </w:tc>
        <w:tc>
          <w:tcPr>
            <w:tcW w:w="81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A9C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其他事业发展资金</w:t>
            </w:r>
          </w:p>
        </w:tc>
      </w:tr>
      <w:tr w14:paraId="53CE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C61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主管</w:t>
            </w:r>
          </w:p>
          <w:p w14:paraId="68DB20A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部门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2A9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330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C63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5B6F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070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项目</w:t>
            </w:r>
          </w:p>
          <w:p w14:paraId="64FF0EB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资金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9D8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FCE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年初</w:t>
            </w:r>
          </w:p>
          <w:p w14:paraId="55CBD1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CE6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全年</w:t>
            </w:r>
          </w:p>
          <w:p w14:paraId="57FE760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261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全年</w:t>
            </w:r>
          </w:p>
          <w:p w14:paraId="3C5CEE4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610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分值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EF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AF5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得分</w:t>
            </w:r>
          </w:p>
        </w:tc>
      </w:tr>
      <w:tr w14:paraId="2F89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0B0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FEF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7D0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3495.91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27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4735.08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F7A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3327.02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7AE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CEE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70.31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07E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E20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7E9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7F7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DFD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2769.94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CA1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3910.73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3A2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2805.69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908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16D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A77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830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32E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5BD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350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725.97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B9E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82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07E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521.33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586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A71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0CE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397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922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E18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200" w:firstLineChars="10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其他资金                                                                                                  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25B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52B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8F2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967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4A2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C95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3318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610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781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5BA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实际完成情况</w:t>
            </w:r>
          </w:p>
        </w:tc>
      </w:tr>
      <w:tr w14:paraId="7C132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86C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E9D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</w:t>
            </w:r>
          </w:p>
          <w:p w14:paraId="46D1A68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1.完成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湘江大讲堂专通视频系统运维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项目。</w:t>
            </w:r>
          </w:p>
          <w:p w14:paraId="270AAE3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做好全面从严治党教育中心运行维护工作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。</w:t>
            </w:r>
          </w:p>
          <w:p w14:paraId="07EAB94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pacing w:val="6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kern w:val="0"/>
                <w:sz w:val="20"/>
                <w:szCs w:val="20"/>
                <w:lang w:val="en-US" w:eastAsia="zh-CN"/>
              </w:rPr>
              <w:t>按计划做好硕士研究生培养工作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kern w:val="0"/>
                <w:sz w:val="20"/>
                <w:szCs w:val="20"/>
              </w:rPr>
              <w:t>。</w:t>
            </w:r>
          </w:p>
          <w:p w14:paraId="6F3F0FB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.做好乡村振兴工作。</w:t>
            </w:r>
          </w:p>
          <w:p w14:paraId="6F512E6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200" w:firstLineChars="100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完成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各类计划委托班次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办学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。</w:t>
            </w:r>
          </w:p>
          <w:p w14:paraId="62BE163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.完成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教职员工培训工作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。</w:t>
            </w:r>
          </w:p>
          <w:p w14:paraId="33CA237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按计划出版发行刊物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。</w:t>
            </w:r>
          </w:p>
          <w:p w14:paraId="141BC73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  <w:p w14:paraId="52667E0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360" w:firstLineChars="18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　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B231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cs="宋体"/>
                <w:color w:val="auto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0"/>
              </w:rPr>
              <w:t>1.完成湘江大讲堂专通视频系统运维，</w:t>
            </w:r>
            <w:r>
              <w:rPr>
                <w:rFonts w:hint="eastAsia" w:ascii="宋体" w:hAnsi="宋体" w:cs="宋体"/>
                <w:color w:val="auto"/>
                <w:szCs w:val="20"/>
                <w:lang w:eastAsia="zh-CN"/>
              </w:rPr>
              <w:t>承办</w:t>
            </w:r>
            <w:r>
              <w:rPr>
                <w:rFonts w:hint="eastAsia" w:ascii="宋体" w:hAnsi="宋体" w:cs="宋体"/>
                <w:color w:val="auto"/>
                <w:szCs w:val="20"/>
              </w:rPr>
              <w:t>“湘江大讲堂”1</w:t>
            </w:r>
            <w:r>
              <w:rPr>
                <w:rFonts w:hint="eastAsia" w:ascii="宋体" w:hAnsi="宋体" w:cs="宋体"/>
                <w:color w:val="auto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0"/>
              </w:rPr>
              <w:t>期，1.</w:t>
            </w:r>
            <w:r>
              <w:rPr>
                <w:rFonts w:hint="eastAsia" w:ascii="宋体" w:hAnsi="宋体" w:cs="宋体"/>
                <w:color w:val="auto"/>
                <w:szCs w:val="20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0"/>
              </w:rPr>
              <w:t>万余人次参加</w:t>
            </w:r>
            <w:r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0"/>
              </w:rPr>
              <w:t>参训人员反映良好。</w:t>
            </w:r>
          </w:p>
          <w:p w14:paraId="11DA455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cs="宋体"/>
                <w:color w:val="auto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Cs w:val="20"/>
              </w:rPr>
              <w:t xml:space="preserve">  2.全面从严治党教育中心接待参观学习1055场（46590人次）。</w:t>
            </w:r>
          </w:p>
          <w:p w14:paraId="490FDBC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cs="宋体"/>
                <w:color w:val="auto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Cs w:val="20"/>
              </w:rPr>
              <w:t xml:space="preserve">  3.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招收硕士78人，毕业97人。</w:t>
            </w:r>
          </w:p>
          <w:p w14:paraId="2BFC0DA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cs="宋体"/>
                <w:color w:val="auto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Cs w:val="20"/>
              </w:rPr>
              <w:t xml:space="preserve">  4 .</w:t>
            </w:r>
            <w:r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  <w:t>圆满完成红花村乡村振兴扫尾工作，天湖村、金子山村乡村振兴稳步推进</w:t>
            </w:r>
            <w:r>
              <w:rPr>
                <w:rFonts w:hint="eastAsia" w:ascii="宋体" w:hAnsi="宋体" w:cs="宋体"/>
                <w:color w:val="auto"/>
                <w:szCs w:val="20"/>
              </w:rPr>
              <w:t>。</w:t>
            </w:r>
          </w:p>
          <w:p w14:paraId="1BB170B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200" w:firstLineChars="100"/>
              <w:jc w:val="left"/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0"/>
              </w:rPr>
              <w:t>5.</w:t>
            </w:r>
            <w:r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  <w:t>选派102人次参加各类培训。</w:t>
            </w:r>
          </w:p>
          <w:p w14:paraId="25DB4F8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left"/>
              <w:rPr>
                <w:rFonts w:hint="default" w:ascii="宋体" w:hAnsi="宋体" w:cs="宋体"/>
                <w:color w:val="auto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Cs w:val="20"/>
              </w:rPr>
              <w:t xml:space="preserve">  6.举办各类培训班次562个，培训45930余人次。</w:t>
            </w:r>
          </w:p>
          <w:p w14:paraId="3AF6C3D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200" w:firstLineChars="100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  <w:t>7.出版《湖南党校》报、《决策咨询要报》《研究参考》等报刊刊物出版24期以上。</w:t>
            </w:r>
          </w:p>
        </w:tc>
      </w:tr>
      <w:tr w14:paraId="300A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9DB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600" w:right="0" w:firstLine="40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0"/>
              </w:rPr>
            </w:pPr>
          </w:p>
          <w:p w14:paraId="55DF749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绩</w:t>
            </w:r>
          </w:p>
          <w:p w14:paraId="7822E47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</w:t>
            </w:r>
          </w:p>
          <w:p w14:paraId="7B858AC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</w:t>
            </w:r>
          </w:p>
          <w:p w14:paraId="788624B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69B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一级</w:t>
            </w:r>
          </w:p>
          <w:p w14:paraId="7249F6C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826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8A9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95F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年度</w:t>
            </w:r>
          </w:p>
          <w:p w14:paraId="39A3151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EDC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实际</w:t>
            </w:r>
          </w:p>
          <w:p w14:paraId="6531A93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B15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分值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3FB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得分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ED0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偏差原因</w:t>
            </w:r>
          </w:p>
          <w:p w14:paraId="0072DFB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分析及</w:t>
            </w:r>
          </w:p>
          <w:p w14:paraId="14063E1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改进措施</w:t>
            </w:r>
          </w:p>
        </w:tc>
      </w:tr>
      <w:tr w14:paraId="77BC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B07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8EE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产出</w:t>
            </w:r>
          </w:p>
          <w:p w14:paraId="3BA222F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651E954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(50分)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F9C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BA6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湘江大讲堂专通系统运维情况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3DC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运转优良率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19E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8F4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E67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408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32F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3CC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C03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88D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853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全面从严治党教育中心接待参观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BA1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200" w:firstLineChars="10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800场以上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D28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930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728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A3A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96E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863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21F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8EF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BF2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0FD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资助学生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6FD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100人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D7E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49E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591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4CA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066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CCD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7EB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0F6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312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完成各类委托班次培训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E99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500个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294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563个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E01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53F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47D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606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ABF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600" w:right="0" w:firstLine="40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0"/>
              </w:rPr>
            </w:pPr>
          </w:p>
          <w:p w14:paraId="694BC19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绩</w:t>
            </w:r>
          </w:p>
          <w:p w14:paraId="547F68D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</w:t>
            </w:r>
          </w:p>
          <w:p w14:paraId="437C756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</w:t>
            </w:r>
          </w:p>
          <w:p w14:paraId="179995F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E61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产出</w:t>
            </w:r>
          </w:p>
          <w:p w14:paraId="2278398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07252C9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(50分)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276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A4C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信息系统运行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407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147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52A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BD2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421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72A9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259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A5D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BE8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01E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设备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运行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E77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BA0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B17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B79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D28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D6B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20A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960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7E9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275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信息化软、硬件运行效果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DB7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2F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77B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7DF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0E2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3D0E6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512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CAD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EE1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94B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车辆运行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00F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100" w:firstLineChars="5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24C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良好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4B4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B96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328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656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BC8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767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9C9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D58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因公出国境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C73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E6C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332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627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5FB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DF6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7FF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9B7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559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156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  <w:lang w:val="en-US" w:eastAsia="zh-CN"/>
              </w:rPr>
              <w:t>人才引进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AEE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EE2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F70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EC4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9DC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E3E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985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2D9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CDD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DAD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纵向课题立项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8AC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E20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当年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BE0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FF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072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70DC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D13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06F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D4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90B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项目支出预算控制率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F38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300" w:firstLineChars="15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≤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52F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70.31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E2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8A6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B75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2B44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4E4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DC5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效益</w:t>
            </w:r>
          </w:p>
          <w:p w14:paraId="775557B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277A49B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200" w:firstLineChars="10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(30分)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D14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7C5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成本节约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A4C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低碳出行厉行节约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73A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效果明显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1D2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2D9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606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77D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D63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56A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88F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社会效</w:t>
            </w:r>
          </w:p>
          <w:p w14:paraId="0D63621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FDB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改善学员住宿环境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6E2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  <w:p w14:paraId="05F2CE8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通过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后街提质改造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，为学员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和教职工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提供安静的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工作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和学习环境。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E46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显著提高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工作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学习效率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4BF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D24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29F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176F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8A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B89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D14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1D6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后街居民满意度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7F6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满意率大于95%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F9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98%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CA1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99B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96C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800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exact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753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600" w:right="0" w:firstLine="40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0"/>
              </w:rPr>
            </w:pPr>
          </w:p>
          <w:p w14:paraId="50CD99A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绩</w:t>
            </w:r>
          </w:p>
          <w:p w14:paraId="6157FEF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效</w:t>
            </w:r>
          </w:p>
          <w:p w14:paraId="69B14A9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</w:t>
            </w:r>
          </w:p>
          <w:p w14:paraId="4B4DF77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46A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483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5C37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便利职工办公和学员培训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84D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信息系统的运维可以更好地向教职工和学员提供便利的IT服务，提高办公和学习的效率。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304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信息系统的有效运维，保障了校（院）的信息安全，便利了职工办公和学员培训。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A83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840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C07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1FF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646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BA8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3B0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生态效</w:t>
            </w:r>
          </w:p>
          <w:p w14:paraId="4F1D878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899C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减少尾气排放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357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使用新能源车辆，减少尾气排放，降低对大气的污染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24A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新能源的使用，有效减少了尾气排放，降低对大气的污染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2BD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70D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76C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5281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6DF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A452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10C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0"/>
              </w:rPr>
            </w:pPr>
          </w:p>
          <w:p w14:paraId="7046523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20"/>
              </w:rPr>
              <w:t>可持续影响指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C40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改善学员住宿和学习环境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723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  <w:p w14:paraId="2793680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通过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后街提质改造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，为学员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和教职工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提供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舒适优美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工作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和学习环境。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BF0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显著提高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工作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学习效率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34E1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6CF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4D5F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7935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35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BFB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满意度</w:t>
            </w:r>
          </w:p>
          <w:p w14:paraId="0C240BD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1BB4713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(10分)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6CE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8F49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教职工满意度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191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≥90%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AE7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2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37F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563D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B735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6F04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0AA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313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3E2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BCD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学员满意度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FA7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≥95%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8354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 100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2FD3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E300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935B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10D9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4156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总分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EA85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95A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100" w:firstLineChars="50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7.1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0AE8">
            <w:pPr>
              <w:pStyle w:val="5"/>
              <w:keepNext w:val="0"/>
              <w:keepLines w:val="0"/>
              <w:suppressLineNumbers w:val="0"/>
              <w:spacing w:before="0" w:beforeAutospacing="0" w:after="0" w:afterLines="0" w:afterAutospacing="0" w:line="300" w:lineRule="exact"/>
              <w:ind w:left="0" w:leftChars="0" w:right="0" w:firstLine="0" w:firstLineChars="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 w14:paraId="34D6DEC9">
      <w:pPr>
        <w:spacing w:before="126" w:beforeLines="20" w:line="360" w:lineRule="exact"/>
        <w:rPr>
          <w:rFonts w:hint="eastAsia" w:ascii="仿宋_GB2312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填表人：吴丹                               填报日期：202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月1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日</w:t>
      </w:r>
    </w:p>
    <w:p w14:paraId="274DEA6A">
      <w:pPr>
        <w:spacing w:before="126" w:beforeLines="20" w:line="20" w:lineRule="exact"/>
        <w:rPr>
          <w:rFonts w:hint="eastAsia" w:ascii="仿宋_GB2312" w:hAnsi="Times New Roman" w:eastAsia="仿宋_GB2312" w:cs="Times New Roman"/>
          <w:color w:val="auto"/>
          <w:sz w:val="24"/>
          <w:szCs w:val="24"/>
        </w:rPr>
      </w:pPr>
    </w:p>
    <w:p w14:paraId="674898E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</w:p>
    <w:p w14:paraId="6B0778FB"/>
    <w:sectPr>
      <w:footerReference r:id="rId3" w:type="first"/>
      <w:pgSz w:w="11906" w:h="16838"/>
      <w:pgMar w:top="1191" w:right="1474" w:bottom="1534" w:left="1588" w:header="851" w:footer="1588" w:gutter="0"/>
      <w:cols w:space="720" w:num="1"/>
      <w:titlePg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8C250E-A2F3-4115-B7C5-799DB8AF01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B16C38-9F5B-4B4E-91CA-EAACF14A8D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D8F0880-FA8E-46E0-9364-D6632139A0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E5C65A-7E6E-4D1A-89F6-D1D1F12A5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EE75E">
    <w:pPr>
      <w:pStyle w:val="4"/>
      <w:framePr w:w="1121" w:wrap="around" w:vAnchor="text" w:hAnchor="page" w:x="1941" w:y="78"/>
      <w:rPr>
        <w:rStyle w:val="8"/>
        <w:rFonts w:ascii="宋体" w:hAnsi="宋体" w:eastAsia="仿宋_GB2312" w:cs="Times New Roman"/>
        <w:sz w:val="28"/>
        <w:szCs w:val="28"/>
      </w:rPr>
    </w:pPr>
    <w:r>
      <w:rPr>
        <w:rStyle w:val="8"/>
        <w:rFonts w:hint="eastAsia" w:ascii="宋体" w:hAnsi="宋体" w:eastAsia="仿宋_GB2312" w:cs="Times New Roman"/>
        <w:sz w:val="28"/>
        <w:szCs w:val="28"/>
      </w:rPr>
      <w:t xml:space="preserve">— </w:t>
    </w:r>
    <w:r>
      <w:rPr>
        <w:rStyle w:val="8"/>
        <w:rFonts w:hint="eastAsia" w:ascii="宋体" w:hAnsi="宋体" w:eastAsia="仿宋_GB2312" w:cs="Times New Roman"/>
        <w:sz w:val="28"/>
        <w:szCs w:val="28"/>
      </w:rPr>
      <w:fldChar w:fldCharType="begin"/>
    </w:r>
    <w:r>
      <w:rPr>
        <w:rStyle w:val="8"/>
        <w:rFonts w:hint="eastAsia" w:ascii="宋体" w:hAnsi="宋体" w:eastAsia="仿宋_GB2312" w:cs="Times New Roman"/>
        <w:sz w:val="28"/>
        <w:szCs w:val="28"/>
      </w:rPr>
      <w:instrText xml:space="preserve">PAGE  </w:instrText>
    </w:r>
    <w:r>
      <w:rPr>
        <w:rStyle w:val="8"/>
        <w:rFonts w:ascii="宋体" w:hAnsi="宋体" w:eastAsia="仿宋_GB2312" w:cs="Times New Roman"/>
        <w:sz w:val="28"/>
        <w:szCs w:val="28"/>
      </w:rPr>
      <w:fldChar w:fldCharType="separate"/>
    </w:r>
    <w:r>
      <w:rPr>
        <w:rStyle w:val="8"/>
        <w:rFonts w:ascii="宋体" w:hAnsi="宋体" w:eastAsia="仿宋_GB2312" w:cs="Times New Roman"/>
        <w:sz w:val="28"/>
        <w:szCs w:val="28"/>
      </w:rPr>
      <w:t>11</w:t>
    </w:r>
    <w:r>
      <w:rPr>
        <w:rStyle w:val="8"/>
        <w:rFonts w:hint="eastAsia" w:ascii="宋体" w:hAnsi="宋体" w:eastAsia="仿宋_GB2312" w:cs="Times New Roman"/>
        <w:sz w:val="28"/>
        <w:szCs w:val="28"/>
      </w:rPr>
      <w:fldChar w:fldCharType="end"/>
    </w:r>
    <w:r>
      <w:rPr>
        <w:rStyle w:val="8"/>
        <w:rFonts w:hint="eastAsia" w:ascii="宋体" w:hAnsi="宋体" w:eastAsia="仿宋_GB2312" w:cs="Times New Roman"/>
        <w:sz w:val="28"/>
        <w:szCs w:val="28"/>
      </w:rPr>
      <w:t xml:space="preserve"> —</w:t>
    </w:r>
  </w:p>
  <w:p w14:paraId="34138FE4">
    <w:pPr>
      <w:pStyle w:val="4"/>
      <w:rPr>
        <w:rFonts w:ascii="Times New Roman" w:hAnsi="Times New Roman" w:eastAsia="仿宋_GB2312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5BCE"/>
    <w:rsid w:val="759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仿宋_GB2312" w:cs="Times New Roman"/>
      <w:sz w:val="30"/>
      <w:szCs w:val="3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  <w:kern w:val="0"/>
      <w:sz w:val="20"/>
      <w:szCs w:val="24"/>
    </w:rPr>
  </w:style>
  <w:style w:type="character" w:styleId="8">
    <w:name w:val="page number"/>
    <w:basedOn w:val="7"/>
    <w:unhideWhenUsed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2026-06-22T02:44:00Z</dcterms:created>
  <dc:creator>梦梦</dc:creator>
  <cp:lastModifiedBy>梦梦</cp:lastModifiedBy>
  <dcterms:modified xsi:type="dcterms:W3CDTF">2026-06-22T02:44:52Z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0B14215633E64EB4B530556CD69AADA2_11</vt:lpwstr>
  </property>
  <property fmtid="{D5CDD505-2E9C-101B-9397-08002B2CF9AE}" pid="4" name="KSOTemplateDocerSaveRecord">
    <vt:lpwstr>eyJoZGlkIjoiNjMxNDU2NDdjYmI5OWNkYTZmZjMyNzRhODNlYzdlZjMiLCJ1c2VySWQiOiIyNzY5ODY3MjQifQ==</vt:lpwstr>
  </property>
</Properties>
</file>