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both"/>
        <w:rPr>
          <w:rFonts w:ascii="黑体" w:hAnsi="黑体" w:eastAsia="黑体" w:cs="黑体"/>
          <w:bCs/>
          <w:color w:val="000000"/>
          <w:sz w:val="32"/>
          <w:szCs w:val="32"/>
        </w:rPr>
      </w:pPr>
      <w:r>
        <w:rPr>
          <w:rFonts w:hint="eastAsia" w:ascii="黑体" w:hAnsi="黑体" w:eastAsia="黑体" w:cs="黑体"/>
          <w:bCs/>
          <w:color w:val="000000"/>
          <w:sz w:val="32"/>
          <w:szCs w:val="32"/>
        </w:rPr>
        <w:t>附件5</w:t>
      </w:r>
    </w:p>
    <w:p>
      <w:pPr>
        <w:spacing w:afterLines="50" w:line="600" w:lineRule="exact"/>
        <w:jc w:val="center"/>
        <w:rPr>
          <w:rFonts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湖南新闻奖参评作品推荐表</w:t>
      </w:r>
    </w:p>
    <w:p>
      <w:pPr>
        <w:spacing w:line="400" w:lineRule="exact"/>
        <w:jc w:val="center"/>
        <w:rPr>
          <w:rFonts w:ascii="方正小标宋简体" w:hAnsi="方正小标宋简体" w:eastAsia="方正小标宋简体" w:cs="方正小标宋简体"/>
          <w:color w:val="000000"/>
          <w:sz w:val="44"/>
          <w:szCs w:val="44"/>
        </w:rPr>
      </w:pPr>
      <w:r>
        <w:rPr>
          <w:rFonts w:hint="eastAsia" w:ascii="仿宋_GB2312" w:hAnsi="仿宋" w:eastAsia="仿宋_GB2312" w:cs="Times New Roman"/>
          <w:b/>
          <w:color w:val="000000"/>
          <w:sz w:val="24"/>
        </w:rPr>
        <w:t>（表格内字体为五号仿宋_GB2312）</w:t>
      </w:r>
    </w:p>
    <w:tbl>
      <w:tblPr>
        <w:tblStyle w:val="4"/>
        <w:tblW w:w="96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0"/>
        <w:gridCol w:w="1377"/>
        <w:gridCol w:w="1302"/>
        <w:gridCol w:w="278"/>
        <w:gridCol w:w="577"/>
        <w:gridCol w:w="560"/>
        <w:gridCol w:w="796"/>
        <w:gridCol w:w="32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0" w:hRule="exact"/>
          <w:jc w:val="center"/>
        </w:trPr>
        <w:tc>
          <w:tcPr>
            <w:tcW w:w="1450" w:type="dxa"/>
            <w:vMerge w:val="restart"/>
            <w:vAlign w:val="center"/>
          </w:tcPr>
          <w:p>
            <w:pPr>
              <w:spacing w:line="380" w:lineRule="exact"/>
              <w:jc w:val="center"/>
              <w:rPr>
                <w:rFonts w:ascii="华文中宋" w:hAnsi="华文中宋" w:eastAsia="华文中宋" w:cs="Times New Roman"/>
                <w:color w:val="000000"/>
                <w:sz w:val="28"/>
              </w:rPr>
            </w:pPr>
            <w:r>
              <w:rPr>
                <w:rFonts w:hint="eastAsia" w:ascii="华文中宋" w:hAnsi="华文中宋" w:eastAsia="华文中宋" w:cs="Times New Roman"/>
                <w:color w:val="000000"/>
                <w:sz w:val="28"/>
              </w:rPr>
              <w:t>作品标题</w:t>
            </w:r>
          </w:p>
        </w:tc>
        <w:tc>
          <w:tcPr>
            <w:tcW w:w="3534" w:type="dxa"/>
            <w:gridSpan w:val="4"/>
            <w:vMerge w:val="restart"/>
            <w:vAlign w:val="center"/>
          </w:tcPr>
          <w:p>
            <w:pPr>
              <w:spacing w:line="260" w:lineRule="exact"/>
              <w:jc w:val="center"/>
              <w:rPr>
                <w:rFonts w:ascii="华文中宋" w:hAnsi="华文中宋" w:eastAsia="华文中宋" w:cs="Times New Roman"/>
                <w:color w:val="000000"/>
                <w:sz w:val="28"/>
              </w:rPr>
            </w:pPr>
            <w:r>
              <w:rPr>
                <w:rFonts w:hint="eastAsia" w:ascii="仿宋_GB2312" w:hAnsi="仿宋_GB2312" w:eastAsia="仿宋_GB2312" w:cs="仿宋_GB2312"/>
                <w:color w:val="000000"/>
                <w:sz w:val="21"/>
                <w:szCs w:val="21"/>
                <w:lang w:val="en-US" w:eastAsia="zh-CN"/>
              </w:rPr>
              <w:t>让“湖湘热土”成为“创业沃土”</w:t>
            </w:r>
          </w:p>
        </w:tc>
        <w:tc>
          <w:tcPr>
            <w:tcW w:w="1356" w:type="dxa"/>
            <w:gridSpan w:val="2"/>
            <w:vAlign w:val="center"/>
          </w:tcPr>
          <w:p>
            <w:pPr>
              <w:spacing w:line="380" w:lineRule="exact"/>
              <w:jc w:val="center"/>
              <w:rPr>
                <w:rFonts w:ascii="华文中宋" w:hAnsi="华文中宋" w:eastAsia="华文中宋" w:cs="Times New Roman"/>
                <w:color w:val="000000"/>
                <w:sz w:val="28"/>
              </w:rPr>
            </w:pPr>
            <w:r>
              <w:rPr>
                <w:rFonts w:hint="eastAsia" w:ascii="华文中宋" w:hAnsi="华文中宋" w:eastAsia="华文中宋" w:cs="Times New Roman"/>
                <w:color w:val="000000"/>
                <w:sz w:val="28"/>
              </w:rPr>
              <w:t>参评项目</w:t>
            </w:r>
          </w:p>
        </w:tc>
        <w:tc>
          <w:tcPr>
            <w:tcW w:w="3284" w:type="dxa"/>
            <w:vAlign w:val="center"/>
          </w:tcPr>
          <w:p>
            <w:pPr>
              <w:spacing w:line="260" w:lineRule="exact"/>
              <w:jc w:val="center"/>
              <w:rPr>
                <w:rFonts w:hint="default" w:ascii="仿宋" w:hAnsi="仿宋" w:eastAsia="仿宋" w:cs="仿宋"/>
                <w:color w:val="000000"/>
                <w:sz w:val="24"/>
                <w:szCs w:val="18"/>
                <w:lang w:val="en-US"/>
              </w:rPr>
            </w:pPr>
            <w:r>
              <w:rPr>
                <w:rFonts w:hint="eastAsia" w:ascii="仿宋_GB2312" w:hAnsi="仿宋_GB2312" w:eastAsia="仿宋_GB2312" w:cs="仿宋_GB2312"/>
                <w:color w:val="000000"/>
                <w:sz w:val="21"/>
                <w:szCs w:val="21"/>
                <w:lang w:val="en-US" w:eastAsia="zh-CN"/>
              </w:rPr>
              <w:t>系列报道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8" w:hRule="exact"/>
          <w:jc w:val="center"/>
        </w:trPr>
        <w:tc>
          <w:tcPr>
            <w:tcW w:w="1450" w:type="dxa"/>
            <w:vMerge w:val="continue"/>
            <w:vAlign w:val="center"/>
          </w:tcPr>
          <w:p>
            <w:pPr>
              <w:spacing w:line="380" w:lineRule="exact"/>
              <w:ind w:firstLine="560"/>
              <w:jc w:val="center"/>
              <w:rPr>
                <w:rFonts w:ascii="华文中宋" w:hAnsi="华文中宋" w:eastAsia="华文中宋" w:cs="Times New Roman"/>
                <w:color w:val="000000"/>
                <w:sz w:val="28"/>
              </w:rPr>
            </w:pPr>
          </w:p>
        </w:tc>
        <w:tc>
          <w:tcPr>
            <w:tcW w:w="3534" w:type="dxa"/>
            <w:gridSpan w:val="4"/>
            <w:vMerge w:val="continue"/>
            <w:vAlign w:val="center"/>
          </w:tcPr>
          <w:p>
            <w:pPr>
              <w:spacing w:line="380" w:lineRule="exact"/>
              <w:ind w:firstLine="560"/>
              <w:jc w:val="center"/>
              <w:rPr>
                <w:rFonts w:ascii="华文中宋" w:hAnsi="华文中宋" w:eastAsia="华文中宋" w:cs="Times New Roman"/>
                <w:color w:val="000000"/>
                <w:sz w:val="28"/>
              </w:rPr>
            </w:pPr>
          </w:p>
        </w:tc>
        <w:tc>
          <w:tcPr>
            <w:tcW w:w="1356" w:type="dxa"/>
            <w:gridSpan w:val="2"/>
            <w:vAlign w:val="center"/>
          </w:tcPr>
          <w:p>
            <w:pPr>
              <w:spacing w:line="380" w:lineRule="exact"/>
              <w:jc w:val="center"/>
              <w:rPr>
                <w:rFonts w:ascii="华文中宋" w:hAnsi="华文中宋" w:eastAsia="华文中宋" w:cs="Times New Roman"/>
                <w:color w:val="000000"/>
                <w:sz w:val="28"/>
              </w:rPr>
            </w:pPr>
            <w:r>
              <w:rPr>
                <w:rFonts w:hint="eastAsia" w:ascii="华文中宋" w:hAnsi="华文中宋" w:eastAsia="华文中宋" w:cs="Times New Roman"/>
                <w:color w:val="000000"/>
                <w:sz w:val="28"/>
              </w:rPr>
              <w:t>体裁</w:t>
            </w:r>
          </w:p>
        </w:tc>
        <w:tc>
          <w:tcPr>
            <w:tcW w:w="3284" w:type="dxa"/>
            <w:vAlign w:val="center"/>
          </w:tcPr>
          <w:p>
            <w:pPr>
              <w:spacing w:line="260" w:lineRule="exact"/>
              <w:jc w:val="center"/>
              <w:rPr>
                <w:rFonts w:hint="default" w:ascii="仿宋_GB2312" w:hAnsi="仿宋" w:eastAsia="仿宋_GB2312" w:cs="Times New Roman"/>
                <w:color w:val="000000"/>
                <w:sz w:val="28"/>
                <w:lang w:val="en-US" w:eastAsia="zh-CN"/>
              </w:rPr>
            </w:pPr>
            <w:r>
              <w:rPr>
                <w:rFonts w:hint="eastAsia" w:ascii="仿宋_GB2312" w:hAnsi="Times New Roman" w:eastAsia="仿宋_GB2312" w:cs="Times New Roman"/>
                <w:color w:val="000000"/>
                <w:sz w:val="21"/>
                <w:szCs w:val="21"/>
                <w:lang w:val="en-US" w:eastAsia="zh-CN"/>
              </w:rPr>
              <w:t>通讯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exact"/>
          <w:jc w:val="center"/>
        </w:trPr>
        <w:tc>
          <w:tcPr>
            <w:tcW w:w="1450" w:type="dxa"/>
            <w:vMerge w:val="continue"/>
            <w:vAlign w:val="center"/>
          </w:tcPr>
          <w:p>
            <w:pPr>
              <w:spacing w:line="380" w:lineRule="exact"/>
              <w:ind w:firstLine="560"/>
              <w:jc w:val="center"/>
              <w:rPr>
                <w:rFonts w:ascii="华文中宋" w:hAnsi="华文中宋" w:eastAsia="华文中宋" w:cs="Times New Roman"/>
                <w:color w:val="000000"/>
                <w:sz w:val="28"/>
              </w:rPr>
            </w:pPr>
          </w:p>
        </w:tc>
        <w:tc>
          <w:tcPr>
            <w:tcW w:w="3534" w:type="dxa"/>
            <w:gridSpan w:val="4"/>
            <w:vMerge w:val="continue"/>
            <w:vAlign w:val="center"/>
          </w:tcPr>
          <w:p>
            <w:pPr>
              <w:spacing w:line="380" w:lineRule="exact"/>
              <w:ind w:firstLine="560"/>
              <w:jc w:val="center"/>
              <w:rPr>
                <w:rFonts w:ascii="华文中宋" w:hAnsi="华文中宋" w:eastAsia="华文中宋" w:cs="Times New Roman"/>
                <w:color w:val="000000"/>
                <w:sz w:val="28"/>
              </w:rPr>
            </w:pPr>
          </w:p>
        </w:tc>
        <w:tc>
          <w:tcPr>
            <w:tcW w:w="1356" w:type="dxa"/>
            <w:gridSpan w:val="2"/>
            <w:vAlign w:val="center"/>
          </w:tcPr>
          <w:p>
            <w:pPr>
              <w:spacing w:line="380" w:lineRule="exact"/>
              <w:jc w:val="center"/>
              <w:rPr>
                <w:rFonts w:ascii="华文中宋" w:hAnsi="华文中宋" w:eastAsia="华文中宋" w:cs="Times New Roman"/>
                <w:color w:val="000000"/>
                <w:sz w:val="28"/>
              </w:rPr>
            </w:pPr>
            <w:r>
              <w:rPr>
                <w:rFonts w:hint="eastAsia" w:ascii="华文中宋" w:hAnsi="华文中宋" w:eastAsia="华文中宋" w:cs="Times New Roman"/>
                <w:color w:val="000000"/>
                <w:sz w:val="28"/>
              </w:rPr>
              <w:t>语种</w:t>
            </w:r>
          </w:p>
        </w:tc>
        <w:tc>
          <w:tcPr>
            <w:tcW w:w="3284" w:type="dxa"/>
            <w:vAlign w:val="center"/>
          </w:tcPr>
          <w:p>
            <w:pPr>
              <w:spacing w:line="240" w:lineRule="atLeast"/>
              <w:jc w:val="center"/>
              <w:rPr>
                <w:rFonts w:hint="eastAsia" w:ascii="仿宋_GB2312" w:hAnsi="Times New Roman" w:eastAsia="仿宋_GB2312" w:cs="Times New Roman"/>
                <w:color w:val="000000"/>
                <w:sz w:val="28"/>
                <w:lang w:eastAsia="zh-CN"/>
              </w:rPr>
            </w:pPr>
            <w:r>
              <w:rPr>
                <w:rFonts w:hint="eastAsia" w:ascii="仿宋_GB2312" w:hAnsi="Times New Roman" w:eastAsia="仿宋_GB2312" w:cs="Times New Roman"/>
                <w:color w:val="000000"/>
                <w:sz w:val="21"/>
                <w:szCs w:val="21"/>
                <w:lang w:val="en-US" w:eastAsia="zh-CN"/>
              </w:rPr>
              <w:t>中文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1450" w:type="dxa"/>
            <w:vAlign w:val="center"/>
          </w:tcPr>
          <w:p>
            <w:pPr>
              <w:spacing w:line="320" w:lineRule="exact"/>
              <w:jc w:val="center"/>
              <w:rPr>
                <w:rFonts w:ascii="华文中宋" w:hAnsi="华文中宋" w:eastAsia="华文中宋" w:cs="Times New Roman"/>
                <w:color w:val="000000"/>
                <w:spacing w:val="-12"/>
                <w:sz w:val="28"/>
              </w:rPr>
            </w:pPr>
            <w:r>
              <w:rPr>
                <w:rFonts w:hint="eastAsia" w:ascii="华文中宋" w:hAnsi="华文中宋" w:eastAsia="华文中宋" w:cs="Times New Roman"/>
                <w:color w:val="000000"/>
                <w:spacing w:val="-12"/>
                <w:sz w:val="28"/>
              </w:rPr>
              <w:t>作  者</w:t>
            </w:r>
          </w:p>
          <w:p>
            <w:pPr>
              <w:spacing w:line="320" w:lineRule="exact"/>
              <w:jc w:val="center"/>
              <w:rPr>
                <w:rFonts w:ascii="华文中宋" w:hAnsi="华文中宋" w:eastAsia="华文中宋" w:cs="Times New Roman"/>
                <w:color w:val="000000"/>
                <w:spacing w:val="-12"/>
                <w:sz w:val="24"/>
              </w:rPr>
            </w:pPr>
            <w:r>
              <w:rPr>
                <w:rFonts w:hint="eastAsia" w:ascii="华文中宋" w:hAnsi="华文中宋" w:eastAsia="华文中宋" w:cs="Times New Roman"/>
                <w:color w:val="000000"/>
                <w:spacing w:val="-12"/>
                <w:sz w:val="24"/>
              </w:rPr>
              <w:t>（主创人员）</w:t>
            </w:r>
          </w:p>
        </w:tc>
        <w:tc>
          <w:tcPr>
            <w:tcW w:w="2679" w:type="dxa"/>
            <w:gridSpan w:val="2"/>
            <w:vAlign w:val="center"/>
          </w:tcPr>
          <w:p>
            <w:pPr>
              <w:spacing w:line="260" w:lineRule="exact"/>
              <w:jc w:val="center"/>
              <w:rPr>
                <w:rFonts w:hint="default" w:ascii="仿宋_GB2312" w:hAnsi="华文中宋" w:eastAsia="仿宋_GB2312" w:cs="Times New Roman"/>
                <w:color w:val="000000"/>
                <w:sz w:val="28"/>
                <w:lang w:val="en-US" w:eastAsia="zh-CN"/>
              </w:rPr>
            </w:pPr>
            <w:r>
              <w:rPr>
                <w:rFonts w:hint="default" w:ascii="仿宋_GB2312" w:hAnsi="仿宋_GB2312" w:eastAsia="仿宋_GB2312" w:cs="仿宋_GB2312"/>
                <w:color w:val="000000"/>
                <w:sz w:val="21"/>
                <w:szCs w:val="21"/>
                <w:lang w:val="en-US" w:eastAsia="zh-CN"/>
              </w:rPr>
              <w:t>陈文静</w:t>
            </w:r>
            <w:r>
              <w:rPr>
                <w:rFonts w:hint="eastAsia" w:ascii="仿宋_GB2312" w:hAnsi="仿宋_GB2312" w:eastAsia="仿宋_GB2312" w:cs="仿宋_GB2312"/>
                <w:color w:val="000000"/>
                <w:sz w:val="21"/>
                <w:szCs w:val="21"/>
                <w:lang w:val="en-US" w:eastAsia="zh-CN"/>
              </w:rPr>
              <w:t xml:space="preserve"> </w:t>
            </w:r>
            <w:r>
              <w:rPr>
                <w:rFonts w:hint="default" w:ascii="仿宋_GB2312" w:hAnsi="仿宋_GB2312" w:eastAsia="仿宋_GB2312" w:cs="仿宋_GB2312"/>
                <w:color w:val="000000"/>
                <w:sz w:val="21"/>
                <w:szCs w:val="21"/>
                <w:lang w:val="en-US" w:eastAsia="zh-CN"/>
              </w:rPr>
              <w:t>谭尔豪</w:t>
            </w:r>
            <w:r>
              <w:rPr>
                <w:rFonts w:hint="eastAsia" w:ascii="仿宋_GB2312" w:hAnsi="仿宋_GB2312" w:eastAsia="仿宋_GB2312" w:cs="仿宋_GB2312"/>
                <w:color w:val="000000"/>
                <w:sz w:val="21"/>
                <w:szCs w:val="21"/>
                <w:lang w:val="en-US" w:eastAsia="zh-CN"/>
              </w:rPr>
              <w:t xml:space="preserve"> </w:t>
            </w:r>
            <w:r>
              <w:rPr>
                <w:rFonts w:hint="default" w:ascii="仿宋_GB2312" w:hAnsi="仿宋_GB2312" w:eastAsia="仿宋_GB2312" w:cs="仿宋_GB2312"/>
                <w:color w:val="000000"/>
                <w:sz w:val="21"/>
                <w:szCs w:val="21"/>
                <w:lang w:val="en-US" w:eastAsia="zh-CN"/>
              </w:rPr>
              <w:t>王溶</w:t>
            </w:r>
            <w:r>
              <w:rPr>
                <w:rFonts w:hint="eastAsia" w:ascii="仿宋_GB2312" w:hAnsi="仿宋_GB2312" w:eastAsia="仿宋_GB2312" w:cs="仿宋_GB2312"/>
                <w:color w:val="000000"/>
                <w:sz w:val="21"/>
                <w:szCs w:val="21"/>
                <w:lang w:val="en-US" w:eastAsia="zh-CN"/>
              </w:rPr>
              <w:t xml:space="preserve">    </w:t>
            </w:r>
            <w:r>
              <w:rPr>
                <w:rFonts w:hint="default" w:ascii="仿宋_GB2312" w:hAnsi="仿宋_GB2312" w:eastAsia="仿宋_GB2312" w:cs="仿宋_GB2312"/>
                <w:color w:val="000000"/>
                <w:sz w:val="21"/>
                <w:szCs w:val="21"/>
                <w:lang w:val="en-US" w:eastAsia="zh-CN"/>
              </w:rPr>
              <w:t>王轶诺</w:t>
            </w:r>
            <w:r>
              <w:rPr>
                <w:rFonts w:hint="eastAsia" w:ascii="仿宋_GB2312" w:hAnsi="仿宋_GB2312" w:eastAsia="仿宋_GB2312" w:cs="仿宋_GB2312"/>
                <w:color w:val="000000"/>
                <w:sz w:val="21"/>
                <w:szCs w:val="21"/>
                <w:lang w:val="en-US" w:eastAsia="zh-CN"/>
              </w:rPr>
              <w:t xml:space="preserve"> </w:t>
            </w:r>
            <w:r>
              <w:rPr>
                <w:rFonts w:hint="default" w:ascii="仿宋_GB2312" w:hAnsi="仿宋_GB2312" w:eastAsia="仿宋_GB2312" w:cs="仿宋_GB2312"/>
                <w:color w:val="000000"/>
                <w:sz w:val="21"/>
                <w:szCs w:val="21"/>
                <w:lang w:val="en-US" w:eastAsia="zh-CN"/>
              </w:rPr>
              <w:t>黄佳莉</w:t>
            </w:r>
            <w:r>
              <w:rPr>
                <w:rFonts w:hint="eastAsia" w:ascii="仿宋_GB2312" w:hAnsi="仿宋_GB2312" w:eastAsia="仿宋_GB2312" w:cs="仿宋_GB2312"/>
                <w:color w:val="000000"/>
                <w:sz w:val="21"/>
                <w:szCs w:val="21"/>
                <w:lang w:val="en-US" w:eastAsia="zh-CN"/>
              </w:rPr>
              <w:t xml:space="preserve"> 黄权</w:t>
            </w:r>
          </w:p>
        </w:tc>
        <w:tc>
          <w:tcPr>
            <w:tcW w:w="855" w:type="dxa"/>
            <w:gridSpan w:val="2"/>
            <w:vAlign w:val="center"/>
          </w:tcPr>
          <w:p>
            <w:pPr>
              <w:spacing w:line="360" w:lineRule="auto"/>
              <w:jc w:val="center"/>
              <w:rPr>
                <w:rFonts w:ascii="华文中宋" w:hAnsi="华文中宋" w:eastAsia="华文中宋" w:cs="Times New Roman"/>
                <w:color w:val="000000"/>
                <w:sz w:val="28"/>
              </w:rPr>
            </w:pPr>
            <w:r>
              <w:rPr>
                <w:rFonts w:hint="eastAsia" w:ascii="华文中宋" w:hAnsi="华文中宋" w:eastAsia="华文中宋" w:cs="Times New Roman"/>
                <w:color w:val="000000"/>
                <w:sz w:val="28"/>
              </w:rPr>
              <w:t>编辑</w:t>
            </w:r>
          </w:p>
        </w:tc>
        <w:tc>
          <w:tcPr>
            <w:tcW w:w="4640" w:type="dxa"/>
            <w:gridSpan w:val="3"/>
            <w:vAlign w:val="center"/>
          </w:tcPr>
          <w:p>
            <w:pPr>
              <w:spacing w:line="240" w:lineRule="exact"/>
              <w:jc w:val="center"/>
              <w:rPr>
                <w:rFonts w:hint="default" w:ascii="仿宋" w:hAnsi="仿宋" w:eastAsia="仿宋" w:cs="Times New Roman"/>
                <w:color w:val="000000"/>
                <w:w w:val="95"/>
                <w:sz w:val="24"/>
                <w:szCs w:val="21"/>
                <w:lang w:val="en-US" w:eastAsia="zh-CN"/>
              </w:rPr>
            </w:pPr>
            <w:r>
              <w:rPr>
                <w:rFonts w:hint="eastAsia" w:ascii="仿宋_GB2312" w:hAnsi="仿宋_GB2312" w:eastAsia="仿宋_GB2312" w:cs="仿宋_GB2312"/>
                <w:color w:val="000000"/>
                <w:sz w:val="21"/>
                <w:szCs w:val="21"/>
                <w:lang w:val="en-US" w:eastAsia="zh-CN"/>
              </w:rPr>
              <w:t>黄佳莉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0" w:hRule="atLeast"/>
          <w:jc w:val="center"/>
        </w:trPr>
        <w:tc>
          <w:tcPr>
            <w:tcW w:w="1450" w:type="dxa"/>
            <w:vAlign w:val="center"/>
          </w:tcPr>
          <w:p>
            <w:pPr>
              <w:spacing w:line="360" w:lineRule="auto"/>
              <w:jc w:val="center"/>
              <w:rPr>
                <w:rFonts w:ascii="华文中宋" w:hAnsi="华文中宋" w:eastAsia="华文中宋" w:cs="Times New Roman"/>
                <w:color w:val="000000"/>
                <w:sz w:val="28"/>
              </w:rPr>
            </w:pPr>
            <w:r>
              <w:rPr>
                <w:rFonts w:hint="eastAsia" w:ascii="华文中宋" w:hAnsi="华文中宋" w:eastAsia="华文中宋" w:cs="Times New Roman"/>
                <w:color w:val="000000"/>
                <w:sz w:val="28"/>
              </w:rPr>
              <w:t>原创单位</w:t>
            </w:r>
          </w:p>
        </w:tc>
        <w:tc>
          <w:tcPr>
            <w:tcW w:w="2679" w:type="dxa"/>
            <w:gridSpan w:val="2"/>
            <w:vAlign w:val="center"/>
          </w:tcPr>
          <w:p>
            <w:pPr>
              <w:spacing w:line="260" w:lineRule="exact"/>
              <w:jc w:val="center"/>
              <w:rPr>
                <w:rFonts w:hint="default" w:ascii="仿宋_GB2312" w:hAnsi="仿宋" w:eastAsia="仿宋_GB2312" w:cs="Times New Roman"/>
                <w:color w:val="000000"/>
                <w:sz w:val="21"/>
                <w:szCs w:val="21"/>
                <w:lang w:val="en-US" w:eastAsia="zh-CN"/>
              </w:rPr>
            </w:pPr>
            <w:r>
              <w:rPr>
                <w:rFonts w:hint="eastAsia" w:ascii="仿宋_GB2312" w:hAnsi="仿宋_GB2312" w:eastAsia="仿宋_GB2312" w:cs="仿宋_GB2312"/>
                <w:color w:val="000000"/>
                <w:sz w:val="21"/>
                <w:szCs w:val="21"/>
                <w:lang w:val="en-US" w:eastAsia="zh-CN"/>
              </w:rPr>
              <w:t>《湖南教育》编辑部</w:t>
            </w:r>
          </w:p>
        </w:tc>
        <w:tc>
          <w:tcPr>
            <w:tcW w:w="855" w:type="dxa"/>
            <w:gridSpan w:val="2"/>
            <w:vAlign w:val="center"/>
          </w:tcPr>
          <w:p>
            <w:pPr>
              <w:spacing w:line="400" w:lineRule="exact"/>
              <w:jc w:val="center"/>
              <w:rPr>
                <w:rFonts w:ascii="华文中宋" w:hAnsi="华文中宋" w:eastAsia="华文中宋" w:cs="Times New Roman"/>
                <w:color w:val="000000"/>
                <w:sz w:val="28"/>
              </w:rPr>
            </w:pPr>
            <w:r>
              <w:rPr>
                <w:rFonts w:hint="eastAsia" w:ascii="华文中宋" w:hAnsi="华文中宋" w:eastAsia="华文中宋" w:cs="Times New Roman"/>
                <w:color w:val="000000"/>
                <w:sz w:val="28"/>
              </w:rPr>
              <w:t>刊播单位</w:t>
            </w:r>
          </w:p>
        </w:tc>
        <w:tc>
          <w:tcPr>
            <w:tcW w:w="4640" w:type="dxa"/>
            <w:gridSpan w:val="3"/>
            <w:vAlign w:val="center"/>
          </w:tcPr>
          <w:p>
            <w:pPr>
              <w:spacing w:line="320" w:lineRule="exact"/>
              <w:jc w:val="center"/>
              <w:rPr>
                <w:rFonts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lang w:val="en-US" w:eastAsia="zh-CN"/>
              </w:rPr>
              <w:t>《湖南教育》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13" w:hRule="exact"/>
          <w:jc w:val="center"/>
        </w:trPr>
        <w:tc>
          <w:tcPr>
            <w:tcW w:w="1450" w:type="dxa"/>
            <w:vAlign w:val="center"/>
          </w:tcPr>
          <w:p>
            <w:pPr>
              <w:spacing w:line="440" w:lineRule="exact"/>
              <w:jc w:val="center"/>
              <w:rPr>
                <w:rFonts w:ascii="华文中宋" w:hAnsi="华文中宋" w:eastAsia="华文中宋" w:cs="Times New Roman"/>
                <w:color w:val="000000"/>
                <w:sz w:val="28"/>
              </w:rPr>
            </w:pPr>
            <w:r>
              <w:rPr>
                <w:rFonts w:hint="eastAsia" w:ascii="华文中宋" w:hAnsi="华文中宋" w:eastAsia="华文中宋" w:cs="Times New Roman"/>
                <w:color w:val="000000"/>
                <w:sz w:val="28"/>
              </w:rPr>
              <w:t>刊播版面</w:t>
            </w:r>
            <w:r>
              <w:rPr>
                <w:rFonts w:hint="eastAsia" w:ascii="华文中宋" w:hAnsi="华文中宋" w:eastAsia="华文中宋" w:cs="Times New Roman"/>
                <w:color w:val="000000"/>
                <w:spacing w:val="-12"/>
                <w:sz w:val="28"/>
              </w:rPr>
              <w:t>(</w:t>
            </w:r>
            <w:r>
              <w:rPr>
                <w:rFonts w:hint="eastAsia" w:ascii="华文中宋" w:hAnsi="华文中宋" w:eastAsia="华文中宋" w:cs="Times New Roman"/>
                <w:color w:val="000000"/>
                <w:spacing w:val="-12"/>
                <w:sz w:val="24"/>
              </w:rPr>
              <w:t>名称和版次)</w:t>
            </w:r>
          </w:p>
        </w:tc>
        <w:tc>
          <w:tcPr>
            <w:tcW w:w="2679" w:type="dxa"/>
            <w:gridSpan w:val="2"/>
            <w:vAlign w:val="center"/>
          </w:tcPr>
          <w:p>
            <w:pPr>
              <w:spacing w:line="220" w:lineRule="exact"/>
              <w:jc w:val="center"/>
              <w:rPr>
                <w:rFonts w:hint="default" w:ascii="仿宋_GB2312" w:hAnsi="仿宋" w:eastAsia="仿宋_GB2312" w:cs="Times New Roman"/>
                <w:color w:val="000000"/>
                <w:sz w:val="21"/>
                <w:szCs w:val="21"/>
                <w:lang w:val="en-US"/>
              </w:rPr>
            </w:pPr>
            <w:r>
              <w:rPr>
                <w:rFonts w:hint="eastAsia" w:ascii="仿宋_GB2312" w:hAnsi="仿宋_GB2312" w:eastAsia="仿宋_GB2312" w:cs="仿宋_GB2312"/>
                <w:color w:val="000000"/>
                <w:sz w:val="21"/>
                <w:szCs w:val="21"/>
                <w:lang w:val="en-US" w:eastAsia="zh-CN"/>
              </w:rPr>
              <w:t>2025年4月D刊、5月D刊、6月D刊</w:t>
            </w:r>
          </w:p>
        </w:tc>
        <w:tc>
          <w:tcPr>
            <w:tcW w:w="855" w:type="dxa"/>
            <w:gridSpan w:val="2"/>
            <w:vAlign w:val="center"/>
          </w:tcPr>
          <w:p>
            <w:pPr>
              <w:spacing w:line="400" w:lineRule="exact"/>
              <w:jc w:val="center"/>
              <w:rPr>
                <w:rFonts w:ascii="华文中宋" w:hAnsi="华文中宋" w:eastAsia="华文中宋" w:cs="Times New Roman"/>
                <w:color w:val="000000"/>
                <w:sz w:val="28"/>
              </w:rPr>
            </w:pPr>
            <w:r>
              <w:rPr>
                <w:rFonts w:hint="eastAsia" w:ascii="华文中宋" w:hAnsi="华文中宋" w:eastAsia="华文中宋" w:cs="Times New Roman"/>
                <w:color w:val="000000"/>
                <w:sz w:val="28"/>
              </w:rPr>
              <w:t>刊播日期</w:t>
            </w:r>
          </w:p>
        </w:tc>
        <w:tc>
          <w:tcPr>
            <w:tcW w:w="4640" w:type="dxa"/>
            <w:gridSpan w:val="3"/>
            <w:vAlign w:val="center"/>
          </w:tcPr>
          <w:p>
            <w:pPr>
              <w:spacing w:line="260" w:lineRule="exact"/>
              <w:jc w:val="center"/>
              <w:rPr>
                <w:rFonts w:hint="default"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2025年4月22日、5月22日、6月22日</w:t>
            </w:r>
          </w:p>
          <w:p>
            <w:pPr>
              <w:spacing w:line="260" w:lineRule="exact"/>
              <w:jc w:val="center"/>
              <w:rPr>
                <w:rFonts w:hint="default"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总第1322期、1326期、1330期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9" w:hRule="exact"/>
          <w:jc w:val="center"/>
        </w:trPr>
        <w:tc>
          <w:tcPr>
            <w:tcW w:w="2827" w:type="dxa"/>
            <w:gridSpan w:val="2"/>
            <w:vAlign w:val="center"/>
          </w:tcPr>
          <w:p>
            <w:pPr>
              <w:spacing w:line="340" w:lineRule="exact"/>
              <w:jc w:val="center"/>
              <w:rPr>
                <w:rFonts w:ascii="仿宋_GB2312" w:hAnsi="仿宋" w:eastAsia="仿宋_GB2312" w:cs="Times New Roman"/>
                <w:color w:val="000000"/>
                <w:sz w:val="24"/>
                <w:szCs w:val="21"/>
              </w:rPr>
            </w:pPr>
            <w:r>
              <w:rPr>
                <w:rFonts w:hint="eastAsia" w:ascii="华文中宋" w:hAnsi="华文中宋" w:eastAsia="华文中宋" w:cs="Times New Roman"/>
                <w:color w:val="000000"/>
                <w:sz w:val="28"/>
              </w:rPr>
              <w:t>新媒体作品填报网址</w:t>
            </w:r>
          </w:p>
        </w:tc>
        <w:tc>
          <w:tcPr>
            <w:tcW w:w="6797" w:type="dxa"/>
            <w:gridSpan w:val="6"/>
            <w:vAlign w:val="center"/>
          </w:tcPr>
          <w:p>
            <w:pPr>
              <w:spacing w:line="260" w:lineRule="exact"/>
              <w:jc w:val="center"/>
              <w:rPr>
                <w:rFonts w:ascii="仿宋_GB2312" w:hAnsi="仿宋_GB2312" w:eastAsia="仿宋_GB2312" w:cs="仿宋_GB2312"/>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94" w:hRule="atLeast"/>
          <w:jc w:val="center"/>
        </w:trPr>
        <w:tc>
          <w:tcPr>
            <w:tcW w:w="1450" w:type="dxa"/>
            <w:vAlign w:val="center"/>
          </w:tcPr>
          <w:p>
            <w:pPr>
              <w:spacing w:line="340" w:lineRule="exact"/>
              <w:jc w:val="center"/>
              <w:rPr>
                <w:rFonts w:ascii="华文中宋" w:hAnsi="华文中宋" w:eastAsia="华文中宋" w:cs="Times New Roman"/>
                <w:color w:val="000000"/>
                <w:sz w:val="28"/>
              </w:rPr>
            </w:pPr>
            <w:r>
              <w:rPr>
                <w:rFonts w:hint="eastAsia" w:ascii="华文中宋" w:hAnsi="华文中宋" w:eastAsia="华文中宋" w:cs="Times New Roman"/>
                <w:color w:val="000000"/>
                <w:sz w:val="28"/>
              </w:rPr>
              <w:t xml:space="preserve">  ︵</w:t>
            </w:r>
          </w:p>
          <w:p>
            <w:pPr>
              <w:spacing w:line="340" w:lineRule="exact"/>
              <w:jc w:val="center"/>
              <w:rPr>
                <w:rFonts w:ascii="华文中宋" w:hAnsi="华文中宋" w:eastAsia="华文中宋" w:cs="Times New Roman"/>
                <w:color w:val="000000"/>
                <w:sz w:val="28"/>
              </w:rPr>
            </w:pPr>
            <w:r>
              <w:rPr>
                <w:rFonts w:hint="eastAsia" w:ascii="华文中宋" w:hAnsi="华文中宋" w:eastAsia="华文中宋" w:cs="Times New Roman"/>
                <w:color w:val="000000"/>
                <w:sz w:val="28"/>
              </w:rPr>
              <w:t>作采</w:t>
            </w:r>
          </w:p>
          <w:p>
            <w:pPr>
              <w:spacing w:line="340" w:lineRule="exact"/>
              <w:jc w:val="center"/>
              <w:rPr>
                <w:rFonts w:ascii="华文中宋" w:hAnsi="华文中宋" w:eastAsia="华文中宋" w:cs="Times New Roman"/>
                <w:color w:val="000000"/>
                <w:sz w:val="28"/>
              </w:rPr>
            </w:pPr>
            <w:r>
              <w:rPr>
                <w:rFonts w:hint="eastAsia" w:ascii="华文中宋" w:hAnsi="华文中宋" w:eastAsia="华文中宋" w:cs="Times New Roman"/>
                <w:color w:val="000000"/>
                <w:sz w:val="28"/>
              </w:rPr>
              <w:t>品编</w:t>
            </w:r>
          </w:p>
          <w:p>
            <w:pPr>
              <w:spacing w:line="340" w:lineRule="exact"/>
              <w:jc w:val="center"/>
              <w:rPr>
                <w:rFonts w:ascii="华文中宋" w:hAnsi="华文中宋" w:eastAsia="华文中宋" w:cs="Times New Roman"/>
                <w:color w:val="000000"/>
                <w:sz w:val="28"/>
              </w:rPr>
            </w:pPr>
            <w:r>
              <w:rPr>
                <w:rFonts w:hint="eastAsia" w:ascii="华文中宋" w:hAnsi="华文中宋" w:eastAsia="华文中宋" w:cs="Times New Roman"/>
                <w:color w:val="000000"/>
                <w:sz w:val="28"/>
              </w:rPr>
              <w:t>简过</w:t>
            </w:r>
          </w:p>
          <w:p>
            <w:pPr>
              <w:spacing w:line="340" w:lineRule="exact"/>
              <w:jc w:val="center"/>
              <w:rPr>
                <w:rFonts w:ascii="华文中宋" w:hAnsi="华文中宋" w:eastAsia="华文中宋" w:cs="Times New Roman"/>
                <w:color w:val="000000"/>
                <w:sz w:val="28"/>
              </w:rPr>
            </w:pPr>
            <w:r>
              <w:rPr>
                <w:rFonts w:hint="eastAsia" w:ascii="华文中宋" w:hAnsi="华文中宋" w:eastAsia="华文中宋" w:cs="Times New Roman"/>
                <w:color w:val="000000"/>
                <w:sz w:val="28"/>
              </w:rPr>
              <w:t>介程</w:t>
            </w:r>
          </w:p>
          <w:p>
            <w:pPr>
              <w:spacing w:line="340" w:lineRule="exact"/>
              <w:jc w:val="center"/>
              <w:rPr>
                <w:rFonts w:ascii="华文中宋" w:hAnsi="华文中宋" w:eastAsia="华文中宋" w:cs="Times New Roman"/>
                <w:color w:val="000000"/>
                <w:sz w:val="28"/>
              </w:rPr>
            </w:pPr>
            <w:r>
              <w:rPr>
                <w:rFonts w:hint="eastAsia" w:ascii="华文中宋" w:hAnsi="华文中宋" w:eastAsia="华文中宋" w:cs="Times New Roman"/>
                <w:color w:val="000000"/>
                <w:sz w:val="28"/>
              </w:rPr>
              <w:t xml:space="preserve">  ︶</w:t>
            </w:r>
          </w:p>
        </w:tc>
        <w:tc>
          <w:tcPr>
            <w:tcW w:w="8174" w:type="dxa"/>
            <w:gridSpan w:val="7"/>
            <w:vAlign w:val="center"/>
          </w:tcPr>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both"/>
              <w:textAlignment w:val="auto"/>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lang w:val="en-US" w:eastAsia="zh-CN"/>
              </w:rPr>
              <w:t>近年来，湖南省大力推进创新创业教育，并部署“七个一”系列政策措施，向全国乃至全球大学生发出“创业湘约”</w:t>
            </w:r>
            <w:r>
              <w:rPr>
                <w:rFonts w:hint="eastAsia" w:ascii="仿宋_GB2312" w:hAnsi="仿宋_GB2312" w:eastAsia="仿宋_GB2312" w:cs="仿宋_GB2312"/>
                <w:color w:val="000000"/>
                <w:sz w:val="21"/>
                <w:szCs w:val="21"/>
              </w:rPr>
              <w:t>。</w:t>
            </w:r>
            <w:r>
              <w:rPr>
                <w:rFonts w:hint="eastAsia" w:ascii="仿宋_GB2312" w:hAnsi="仿宋_GB2312" w:eastAsia="仿宋_GB2312" w:cs="仿宋_GB2312"/>
                <w:color w:val="000000"/>
                <w:sz w:val="21"/>
                <w:szCs w:val="21"/>
                <w:lang w:val="en-US" w:eastAsia="zh-CN"/>
              </w:rPr>
              <w:t>采编团队在调研中了解到，职业教育作为一支创新创业的重要力量，正紧紧围绕湖南“4×4”现代化产业体系推进工作，竞赛成绩与项目产出位列全国第一方阵。为进一步推动相关政策措施在全省高校的落地实施，采编团队结合刊物定位，</w:t>
            </w:r>
            <w:r>
              <w:rPr>
                <w:rFonts w:hint="eastAsia" w:ascii="仿宋_GB2312" w:hAnsi="仿宋_GB2312" w:eastAsia="仿宋_GB2312" w:cs="仿宋_GB2312"/>
                <w:color w:val="000000"/>
                <w:sz w:val="21"/>
                <w:szCs w:val="21"/>
              </w:rPr>
              <w:t>策划</w:t>
            </w:r>
            <w:r>
              <w:rPr>
                <w:rFonts w:hint="eastAsia" w:ascii="仿宋_GB2312" w:hAnsi="仿宋_GB2312" w:eastAsia="仿宋_GB2312" w:cs="仿宋_GB2312"/>
                <w:color w:val="000000"/>
                <w:sz w:val="21"/>
                <w:szCs w:val="21"/>
                <w:lang w:val="en-US" w:eastAsia="zh-CN"/>
              </w:rPr>
              <w:t>推出系列报道</w:t>
            </w:r>
            <w:r>
              <w:rPr>
                <w:rFonts w:hint="eastAsia" w:ascii="仿宋_GB2312" w:hAnsi="仿宋_GB2312" w:eastAsia="仿宋_GB2312" w:cs="仿宋_GB2312"/>
                <w:color w:val="000000"/>
                <w:sz w:val="21"/>
                <w:szCs w:val="21"/>
              </w:rPr>
              <w:t>《</w:t>
            </w:r>
            <w:r>
              <w:rPr>
                <w:rFonts w:hint="eastAsia" w:ascii="仿宋_GB2312" w:hAnsi="仿宋_GB2312" w:eastAsia="仿宋_GB2312" w:cs="仿宋_GB2312"/>
                <w:color w:val="000000"/>
                <w:sz w:val="21"/>
                <w:szCs w:val="21"/>
                <w:lang w:val="en-US" w:eastAsia="zh-CN"/>
              </w:rPr>
              <w:t>让“湖湘热土”成为“创业沃土”</w:t>
            </w:r>
            <w:r>
              <w:rPr>
                <w:rFonts w:hint="eastAsia" w:ascii="仿宋_GB2312" w:hAnsi="仿宋_GB2312" w:eastAsia="仿宋_GB2312" w:cs="仿宋_GB2312"/>
                <w:color w:val="000000"/>
                <w:sz w:val="21"/>
                <w:szCs w:val="21"/>
              </w:rPr>
              <w:t>——“湖南职业院校创新创业教育样本观察”特别策划》。</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both"/>
              <w:textAlignment w:val="auto"/>
              <w:rPr>
                <w:rFonts w:hint="eastAsia" w:ascii="仿宋" w:hAnsi="仿宋" w:eastAsia="仿宋" w:cs="Times New Roman"/>
                <w:color w:val="000000"/>
                <w:w w:val="95"/>
                <w:sz w:val="24"/>
                <w:szCs w:val="21"/>
                <w:lang w:eastAsia="zh-CN"/>
              </w:rPr>
            </w:pPr>
            <w:r>
              <w:rPr>
                <w:rFonts w:hint="eastAsia" w:ascii="仿宋_GB2312" w:hAnsi="仿宋_GB2312" w:eastAsia="仿宋_GB2312" w:cs="仿宋_GB2312"/>
                <w:color w:val="000000"/>
                <w:sz w:val="21"/>
                <w:szCs w:val="21"/>
              </w:rPr>
              <w:t>在</w:t>
            </w:r>
            <w:r>
              <w:rPr>
                <w:rFonts w:hint="eastAsia" w:ascii="仿宋_GB2312" w:hAnsi="仿宋_GB2312" w:eastAsia="仿宋_GB2312" w:cs="仿宋_GB2312"/>
                <w:color w:val="000000"/>
                <w:sz w:val="21"/>
                <w:szCs w:val="21"/>
                <w:lang w:val="en-US" w:eastAsia="zh-CN"/>
              </w:rPr>
              <w:t>确定选题内容之前，团队特邀湖南瑞智信环保科技有限公司创办人肖化胜、湖南青创乡建科技有限公司创办人杨西炜等多位创新创业典型参与策划，并联合多所高校召开创新创业教育专题论坛，明确了选题方向和采写思路。在</w:t>
            </w:r>
            <w:r>
              <w:rPr>
                <w:rFonts w:hint="eastAsia" w:ascii="仿宋_GB2312" w:hAnsi="仿宋_GB2312" w:eastAsia="仿宋_GB2312" w:cs="仿宋_GB2312"/>
                <w:color w:val="000000"/>
                <w:sz w:val="21"/>
                <w:szCs w:val="21"/>
              </w:rPr>
              <w:t>采写过程中，</w:t>
            </w:r>
            <w:r>
              <w:rPr>
                <w:rFonts w:hint="eastAsia" w:ascii="仿宋_GB2312" w:hAnsi="仿宋_GB2312" w:eastAsia="仿宋_GB2312" w:cs="仿宋_GB2312"/>
                <w:color w:val="000000"/>
                <w:sz w:val="21"/>
                <w:szCs w:val="21"/>
                <w:lang w:val="en-US" w:eastAsia="zh-CN"/>
              </w:rPr>
              <w:t>团队深入二十余所高校与企业，累计与报道师生同吃同住近一个月，最终采写了一系列“接地气、冒热气、带露水”的鲜活素材。为做好宣传报道，团队坚持以</w:t>
            </w:r>
            <w:r>
              <w:rPr>
                <w:rFonts w:hint="default" w:ascii="仿宋_GB2312" w:hAnsi="仿宋_GB2312" w:eastAsia="仿宋_GB2312" w:cs="仿宋_GB2312"/>
                <w:color w:val="000000"/>
                <w:sz w:val="21"/>
                <w:szCs w:val="21"/>
                <w:lang w:val="en-US" w:eastAsia="zh-CN"/>
              </w:rPr>
              <w:t>“小切口”</w:t>
            </w:r>
            <w:r>
              <w:rPr>
                <w:rFonts w:hint="eastAsia" w:ascii="仿宋_GB2312" w:hAnsi="仿宋_GB2312" w:eastAsia="仿宋_GB2312" w:cs="仿宋_GB2312"/>
                <w:color w:val="000000"/>
                <w:sz w:val="21"/>
                <w:szCs w:val="21"/>
                <w:lang w:val="en-US" w:eastAsia="zh-CN"/>
              </w:rPr>
              <w:t>反映“大时代”，以图解形式</w:t>
            </w:r>
            <w:r>
              <w:rPr>
                <w:rFonts w:hint="eastAsia" w:ascii="仿宋_GB2312" w:hAnsi="仿宋_GB2312" w:eastAsia="仿宋_GB2312" w:cs="仿宋_GB2312"/>
                <w:color w:val="000000"/>
                <w:sz w:val="21"/>
                <w:szCs w:val="21"/>
              </w:rPr>
              <w:t>梳理了</w:t>
            </w:r>
            <w:r>
              <w:rPr>
                <w:rFonts w:hint="eastAsia" w:ascii="仿宋_GB2312" w:hAnsi="仿宋_GB2312" w:eastAsia="仿宋_GB2312" w:cs="仿宋_GB2312"/>
                <w:color w:val="000000"/>
                <w:sz w:val="21"/>
                <w:szCs w:val="21"/>
                <w:lang w:val="en-US" w:eastAsia="zh-CN"/>
              </w:rPr>
              <w:t>湖南省推进创新创业教育的系列政策，并以典型经验报道、人物报道、图片影像等多种体裁进行立体式报道宣传，兼顾了宣传的实用性与丰富性。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91" w:hRule="exact"/>
          <w:jc w:val="center"/>
        </w:trPr>
        <w:tc>
          <w:tcPr>
            <w:tcW w:w="1450" w:type="dxa"/>
            <w:vAlign w:val="center"/>
          </w:tcPr>
          <w:p>
            <w:pPr>
              <w:snapToGrid w:val="0"/>
              <w:spacing w:line="280" w:lineRule="exact"/>
              <w:jc w:val="center"/>
              <w:rPr>
                <w:rFonts w:ascii="华文中宋" w:hAnsi="华文中宋" w:eastAsia="华文中宋" w:cs="Times New Roman"/>
                <w:color w:val="000000"/>
                <w:sz w:val="28"/>
              </w:rPr>
            </w:pPr>
            <w:r>
              <w:rPr>
                <w:rFonts w:hint="eastAsia" w:ascii="华文中宋" w:hAnsi="华文中宋" w:eastAsia="华文中宋" w:cs="Times New Roman"/>
                <w:color w:val="000000"/>
                <w:sz w:val="28"/>
              </w:rPr>
              <w:t>社</w:t>
            </w:r>
          </w:p>
          <w:p>
            <w:pPr>
              <w:snapToGrid w:val="0"/>
              <w:spacing w:line="280" w:lineRule="exact"/>
              <w:jc w:val="center"/>
              <w:rPr>
                <w:rFonts w:ascii="华文中宋" w:hAnsi="华文中宋" w:eastAsia="华文中宋" w:cs="Times New Roman"/>
                <w:color w:val="000000"/>
                <w:sz w:val="28"/>
              </w:rPr>
            </w:pPr>
            <w:r>
              <w:rPr>
                <w:rFonts w:hint="eastAsia" w:ascii="华文中宋" w:hAnsi="华文中宋" w:eastAsia="华文中宋" w:cs="Times New Roman"/>
                <w:color w:val="000000"/>
                <w:sz w:val="28"/>
              </w:rPr>
              <w:t>会</w:t>
            </w:r>
          </w:p>
          <w:p>
            <w:pPr>
              <w:snapToGrid w:val="0"/>
              <w:spacing w:line="280" w:lineRule="exact"/>
              <w:jc w:val="center"/>
              <w:rPr>
                <w:rFonts w:ascii="华文中宋" w:hAnsi="华文中宋" w:eastAsia="华文中宋" w:cs="Times New Roman"/>
                <w:color w:val="000000"/>
                <w:sz w:val="28"/>
              </w:rPr>
            </w:pPr>
            <w:r>
              <w:rPr>
                <w:rFonts w:hint="eastAsia" w:ascii="华文中宋" w:hAnsi="华文中宋" w:eastAsia="华文中宋" w:cs="Times New Roman"/>
                <w:color w:val="000000"/>
                <w:sz w:val="28"/>
              </w:rPr>
              <w:t>效</w:t>
            </w:r>
          </w:p>
          <w:p>
            <w:pPr>
              <w:snapToGrid w:val="0"/>
              <w:spacing w:line="280" w:lineRule="exact"/>
              <w:jc w:val="center"/>
              <w:rPr>
                <w:rFonts w:ascii="华文中宋" w:hAnsi="华文中宋" w:eastAsia="华文中宋" w:cs="Times New Roman"/>
                <w:color w:val="000000"/>
                <w:sz w:val="28"/>
              </w:rPr>
            </w:pPr>
            <w:r>
              <w:rPr>
                <w:rFonts w:hint="eastAsia" w:ascii="华文中宋" w:hAnsi="华文中宋" w:eastAsia="华文中宋" w:cs="Times New Roman"/>
                <w:color w:val="000000"/>
                <w:sz w:val="28"/>
              </w:rPr>
              <w:t>果</w:t>
            </w:r>
          </w:p>
        </w:tc>
        <w:tc>
          <w:tcPr>
            <w:tcW w:w="8174" w:type="dxa"/>
            <w:gridSpan w:val="7"/>
            <w:vAlign w:val="center"/>
          </w:tcPr>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both"/>
              <w:textAlignment w:val="auto"/>
              <w:rPr>
                <w:rFonts w:ascii="仿宋" w:hAnsi="仿宋" w:eastAsia="仿宋" w:cs="Times New Roman"/>
                <w:color w:val="000000"/>
                <w:sz w:val="24"/>
                <w:szCs w:val="21"/>
              </w:rPr>
            </w:pPr>
            <w:r>
              <w:rPr>
                <w:rFonts w:hint="eastAsia" w:ascii="仿宋_GB2312" w:hAnsi="仿宋_GB2312" w:eastAsia="仿宋_GB2312" w:cs="仿宋_GB2312"/>
                <w:color w:val="000000"/>
                <w:sz w:val="21"/>
                <w:szCs w:val="21"/>
                <w:lang w:val="en-US" w:eastAsia="zh-CN"/>
              </w:rPr>
              <w:t>该篇报道紧跟热点，从一个个典型故事中，展现出近年来湖南省加快培养高素质技术技能人才、各地迸发创新创业活力的经验与成就，得到了社会各界的高度认可。学习强国、湖南省教育厅官微、湖南教育新闻网及多所省内外院校官网官微子以转发推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47" w:hRule="exact"/>
          <w:jc w:val="center"/>
        </w:trPr>
        <w:tc>
          <w:tcPr>
            <w:tcW w:w="1450" w:type="dxa"/>
            <w:vAlign w:val="center"/>
          </w:tcPr>
          <w:p>
            <w:pPr>
              <w:spacing w:line="380" w:lineRule="exact"/>
              <w:jc w:val="center"/>
              <w:rPr>
                <w:rFonts w:ascii="华文中宋" w:hAnsi="华文中宋" w:eastAsia="华文中宋" w:cs="Times New Roman"/>
                <w:color w:val="000000"/>
                <w:sz w:val="28"/>
              </w:rPr>
            </w:pPr>
            <w:r>
              <w:rPr>
                <w:rFonts w:hint="eastAsia" w:ascii="华文中宋" w:hAnsi="华文中宋" w:eastAsia="华文中宋" w:cs="Times New Roman"/>
                <w:color w:val="000000"/>
                <w:sz w:val="28"/>
              </w:rPr>
              <w:t xml:space="preserve">  ︵</w:t>
            </w:r>
          </w:p>
          <w:p>
            <w:pPr>
              <w:spacing w:line="380" w:lineRule="exact"/>
              <w:jc w:val="center"/>
              <w:rPr>
                <w:rFonts w:ascii="华文中宋" w:hAnsi="华文中宋" w:eastAsia="华文中宋" w:cs="Times New Roman"/>
                <w:color w:val="000000"/>
                <w:sz w:val="28"/>
              </w:rPr>
            </w:pPr>
            <w:r>
              <w:rPr>
                <w:rFonts w:hint="eastAsia" w:ascii="华文中宋" w:hAnsi="华文中宋" w:eastAsia="华文中宋" w:cs="Times New Roman"/>
                <w:color w:val="000000"/>
                <w:sz w:val="28"/>
              </w:rPr>
              <w:t>初推</w:t>
            </w:r>
          </w:p>
          <w:p>
            <w:pPr>
              <w:spacing w:line="380" w:lineRule="exact"/>
              <w:jc w:val="center"/>
              <w:rPr>
                <w:rFonts w:ascii="华文中宋" w:hAnsi="华文中宋" w:eastAsia="华文中宋" w:cs="Times New Roman"/>
                <w:color w:val="000000"/>
                <w:sz w:val="28"/>
              </w:rPr>
            </w:pPr>
            <w:r>
              <w:rPr>
                <w:rFonts w:hint="eastAsia" w:ascii="华文中宋" w:hAnsi="华文中宋" w:eastAsia="华文中宋" w:cs="Times New Roman"/>
                <w:color w:val="000000"/>
                <w:sz w:val="28"/>
              </w:rPr>
              <w:t>评荐</w:t>
            </w:r>
          </w:p>
          <w:p>
            <w:pPr>
              <w:spacing w:line="380" w:lineRule="exact"/>
              <w:jc w:val="center"/>
              <w:rPr>
                <w:rFonts w:ascii="华文中宋" w:hAnsi="华文中宋" w:eastAsia="华文中宋" w:cs="Times New Roman"/>
                <w:color w:val="000000"/>
                <w:sz w:val="28"/>
              </w:rPr>
            </w:pPr>
            <w:r>
              <w:rPr>
                <w:rFonts w:hint="eastAsia" w:ascii="华文中宋" w:hAnsi="华文中宋" w:eastAsia="华文中宋" w:cs="Times New Roman"/>
                <w:color w:val="000000"/>
                <w:sz w:val="28"/>
              </w:rPr>
              <w:t>评理</w:t>
            </w:r>
          </w:p>
          <w:p>
            <w:pPr>
              <w:spacing w:line="380" w:lineRule="exact"/>
              <w:jc w:val="center"/>
              <w:rPr>
                <w:rFonts w:ascii="华文中宋" w:hAnsi="华文中宋" w:eastAsia="华文中宋" w:cs="Times New Roman"/>
                <w:color w:val="000000"/>
                <w:sz w:val="28"/>
              </w:rPr>
            </w:pPr>
            <w:r>
              <w:rPr>
                <w:rFonts w:hint="eastAsia" w:ascii="华文中宋" w:hAnsi="华文中宋" w:eastAsia="华文中宋" w:cs="Times New Roman"/>
                <w:color w:val="000000"/>
                <w:sz w:val="28"/>
              </w:rPr>
              <w:t>语由</w:t>
            </w:r>
          </w:p>
          <w:p>
            <w:pPr>
              <w:spacing w:line="340" w:lineRule="exact"/>
              <w:jc w:val="center"/>
              <w:rPr>
                <w:rFonts w:ascii="华文中宋" w:hAnsi="华文中宋" w:eastAsia="华文中宋" w:cs="Times New Roman"/>
                <w:color w:val="000000"/>
                <w:sz w:val="28"/>
              </w:rPr>
            </w:pPr>
            <w:r>
              <w:rPr>
                <w:rFonts w:hint="eastAsia" w:ascii="华文中宋" w:hAnsi="华文中宋" w:eastAsia="华文中宋" w:cs="Times New Roman"/>
                <w:color w:val="000000"/>
                <w:sz w:val="28"/>
              </w:rPr>
              <w:t xml:space="preserve">  ︶</w:t>
            </w:r>
          </w:p>
        </w:tc>
        <w:tc>
          <w:tcPr>
            <w:tcW w:w="8174" w:type="dxa"/>
            <w:gridSpan w:val="7"/>
            <w:vAlign w:val="center"/>
          </w:tcPr>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both"/>
              <w:textAlignment w:val="auto"/>
              <w:rPr>
                <w:rFonts w:hint="default"/>
                <w:lang w:val="en-US" w:eastAsia="zh-CN"/>
              </w:rPr>
            </w:pPr>
            <w:r>
              <w:rPr>
                <w:rFonts w:hint="default" w:ascii="仿宋_GB2312" w:hAnsi="仿宋_GB2312" w:eastAsia="仿宋_GB2312" w:cs="仿宋_GB2312"/>
                <w:color w:val="000000"/>
                <w:sz w:val="21"/>
                <w:szCs w:val="21"/>
                <w:lang w:val="en-US" w:eastAsia="zh-CN"/>
              </w:rPr>
              <w:t>大力推进创新创业教育，关乎国家发展、城市转型。</w:t>
            </w:r>
            <w:r>
              <w:rPr>
                <w:rFonts w:hint="eastAsia" w:ascii="仿宋_GB2312" w:hAnsi="仿宋_GB2312" w:eastAsia="仿宋_GB2312" w:cs="仿宋_GB2312"/>
                <w:color w:val="000000"/>
                <w:sz w:val="21"/>
                <w:szCs w:val="21"/>
                <w:lang w:val="en-US" w:eastAsia="zh-CN"/>
              </w:rPr>
              <w:t>怎样让“创新创业”不仅仅停留在纸面上、口号里，而是扎扎实实地深入每所院校、每名青年学子身边？</w:t>
            </w:r>
            <w:r>
              <w:rPr>
                <w:rFonts w:hint="default" w:ascii="仿宋_GB2312" w:hAnsi="仿宋_GB2312" w:eastAsia="仿宋_GB2312" w:cs="仿宋_GB2312"/>
                <w:color w:val="000000"/>
                <w:sz w:val="21"/>
                <w:szCs w:val="21"/>
                <w:lang w:val="en-US" w:eastAsia="zh-CN"/>
              </w:rPr>
              <w:t>这组报道提供了</w:t>
            </w:r>
            <w:r>
              <w:rPr>
                <w:rFonts w:hint="eastAsia" w:ascii="仿宋_GB2312" w:hAnsi="仿宋_GB2312" w:eastAsia="仿宋_GB2312" w:cs="仿宋_GB2312"/>
                <w:color w:val="000000"/>
                <w:sz w:val="21"/>
                <w:szCs w:val="21"/>
                <w:lang w:val="en-US" w:eastAsia="zh-CN"/>
              </w:rPr>
              <w:t>生动</w:t>
            </w:r>
            <w:r>
              <w:rPr>
                <w:rFonts w:hint="default" w:ascii="仿宋_GB2312" w:hAnsi="仿宋_GB2312" w:eastAsia="仿宋_GB2312" w:cs="仿宋_GB2312"/>
                <w:color w:val="000000"/>
                <w:sz w:val="21"/>
                <w:szCs w:val="21"/>
                <w:lang w:val="en-US" w:eastAsia="zh-CN"/>
              </w:rPr>
              <w:t>答案：</w:t>
            </w:r>
            <w:r>
              <w:rPr>
                <w:rFonts w:hint="eastAsia" w:ascii="仿宋_GB2312" w:hAnsi="仿宋_GB2312" w:eastAsia="仿宋_GB2312" w:cs="仿宋_GB2312"/>
                <w:color w:val="000000"/>
                <w:sz w:val="21"/>
                <w:szCs w:val="21"/>
                <w:lang w:val="en-US" w:eastAsia="zh-CN"/>
              </w:rPr>
              <w:t>一方面，聚焦身边人，讲好身边事。采编团队不谈“大道理”，只用一个个鲜活的案例鼓舞人、引导人。另一方面，打开新视野，用活新媒体。采编团队综合了文字、图片、视频等多种形式，既有传统纸质媒体的深度，又有融媒传播矩阵的温度，</w:t>
            </w:r>
            <w:r>
              <w:rPr>
                <w:rFonts w:hint="default" w:ascii="仿宋_GB2312" w:hAnsi="仿宋_GB2312" w:eastAsia="仿宋_GB2312" w:cs="仿宋_GB2312"/>
                <w:color w:val="000000"/>
                <w:sz w:val="21"/>
                <w:szCs w:val="21"/>
                <w:lang w:val="en-US" w:eastAsia="zh-CN"/>
              </w:rPr>
              <w:t>得到社会</w:t>
            </w:r>
            <w:r>
              <w:rPr>
                <w:rFonts w:hint="eastAsia" w:ascii="仿宋_GB2312" w:hAnsi="仿宋_GB2312" w:eastAsia="仿宋_GB2312" w:cs="仿宋_GB2312"/>
                <w:color w:val="000000"/>
                <w:sz w:val="21"/>
                <w:szCs w:val="21"/>
                <w:lang w:val="en-US" w:eastAsia="zh-CN"/>
              </w:rPr>
              <w:t>一致好评</w:t>
            </w:r>
            <w:r>
              <w:rPr>
                <w:rFonts w:hint="default" w:ascii="仿宋_GB2312" w:hAnsi="仿宋_GB2312" w:eastAsia="仿宋_GB2312" w:cs="仿宋_GB2312"/>
                <w:color w:val="000000"/>
                <w:sz w:val="21"/>
                <w:szCs w:val="21"/>
                <w:lang w:val="en-US" w:eastAsia="zh-CN"/>
              </w:rPr>
              <w:t>。</w:t>
            </w:r>
            <w:r>
              <w:rPr>
                <w:rFonts w:hint="default" w:ascii="仿宋_GB2312" w:hAnsi="仿宋_GB2312" w:eastAsia="仿宋_GB2312" w:cs="仿宋_GB2312"/>
                <w:color w:val="000000"/>
                <w:kern w:val="2"/>
                <w:sz w:val="21"/>
                <w:szCs w:val="21"/>
                <w:lang w:val="en-US" w:eastAsia="zh-CN" w:bidi="ar-SA"/>
              </w:rPr>
              <w:t>同意推荐。</w:t>
            </w:r>
          </w:p>
          <w:p>
            <w:pPr>
              <w:spacing w:line="360" w:lineRule="exact"/>
              <w:jc w:val="center"/>
              <w:rPr>
                <w:rFonts w:hint="eastAsia" w:ascii="华文中宋" w:hAnsi="华文中宋" w:eastAsia="华文中宋" w:cs="Times New Roman"/>
                <w:color w:val="000000"/>
                <w:spacing w:val="-2"/>
                <w:sz w:val="28"/>
              </w:rPr>
            </w:pPr>
          </w:p>
          <w:p>
            <w:pPr>
              <w:spacing w:line="360" w:lineRule="exact"/>
              <w:jc w:val="center"/>
              <w:rPr>
                <w:rFonts w:hint="eastAsia" w:ascii="华文中宋" w:hAnsi="华文中宋" w:eastAsia="华文中宋" w:cs="Times New Roman"/>
                <w:color w:val="000000"/>
                <w:spacing w:val="-2"/>
                <w:sz w:val="28"/>
              </w:rPr>
            </w:pPr>
          </w:p>
          <w:p>
            <w:pPr>
              <w:spacing w:line="360" w:lineRule="exact"/>
              <w:jc w:val="center"/>
              <w:rPr>
                <w:rFonts w:ascii="华文中宋" w:hAnsi="华文中宋" w:eastAsia="华文中宋" w:cs="Times New Roman"/>
                <w:color w:val="000000"/>
                <w:spacing w:val="-2"/>
                <w:sz w:val="28"/>
              </w:rPr>
            </w:pPr>
            <w:r>
              <w:rPr>
                <w:rFonts w:hint="eastAsia" w:ascii="华文中宋" w:hAnsi="华文中宋" w:eastAsia="华文中宋" w:cs="Times New Roman"/>
                <w:color w:val="000000"/>
                <w:spacing w:val="-2"/>
                <w:sz w:val="28"/>
              </w:rPr>
              <w:t xml:space="preserve">                      </w:t>
            </w:r>
          </w:p>
          <w:p>
            <w:pPr>
              <w:spacing w:line="360" w:lineRule="exact"/>
              <w:ind w:left="3360" w:leftChars="1600"/>
              <w:jc w:val="center"/>
              <w:rPr>
                <w:rFonts w:ascii="华文中宋" w:hAnsi="华文中宋" w:eastAsia="华文中宋" w:cs="Times New Roman"/>
                <w:color w:val="000000"/>
                <w:sz w:val="28"/>
              </w:rPr>
            </w:pPr>
            <w:r>
              <w:rPr>
                <w:rFonts w:hint="eastAsia" w:ascii="华文中宋" w:hAnsi="华文中宋" w:eastAsia="华文中宋" w:cs="Times New Roman"/>
                <w:color w:val="000000"/>
                <w:spacing w:val="-2"/>
                <w:sz w:val="28"/>
              </w:rPr>
              <w:t>签名：</w:t>
            </w:r>
            <w:r>
              <w:rPr>
                <w:rFonts w:hint="eastAsia" w:ascii="华文中宋" w:hAnsi="华文中宋" w:eastAsia="华文中宋" w:cs="Times New Roman"/>
                <w:color w:val="000000"/>
                <w:sz w:val="28"/>
              </w:rPr>
              <w:t>（盖单位公章）</w:t>
            </w:r>
          </w:p>
          <w:p>
            <w:pPr>
              <w:spacing w:line="360" w:lineRule="auto"/>
              <w:ind w:left="3360" w:leftChars="1600"/>
              <w:jc w:val="center"/>
              <w:rPr>
                <w:rFonts w:ascii="仿宋" w:hAnsi="仿宋" w:eastAsia="仿宋" w:cs="Times New Roman"/>
                <w:color w:val="000000"/>
                <w:sz w:val="24"/>
                <w:szCs w:val="21"/>
              </w:rPr>
            </w:pPr>
            <w:r>
              <w:rPr>
                <w:rFonts w:ascii="华文中宋" w:hAnsi="华文中宋" w:eastAsia="华文中宋" w:cs="Times New Roman"/>
                <w:color w:val="000000"/>
                <w:sz w:val="28"/>
              </w:rPr>
              <w:t>20</w:t>
            </w:r>
            <w:r>
              <w:rPr>
                <w:rFonts w:hint="eastAsia" w:ascii="华文中宋" w:hAnsi="华文中宋" w:eastAsia="华文中宋" w:cs="Times New Roman"/>
                <w:color w:val="000000"/>
                <w:sz w:val="28"/>
              </w:rPr>
              <w:t>2</w:t>
            </w:r>
            <w:r>
              <w:rPr>
                <w:rFonts w:hint="eastAsia" w:ascii="华文中宋" w:hAnsi="华文中宋" w:eastAsia="华文中宋" w:cs="Times New Roman"/>
                <w:color w:val="000000"/>
                <w:sz w:val="28"/>
                <w:lang w:val="en-US" w:eastAsia="zh-CN"/>
              </w:rPr>
              <w:t>6</w:t>
            </w:r>
            <w:r>
              <w:rPr>
                <w:rFonts w:ascii="华文中宋" w:hAnsi="华文中宋" w:eastAsia="华文中宋" w:cs="Times New Roman"/>
                <w:color w:val="000000"/>
                <w:sz w:val="28"/>
              </w:rPr>
              <w:t xml:space="preserve">年  </w:t>
            </w:r>
            <w:r>
              <w:rPr>
                <w:rFonts w:hint="eastAsia" w:ascii="华文中宋" w:hAnsi="华文中宋" w:eastAsia="华文中宋" w:cs="Times New Roman"/>
                <w:color w:val="000000"/>
                <w:sz w:val="28"/>
              </w:rPr>
              <w:t>月</w:t>
            </w:r>
            <w:r>
              <w:rPr>
                <w:rFonts w:ascii="华文中宋" w:hAnsi="华文中宋" w:eastAsia="华文中宋" w:cs="Times New Roman"/>
                <w:color w:val="000000"/>
                <w:sz w:val="28"/>
              </w:rPr>
              <w:t xml:space="preserve">  </w:t>
            </w:r>
            <w:r>
              <w:rPr>
                <w:rFonts w:hint="eastAsia" w:ascii="华文中宋" w:hAnsi="华文中宋" w:eastAsia="华文中宋" w:cs="Times New Roman"/>
                <w:color w:val="000000"/>
                <w:sz w:val="28"/>
              </w:rPr>
              <w:t>日</w:t>
            </w:r>
          </w:p>
        </w:tc>
      </w:tr>
      <w:tr>
        <w:tblPrEx>
          <w:tblBorders>
            <w:top w:val="none" w:color="auto" w:sz="0"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7" w:hRule="atLeast"/>
          <w:jc w:val="center"/>
        </w:trPr>
        <w:tc>
          <w:tcPr>
            <w:tcW w:w="1450" w:type="dxa"/>
            <w:tcBorders>
              <w:bottom w:val="single" w:color="auto" w:sz="4" w:space="0"/>
            </w:tcBorders>
            <w:vAlign w:val="center"/>
          </w:tcPr>
          <w:p>
            <w:pPr>
              <w:spacing w:line="340" w:lineRule="exact"/>
              <w:jc w:val="center"/>
              <w:rPr>
                <w:rFonts w:ascii="华文中宋" w:hAnsi="华文中宋" w:eastAsia="华文中宋" w:cs="Times New Roman"/>
                <w:color w:val="000000"/>
                <w:sz w:val="28"/>
              </w:rPr>
            </w:pPr>
            <w:bookmarkStart w:id="0" w:name="_GoBack" w:colFirst="1" w:colLast="3"/>
            <w:r>
              <w:rPr>
                <w:rFonts w:hint="eastAsia" w:ascii="华文中宋" w:hAnsi="华文中宋" w:eastAsia="华文中宋" w:cs="Times New Roman"/>
                <w:color w:val="000000"/>
                <w:sz w:val="28"/>
              </w:rPr>
              <w:t>联系人（作者）</w:t>
            </w:r>
          </w:p>
        </w:tc>
        <w:tc>
          <w:tcPr>
            <w:tcW w:w="2957" w:type="dxa"/>
            <w:gridSpan w:val="3"/>
            <w:tcBorders>
              <w:bottom w:val="single" w:color="auto" w:sz="4" w:space="0"/>
            </w:tcBorders>
            <w:vAlign w:val="center"/>
          </w:tcPr>
          <w:p>
            <w:pPr>
              <w:spacing w:line="360" w:lineRule="auto"/>
              <w:jc w:val="center"/>
              <w:rPr>
                <w:rFonts w:hint="default" w:ascii="华文中宋" w:hAnsi="华文中宋" w:eastAsia="华文中宋" w:cs="Times New Roman"/>
                <w:color w:val="000000"/>
                <w:sz w:val="28"/>
                <w:lang w:val="en-US" w:eastAsia="zh-CN"/>
              </w:rPr>
            </w:pPr>
            <w:r>
              <w:rPr>
                <w:rFonts w:hint="eastAsia" w:ascii="仿宋_GB2312" w:hAnsi="仿宋_GB2312" w:eastAsia="仿宋_GB2312" w:cs="仿宋_GB2312"/>
                <w:color w:val="000000"/>
                <w:sz w:val="21"/>
                <w:szCs w:val="21"/>
                <w:lang w:val="en-US" w:eastAsia="zh-CN"/>
              </w:rPr>
              <w:t>易曦霞</w:t>
            </w:r>
          </w:p>
        </w:tc>
        <w:tc>
          <w:tcPr>
            <w:tcW w:w="1137" w:type="dxa"/>
            <w:gridSpan w:val="2"/>
            <w:tcBorders>
              <w:bottom w:val="single" w:color="auto" w:sz="4" w:space="0"/>
            </w:tcBorders>
            <w:vAlign w:val="center"/>
          </w:tcPr>
          <w:p>
            <w:pPr>
              <w:spacing w:line="340" w:lineRule="exact"/>
              <w:jc w:val="center"/>
              <w:rPr>
                <w:rFonts w:ascii="华文中宋" w:hAnsi="华文中宋" w:eastAsia="华文中宋" w:cs="Times New Roman"/>
                <w:color w:val="000000"/>
                <w:sz w:val="28"/>
              </w:rPr>
            </w:pPr>
            <w:r>
              <w:rPr>
                <w:rFonts w:hint="eastAsia" w:ascii="华文中宋" w:hAnsi="华文中宋" w:eastAsia="华文中宋" w:cs="Times New Roman"/>
                <w:color w:val="000000"/>
                <w:sz w:val="28"/>
              </w:rPr>
              <w:t>手机</w:t>
            </w:r>
          </w:p>
        </w:tc>
        <w:tc>
          <w:tcPr>
            <w:tcW w:w="4080" w:type="dxa"/>
            <w:gridSpan w:val="2"/>
            <w:tcBorders>
              <w:bottom w:val="single" w:color="auto" w:sz="4" w:space="0"/>
            </w:tcBorders>
            <w:vAlign w:val="center"/>
          </w:tcPr>
          <w:p>
            <w:pPr>
              <w:spacing w:line="340" w:lineRule="exact"/>
              <w:jc w:val="center"/>
              <w:rPr>
                <w:rFonts w:hint="default" w:ascii="华文中宋" w:hAnsi="华文中宋" w:eastAsia="华文中宋" w:cs="Times New Roman"/>
                <w:color w:val="000000"/>
                <w:sz w:val="28"/>
                <w:lang w:val="en-US" w:eastAsia="zh-CN"/>
              </w:rPr>
            </w:pPr>
            <w:r>
              <w:rPr>
                <w:rFonts w:hint="eastAsia" w:ascii="仿宋_GB2312" w:hAnsi="仿宋_GB2312" w:eastAsia="仿宋_GB2312" w:cs="仿宋_GB2312"/>
                <w:color w:val="000000"/>
                <w:sz w:val="21"/>
                <w:szCs w:val="21"/>
                <w:lang w:val="en-US" w:eastAsia="zh-CN"/>
              </w:rPr>
              <w:t>15575936308</w:t>
            </w:r>
          </w:p>
        </w:tc>
      </w:tr>
      <w:bookmarkEnd w:id="0"/>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6BB2AA5-762D-4E15-9897-B1755702450F}"/>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embedRegular r:id="rId2" w:fontKey="{59913197-FF46-41A9-A810-E8271D9E3134}"/>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embedRegular r:id="rId3" w:fontKey="{FBC37F39-100A-4CFA-9D31-E4D163886835}"/>
  </w:font>
  <w:font w:name="华文中宋">
    <w:panose1 w:val="02010600040101010101"/>
    <w:charset w:val="86"/>
    <w:family w:val="auto"/>
    <w:pitch w:val="default"/>
    <w:sig w:usb0="00000287" w:usb1="080F0000" w:usb2="00000000" w:usb3="00000000" w:csb0="0004009F" w:csb1="DFD70000"/>
    <w:embedRegular r:id="rId4" w:fontKey="{BAD8951A-F7C5-4B77-A1ED-F207F98D447E}"/>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U0OTA2YmE0NmRiMmNhZDI0M2JlMmUwNGUxMWU2Y2QifQ=="/>
  </w:docVars>
  <w:rsids>
    <w:rsidRoot w:val="00000000"/>
    <w:rsid w:val="02DF2C30"/>
    <w:rsid w:val="054B5C29"/>
    <w:rsid w:val="05A0746B"/>
    <w:rsid w:val="06287461"/>
    <w:rsid w:val="096C0223"/>
    <w:rsid w:val="09727863"/>
    <w:rsid w:val="09965645"/>
    <w:rsid w:val="0C0B13B7"/>
    <w:rsid w:val="0DDA4BCC"/>
    <w:rsid w:val="11E3705D"/>
    <w:rsid w:val="14BE790E"/>
    <w:rsid w:val="14E86F37"/>
    <w:rsid w:val="1BEC6B0F"/>
    <w:rsid w:val="22F07247"/>
    <w:rsid w:val="26696883"/>
    <w:rsid w:val="26D3121C"/>
    <w:rsid w:val="28301BE1"/>
    <w:rsid w:val="3628478F"/>
    <w:rsid w:val="37AE3CE1"/>
    <w:rsid w:val="3B26520B"/>
    <w:rsid w:val="3B9B7FE9"/>
    <w:rsid w:val="3CD16428"/>
    <w:rsid w:val="3E775DB9"/>
    <w:rsid w:val="45E058CD"/>
    <w:rsid w:val="45FD79E7"/>
    <w:rsid w:val="47464014"/>
    <w:rsid w:val="4A1930E3"/>
    <w:rsid w:val="4AA03036"/>
    <w:rsid w:val="4DDF05BB"/>
    <w:rsid w:val="4DEB2144"/>
    <w:rsid w:val="56EB388B"/>
    <w:rsid w:val="5A4412E8"/>
    <w:rsid w:val="5B134DB5"/>
    <w:rsid w:val="62A77858"/>
    <w:rsid w:val="6A746746"/>
    <w:rsid w:val="6DA46816"/>
    <w:rsid w:val="6DA866E4"/>
    <w:rsid w:val="6F1760C3"/>
    <w:rsid w:val="71334DC6"/>
    <w:rsid w:val="73915287"/>
    <w:rsid w:val="73DC213A"/>
    <w:rsid w:val="752020B7"/>
    <w:rsid w:val="78B671C6"/>
    <w:rsid w:val="79406E3D"/>
    <w:rsid w:val="7E8A55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1"/>
    <w:rPr>
      <w:rFonts w:ascii="仿宋" w:hAnsi="仿宋" w:eastAsia="仿宋" w:cs="仿宋"/>
      <w:sz w:val="32"/>
      <w:szCs w:val="32"/>
      <w:lang w:val="en-US" w:eastAsia="zh-CN" w:bidi="ar-SA"/>
    </w:rPr>
  </w:style>
  <w:style w:type="character" w:styleId="6">
    <w:name w:val="Emphasis"/>
    <w:basedOn w:val="5"/>
    <w:qFormat/>
    <w:uiPriority w:val="0"/>
    <w:rPr>
      <w:i/>
    </w:rPr>
  </w:style>
  <w:style w:type="character" w:styleId="7">
    <w:name w:val="Hyperlink"/>
    <w:basedOn w:val="5"/>
    <w:qFormat/>
    <w:uiPriority w:val="0"/>
    <w:rPr>
      <w:color w:val="0000FF"/>
      <w:u w:val="single"/>
    </w:rPr>
  </w:style>
  <w:style w:type="paragraph" w:customStyle="1" w:styleId="8">
    <w:name w:val="Table Text"/>
    <w:basedOn w:val="1"/>
    <w:semiHidden/>
    <w:qFormat/>
    <w:uiPriority w:val="0"/>
    <w:rPr>
      <w:rFonts w:ascii="宋体" w:hAnsi="宋体" w:eastAsia="宋体" w:cs="宋体"/>
      <w:sz w:val="18"/>
      <w:szCs w:val="18"/>
      <w:lang w:val="en-US" w:eastAsia="en-US" w:bidi="ar-SA"/>
    </w:rPr>
  </w:style>
  <w:style w:type="table" w:customStyle="1" w:styleId="9">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1227</Words>
  <Characters>1654</Characters>
  <Lines>0</Lines>
  <Paragraphs>0</Paragraphs>
  <TotalTime>35</TotalTime>
  <ScaleCrop>false</ScaleCrop>
  <LinksUpToDate>false</LinksUpToDate>
  <CharactersWithSpaces>1690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2025-02-26T06:53:00Z</dcterms:created>
  <dc:creator>LENOVO</dc:creator>
  <cp:lastModifiedBy>曦</cp:lastModifiedBy>
  <dcterms:modified xsi:type="dcterms:W3CDTF">2026-03-02T09:16:15Z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KSOTemplateDocerSaveRecord">
    <vt:lpwstr>eyJoZGlkIjoiN2FiOGYwYTNhNjQwMjExNzY2ZTdiMGI3ZDM5ODk4NWYiLCJ1c2VySWQiOiIyMzA3MzAzNTQifQ==</vt:lpwstr>
  </property>
  <property fmtid="{D5CDD505-2E9C-101B-9397-08002B2CF9AE}" pid="4" name="ICV">
    <vt:lpwstr>C8E4E0AE7F304996ABEE7B2D9591E67E</vt:lpwstr>
  </property>
</Properties>
</file>