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62C0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长沙新闻奖参评作品推荐表</w:t>
      </w:r>
    </w:p>
    <w:tbl>
      <w:tblPr>
        <w:tblStyle w:val="3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580"/>
        <w:gridCol w:w="477"/>
        <w:gridCol w:w="660"/>
        <w:gridCol w:w="390"/>
        <w:gridCol w:w="1350"/>
        <w:gridCol w:w="2340"/>
      </w:tblGrid>
      <w:tr w14:paraId="04CE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3B743312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作品标题</w:t>
            </w:r>
          </w:p>
        </w:tc>
        <w:tc>
          <w:tcPr>
            <w:tcW w:w="4484" w:type="dxa"/>
            <w:gridSpan w:val="5"/>
            <w:vMerge w:val="restart"/>
            <w:noWrap w:val="0"/>
            <w:vAlign w:val="center"/>
          </w:tcPr>
          <w:p w14:paraId="1BF1459A">
            <w:pPr>
              <w:spacing w:line="26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《长沙城区400米高峰通上自来水》</w:t>
            </w:r>
          </w:p>
        </w:tc>
        <w:tc>
          <w:tcPr>
            <w:tcW w:w="1350" w:type="dxa"/>
            <w:noWrap w:val="0"/>
            <w:vAlign w:val="center"/>
          </w:tcPr>
          <w:p w14:paraId="4DF2182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2340" w:type="dxa"/>
            <w:noWrap w:val="0"/>
            <w:vAlign w:val="center"/>
          </w:tcPr>
          <w:p w14:paraId="457D2810">
            <w:pPr>
              <w:spacing w:line="260" w:lineRule="exact"/>
              <w:jc w:val="both"/>
              <w:rPr>
                <w:rFonts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消息</w:t>
            </w:r>
          </w:p>
        </w:tc>
      </w:tr>
      <w:tr w14:paraId="4B9B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559CCCE1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4" w:type="dxa"/>
            <w:gridSpan w:val="5"/>
            <w:vMerge w:val="continue"/>
            <w:noWrap w:val="0"/>
            <w:vAlign w:val="center"/>
          </w:tcPr>
          <w:p w14:paraId="3861604E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F3ED5CE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2340" w:type="dxa"/>
            <w:noWrap w:val="0"/>
            <w:vAlign w:val="center"/>
          </w:tcPr>
          <w:p w14:paraId="4B35C97C">
            <w:pPr>
              <w:spacing w:line="260" w:lineRule="exact"/>
              <w:jc w:val="both"/>
              <w:rPr>
                <w:rFonts w:ascii="仿宋_GB2312" w:hAnsi="仿宋" w:eastAsia="仿宋_GB2312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消息</w:t>
            </w:r>
          </w:p>
        </w:tc>
      </w:tr>
      <w:tr w14:paraId="54DF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2F29966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4" w:type="dxa"/>
            <w:gridSpan w:val="5"/>
            <w:vMerge w:val="continue"/>
            <w:noWrap w:val="0"/>
            <w:vAlign w:val="center"/>
          </w:tcPr>
          <w:p w14:paraId="0AE71053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21C5AC2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2340" w:type="dxa"/>
            <w:noWrap w:val="0"/>
            <w:vAlign w:val="center"/>
          </w:tcPr>
          <w:p w14:paraId="3B69360F">
            <w:pPr>
              <w:spacing w:line="240" w:lineRule="atLeast"/>
              <w:jc w:val="both"/>
              <w:rPr>
                <w:rFonts w:hint="default" w:ascii="仿宋_GB2312" w:hAnsi="Times New Roman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中文</w:t>
            </w:r>
          </w:p>
        </w:tc>
      </w:tr>
      <w:tr w14:paraId="45F5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50" w:type="dxa"/>
            <w:noWrap w:val="0"/>
            <w:vAlign w:val="center"/>
          </w:tcPr>
          <w:p w14:paraId="2392504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081FDC5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 w14:paraId="6F60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集体（黄称忠 曾柏文 孟春石 张激扬 龙宇 周佳慧 苏国斌）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4DC239B7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 w14:paraId="3A090A2F">
            <w:pPr>
              <w:spacing w:line="240" w:lineRule="exact"/>
              <w:jc w:val="left"/>
              <w:rPr>
                <w:rFonts w:hint="eastAsia" w:ascii="仿宋" w:hAnsi="仿宋" w:eastAsia="仿宋"/>
                <w:color w:val="000000"/>
                <w:w w:val="95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龙宇</w:t>
            </w:r>
          </w:p>
        </w:tc>
      </w:tr>
      <w:tr w14:paraId="50E4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50" w:type="dxa"/>
            <w:noWrap w:val="0"/>
            <w:vAlign w:val="center"/>
          </w:tcPr>
          <w:p w14:paraId="053DB1ED">
            <w:pPr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 w14:paraId="0C35B470">
            <w:pPr>
              <w:spacing w:line="260" w:lineRule="exact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长沙市望城区融媒体中心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33EE3AF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 w14:paraId="658A26FD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长沙市望城区融媒体中心</w:t>
            </w:r>
          </w:p>
        </w:tc>
      </w:tr>
      <w:tr w14:paraId="34DB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  <w:jc w:val="center"/>
        </w:trPr>
        <w:tc>
          <w:tcPr>
            <w:tcW w:w="1450" w:type="dxa"/>
            <w:noWrap w:val="0"/>
            <w:vAlign w:val="center"/>
          </w:tcPr>
          <w:p w14:paraId="12567FB0"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3434" w:type="dxa"/>
            <w:gridSpan w:val="3"/>
            <w:noWrap w:val="0"/>
            <w:vAlign w:val="center"/>
          </w:tcPr>
          <w:p w14:paraId="7AE610BF">
            <w:pPr>
              <w:spacing w:line="260" w:lineRule="exact"/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望城新闻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》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74148EE9"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3690" w:type="dxa"/>
            <w:gridSpan w:val="2"/>
            <w:noWrap w:val="0"/>
            <w:vAlign w:val="center"/>
          </w:tcPr>
          <w:p w14:paraId="7CD0F659">
            <w:pPr>
              <w:spacing w:line="260" w:lineRule="exact"/>
              <w:jc w:val="left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6日</w:t>
            </w:r>
          </w:p>
        </w:tc>
      </w:tr>
      <w:tr w14:paraId="66FD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  <w:jc w:val="center"/>
        </w:trPr>
        <w:tc>
          <w:tcPr>
            <w:tcW w:w="2827" w:type="dxa"/>
            <w:gridSpan w:val="2"/>
            <w:noWrap w:val="0"/>
            <w:vAlign w:val="center"/>
          </w:tcPr>
          <w:p w14:paraId="20394317">
            <w:pPr>
              <w:spacing w:line="34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6"/>
            <w:noWrap w:val="0"/>
            <w:vAlign w:val="center"/>
          </w:tcPr>
          <w:p w14:paraId="477B1BF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4ECF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  <w:jc w:val="center"/>
        </w:trPr>
        <w:tc>
          <w:tcPr>
            <w:tcW w:w="1450" w:type="dxa"/>
            <w:noWrap w:val="0"/>
            <w:vAlign w:val="center"/>
          </w:tcPr>
          <w:p w14:paraId="1758B9E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5B2225C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0134B01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3C7DDEA9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663B16B3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538D0C24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44FF7E9E">
            <w:pPr>
              <w:ind w:firstLine="480" w:firstLineChars="200"/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百姓饮水安全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总书记始终挂念在心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  <w:bookmarkStart w:id="0" w:name="OLE_LINK1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十四五期间，望城农村自来水</w:t>
            </w:r>
            <w:bookmarkEnd w:id="0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建设取得了令人瞩目的成绩。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本作品以“长沙城区最高峰通上自来水”为切入点，以小见大，记录了一段“水往高处流”的民生攻坚故事。</w:t>
            </w:r>
            <w:r>
              <w:rPr>
                <w:rFonts w:hint="default" w:ascii="宋体" w:hAnsi="宋体" w:cs="宋体"/>
                <w:color w:val="000000"/>
                <w:sz w:val="24"/>
              </w:rPr>
              <w:t>作品将宏大主题微观落地，以山区村民用水状况的具体转变，折射出“十四五”时期农村供水保障与乡村振兴战略的扎实成效。</w:t>
            </w:r>
          </w:p>
          <w:p w14:paraId="43B2D67F">
            <w:pPr>
              <w:ind w:firstLine="480" w:firstLineChars="200"/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在采编过程中，团队多次前往黑麋峰村，进行实地跟踪记录。我们跟随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水利局和自来水厂工作人员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了解在复杂条件下铺设管网的难点；走访村中多户家庭，倾听他们以往“靠天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喝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水”的实际困难与通水后生活发生的具体变化。整个过程注重客观记录，力求真实反映工程之不易与民心之所向。</w:t>
            </w:r>
          </w:p>
        </w:tc>
      </w:tr>
      <w:tr w14:paraId="0E9A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exact"/>
          <w:jc w:val="center"/>
        </w:trPr>
        <w:tc>
          <w:tcPr>
            <w:tcW w:w="1450" w:type="dxa"/>
            <w:noWrap w:val="0"/>
            <w:vAlign w:val="center"/>
          </w:tcPr>
          <w:p w14:paraId="4E8467BB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1EAA8C07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2573DAFF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4121415E">
            <w:pPr>
              <w:snapToGrid w:val="0"/>
              <w:spacing w:line="2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4E30E414">
            <w:pPr>
              <w:ind w:firstLine="480" w:firstLineChars="200"/>
              <w:jc w:val="both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default" w:ascii="宋体" w:hAnsi="宋体" w:cs="宋体"/>
                <w:color w:val="000000"/>
                <w:sz w:val="24"/>
              </w:rPr>
              <w:t>作品播出后，引发了广泛的社会共鸣与积极反响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省市媒体广泛报道</w:t>
            </w:r>
            <w:r>
              <w:rPr>
                <w:rFonts w:hint="default" w:ascii="宋体" w:hAnsi="宋体" w:cs="宋体"/>
                <w:color w:val="000000"/>
                <w:sz w:val="24"/>
              </w:rPr>
              <w:t>。首先，黑麋峰村村民的故事，成为诠释“民心工程”的鲜活案例，激发了公众对乡村振兴成就的自豪感。其次，报道形成了良好的示范效应与舆论推动力。节目不仅记录了成果，更深入剖析了攻坚过程中的方法与智慧，为其他面临类似问题的地区提供了可借鉴的经验。</w:t>
            </w:r>
          </w:p>
        </w:tc>
      </w:tr>
      <w:tr w14:paraId="5334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exact"/>
          <w:jc w:val="center"/>
        </w:trPr>
        <w:tc>
          <w:tcPr>
            <w:tcW w:w="1450" w:type="dxa"/>
            <w:noWrap w:val="0"/>
            <w:vAlign w:val="center"/>
          </w:tcPr>
          <w:p w14:paraId="255C0656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20A700B9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3DC2D7A5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7CF450C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6570C60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3EC17C2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7"/>
            <w:noWrap w:val="0"/>
            <w:vAlign w:val="center"/>
          </w:tcPr>
          <w:p w14:paraId="27707BE1">
            <w:pPr>
              <w:ind w:firstLine="480" w:firstLineChars="200"/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FB21494">
            <w:pPr>
              <w:ind w:firstLine="480" w:firstLineChars="200"/>
              <w:jc w:val="both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该作品采访扎实，叙事生动富有感染力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内涵深刻，凸显“民心政治”本质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是一部兼具新闻价值、社会温度的报道。</w:t>
            </w:r>
          </w:p>
          <w:p w14:paraId="62A1AA09">
            <w:pPr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</w:t>
            </w:r>
          </w:p>
          <w:p w14:paraId="71C0F125">
            <w:pPr>
              <w:spacing w:line="360" w:lineRule="exact"/>
              <w:ind w:left="3360" w:leftChars="160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586BA9A2">
            <w:pPr>
              <w:spacing w:line="360" w:lineRule="auto"/>
              <w:ind w:left="3360" w:leftChars="1600"/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6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bookmarkStart w:id="1" w:name="_GoBack"/>
            <w:bookmarkEnd w:id="1"/>
          </w:p>
        </w:tc>
      </w:tr>
      <w:tr w14:paraId="0996D1B3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5C84AC76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联系人（作者）</w:t>
            </w:r>
          </w:p>
        </w:tc>
        <w:tc>
          <w:tcPr>
            <w:tcW w:w="29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4C5F65">
            <w:pPr>
              <w:spacing w:line="360" w:lineRule="auto"/>
              <w:jc w:val="both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周佳慧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B25725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4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7EC3DBD">
            <w:pPr>
              <w:spacing w:line="340" w:lineRule="exact"/>
              <w:jc w:val="both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15802529411</w:t>
            </w:r>
          </w:p>
        </w:tc>
      </w:tr>
    </w:tbl>
    <w:p w14:paraId="13F3AA2D">
      <w:pPr>
        <w:spacing w:line="20" w:lineRule="atLeast"/>
        <w:rPr>
          <w:rFonts w:ascii="华文仿宋" w:hAnsi="华文仿宋" w:eastAsia="华文仿宋"/>
          <w:color w:val="000000"/>
          <w:sz w:val="24"/>
          <w:szCs w:val="32"/>
        </w:rPr>
        <w:sectPr>
          <w:pgSz w:w="11906" w:h="16838"/>
          <w:pgMar w:top="1440" w:right="1247" w:bottom="1440" w:left="1247" w:header="851" w:footer="1418" w:gutter="0"/>
          <w:pgNumType w:fmt="numberInDash"/>
          <w:cols w:space="720" w:num="1"/>
          <w:docGrid w:type="lines" w:linePitch="312" w:charSpace="0"/>
        </w:sectPr>
      </w:pPr>
    </w:p>
    <w:p w14:paraId="6DDCDD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NzZmZjYwMGU1NTI3NDAwZmFkNDEyZWYwNWY5Y2IifQ=="/>
  </w:docVars>
  <w:rsids>
    <w:rsidRoot w:val="00000000"/>
    <w:rsid w:val="04B2316F"/>
    <w:rsid w:val="06B548C2"/>
    <w:rsid w:val="09082D62"/>
    <w:rsid w:val="09970B85"/>
    <w:rsid w:val="11457119"/>
    <w:rsid w:val="1202500A"/>
    <w:rsid w:val="1A55688A"/>
    <w:rsid w:val="1AD12079"/>
    <w:rsid w:val="1AD559B1"/>
    <w:rsid w:val="1E34479D"/>
    <w:rsid w:val="1F457A27"/>
    <w:rsid w:val="1F4E5D32"/>
    <w:rsid w:val="20CA3197"/>
    <w:rsid w:val="26466D95"/>
    <w:rsid w:val="2A573CED"/>
    <w:rsid w:val="2C4604BD"/>
    <w:rsid w:val="2FDB2CCA"/>
    <w:rsid w:val="30A9058E"/>
    <w:rsid w:val="32180206"/>
    <w:rsid w:val="3356384F"/>
    <w:rsid w:val="36FA25D0"/>
    <w:rsid w:val="38EA6674"/>
    <w:rsid w:val="38F359B6"/>
    <w:rsid w:val="3B9B4A46"/>
    <w:rsid w:val="3FB86B84"/>
    <w:rsid w:val="458A2D71"/>
    <w:rsid w:val="46A57BF5"/>
    <w:rsid w:val="487D4E0F"/>
    <w:rsid w:val="49090DD2"/>
    <w:rsid w:val="4C2757BD"/>
    <w:rsid w:val="4D137AF0"/>
    <w:rsid w:val="4DF86401"/>
    <w:rsid w:val="5C515F3F"/>
    <w:rsid w:val="5CA30537"/>
    <w:rsid w:val="5DD55A1C"/>
    <w:rsid w:val="5EBB7FE7"/>
    <w:rsid w:val="5F926F9A"/>
    <w:rsid w:val="5FE84E0C"/>
    <w:rsid w:val="648B3FB8"/>
    <w:rsid w:val="65544F71"/>
    <w:rsid w:val="65E475EA"/>
    <w:rsid w:val="660316DA"/>
    <w:rsid w:val="6B144D07"/>
    <w:rsid w:val="6D273F5B"/>
    <w:rsid w:val="73CA68AB"/>
    <w:rsid w:val="7BFE1024"/>
    <w:rsid w:val="7C6B6751"/>
    <w:rsid w:val="7E8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697</Characters>
  <Lines>0</Lines>
  <Paragraphs>0</Paragraphs>
  <TotalTime>66</TotalTime>
  <ScaleCrop>false</ScaleCrop>
  <LinksUpToDate>false</LinksUpToDate>
  <CharactersWithSpaces>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2026-01-20T02:02:00Z</dcterms:created>
  <dc:creator>Z</dc:creator>
  <cp:lastModifiedBy>史旺</cp:lastModifiedBy>
  <dcterms:modified xsi:type="dcterms:W3CDTF">2026-01-20T06:55:48Z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76E2DB50743C4DF99A075872E03286CA_12</vt:lpwstr>
  </property>
  <property fmtid="{D5CDD505-2E9C-101B-9397-08002B2CF9AE}" pid="4" name="KSOTemplateDocerSaveRecord">
    <vt:lpwstr>eyJoZGlkIjoiMWZhNTFmMmUyNmE2MzI1MTFkN2QyMWNhY2ZjMzczZmUiLCJ1c2VySWQiOiIxNDgwNjM0NjI2In0=</vt:lpwstr>
  </property>
</Properties>
</file>