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10BF0">
      <w:pPr>
        <w:numPr>
          <w:numId w:val="0"/>
        </w:numPr>
        <w:jc w:val="center"/>
        <w:rPr>
          <w:rFonts w:hint="default" w:ascii="Times New Roman" w:hAnsi="Times New Roman" w:eastAsia="方正仿宋_GB2312" w:cs="Times New Roman"/>
          <w:b/>
          <w:bCs/>
          <w:color w:val="auto"/>
          <w:sz w:val="44"/>
          <w:szCs w:val="44"/>
          <w:lang w:val="en-US" w:eastAsia="zh-CN"/>
        </w:rPr>
      </w:pPr>
      <w:r>
        <w:rPr>
          <w:rFonts w:hint="eastAsia" w:ascii="Times New Roman" w:hAnsi="Times New Roman" w:eastAsia="方正仿宋_GB2312" w:cs="Times New Roman"/>
          <w:b/>
          <w:bCs/>
          <w:color w:val="auto"/>
          <w:sz w:val="44"/>
          <w:szCs w:val="44"/>
          <w:lang w:val="en-US" w:eastAsia="zh-CN"/>
        </w:rPr>
        <w:t>改良SBR设备</w:t>
      </w:r>
      <w:r>
        <w:rPr>
          <w:rFonts w:hint="default" w:ascii="Times New Roman" w:hAnsi="Times New Roman" w:eastAsia="方正仿宋_GB2312" w:cs="Times New Roman"/>
          <w:b/>
          <w:bCs/>
          <w:color w:val="auto"/>
          <w:sz w:val="44"/>
          <w:szCs w:val="44"/>
        </w:rPr>
        <w:t>采购清单</w:t>
      </w:r>
      <w:r>
        <w:rPr>
          <w:rFonts w:hint="eastAsia" w:ascii="Times New Roman" w:hAnsi="Times New Roman" w:eastAsia="方正仿宋_GB2312" w:cs="Times New Roman"/>
          <w:b/>
          <w:bCs/>
          <w:color w:val="auto"/>
          <w:sz w:val="44"/>
          <w:szCs w:val="44"/>
          <w:lang w:val="en-US" w:eastAsia="zh-CN"/>
        </w:rPr>
        <w:t>及技术要求</w:t>
      </w:r>
    </w:p>
    <w:p w14:paraId="4B33C3A6">
      <w:pPr>
        <w:widowControl w:val="0"/>
        <w:numPr>
          <w:ilvl w:val="0"/>
          <w:numId w:val="0"/>
        </w:numPr>
        <w:spacing w:line="360" w:lineRule="auto"/>
        <w:ind w:left="482" w:leftChars="0"/>
        <w:jc w:val="left"/>
        <w:outlineLvl w:val="3"/>
        <w:rPr>
          <w:rFonts w:hint="default" w:ascii="方正仿宋_GB2312" w:hAnsi="方正仿宋_GB2312" w:eastAsia="方正仿宋_GB2312" w:cs="方正仿宋_GB2312"/>
          <w:b/>
          <w:bCs/>
          <w:color w:val="auto"/>
          <w:kern w:val="2"/>
          <w:sz w:val="32"/>
          <w:szCs w:val="32"/>
          <w:highlight w:val="none"/>
          <w:lang w:val="en-US" w:eastAsia="zh-CN" w:bidi="ar-SA"/>
        </w:rPr>
      </w:pPr>
      <w:r>
        <w:rPr>
          <w:rFonts w:hint="default" w:ascii="方正仿宋_GB2312" w:hAnsi="方正仿宋_GB2312" w:eastAsia="方正仿宋_GB2312" w:cs="方正仿宋_GB2312"/>
          <w:b/>
          <w:bCs/>
          <w:color w:val="auto"/>
          <w:kern w:val="2"/>
          <w:sz w:val="32"/>
          <w:szCs w:val="32"/>
          <w:highlight w:val="none"/>
          <w:lang w:val="en-US" w:eastAsia="zh-CN" w:bidi="ar-SA"/>
        </w:rPr>
        <w:t>（一）采购内容</w:t>
      </w:r>
    </w:p>
    <w:p w14:paraId="7126EA6B">
      <w:pPr>
        <w:numPr>
          <w:ilvl w:val="0"/>
          <w:numId w:val="2"/>
        </w:numPr>
        <w:ind w:firstLine="640" w:firstLineChars="200"/>
        <w:rPr>
          <w:rFonts w:hint="eastAsia" w:ascii="黑体" w:hAnsi="黑体" w:eastAsia="黑体" w:cs="黑体"/>
          <w:color w:val="auto"/>
          <w:sz w:val="32"/>
          <w:szCs w:val="32"/>
          <w:lang w:val="en-US" w:eastAsia="zh-CN"/>
        </w:rPr>
      </w:pPr>
      <w:r>
        <w:rPr>
          <w:rFonts w:hint="default" w:ascii="Times New Roman" w:hAnsi="Times New Roman" w:eastAsia="方正仿宋_GB2312" w:cs="Times New Roman"/>
          <w:color w:val="auto"/>
          <w:sz w:val="32"/>
          <w:szCs w:val="32"/>
        </w:rPr>
        <w:t>采购内容：改良SBR生化反应池，为工艺包成套设备采购供货，涵盖系统设计优化、配</w:t>
      </w:r>
      <w:bookmarkStart w:id="0" w:name="_GoBack"/>
      <w:r>
        <w:rPr>
          <w:rFonts w:hint="default" w:ascii="Times New Roman" w:hAnsi="Times New Roman" w:eastAsia="方正仿宋_GB2312" w:cs="Times New Roman"/>
          <w:color w:val="auto"/>
          <w:sz w:val="32"/>
          <w:szCs w:val="32"/>
        </w:rPr>
        <w:t>套设备采购及整体集成，由投标人成套供货、提供指导安装</w:t>
      </w:r>
      <w:bookmarkEnd w:id="0"/>
      <w:r>
        <w:rPr>
          <w:rFonts w:hint="default" w:ascii="Times New Roman" w:hAnsi="Times New Roman" w:eastAsia="方正仿宋_GB2312" w:cs="Times New Roman"/>
          <w:color w:val="auto"/>
          <w:sz w:val="32"/>
          <w:szCs w:val="32"/>
        </w:rPr>
        <w:t>调试及必要的技术服务，确保并承诺达到项目性能要求。</w:t>
      </w:r>
    </w:p>
    <w:p w14:paraId="26A32188">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ascii="黑体" w:hAnsi="黑体" w:eastAsia="黑体" w:cs="黑体"/>
          <w:color w:val="auto"/>
          <w:sz w:val="32"/>
          <w:szCs w:val="32"/>
          <w:lang w:val="en-US" w:eastAsia="zh-CN"/>
        </w:rPr>
      </w:pPr>
      <w:r>
        <w:rPr>
          <w:rFonts w:hint="default" w:ascii="Times New Roman" w:hAnsi="Times New Roman" w:eastAsia="方正仿宋_GB2312" w:cs="Times New Roman"/>
          <w:color w:val="auto"/>
          <w:sz w:val="32"/>
          <w:szCs w:val="32"/>
        </w:rPr>
        <w:t>改良SBR生化反应池内集成6大系统，包含改良SBR高效生物反应器、深池均质混合系统、深池环流曝气系统、菌群强化补给系统、自适应出水收集系统及智能控制系统。其主体结构池壁、内部设备及其附属设施，均由投标人自行深化设计，最终设计形式、设备及管材等以投标人为准，投标人所提供工艺包须满足生产运行的要求。</w:t>
      </w:r>
    </w:p>
    <w:p w14:paraId="68AD6613">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default"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rPr>
        <w:t>改良SBR生化反应池的供货边界：</w:t>
      </w:r>
    </w:p>
    <w:p w14:paraId="2CF2CEDF">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default"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rPr>
        <w:t>（1）</w:t>
      </w:r>
      <w:r>
        <w:rPr>
          <w:rFonts w:hint="eastAsia" w:ascii="Times New Roman" w:hAnsi="Times New Roman" w:eastAsia="方正仿宋_GB2312" w:cs="Times New Roman"/>
          <w:color w:val="auto"/>
          <w:sz w:val="32"/>
          <w:szCs w:val="32"/>
        </w:rPr>
        <w:tab/>
      </w:r>
      <w:r>
        <w:rPr>
          <w:rFonts w:hint="eastAsia" w:ascii="Times New Roman" w:hAnsi="Times New Roman" w:eastAsia="方正仿宋_GB2312" w:cs="Times New Roman"/>
          <w:color w:val="auto"/>
          <w:sz w:val="32"/>
          <w:szCs w:val="32"/>
        </w:rPr>
        <w:t>设备界限：以生化池系统进出口接口为界，界限范围内的设备、管道（水、气、泥、加药）及支架的供货、运输、卸货、安装、调试，混凝土基础及预埋件除外。</w:t>
      </w:r>
    </w:p>
    <w:p w14:paraId="038820C9">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default"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rPr>
        <w:t>（2）</w:t>
      </w:r>
      <w:r>
        <w:rPr>
          <w:rFonts w:hint="eastAsia" w:ascii="Times New Roman" w:hAnsi="Times New Roman" w:eastAsia="方正仿宋_GB2312" w:cs="Times New Roman"/>
          <w:color w:val="auto"/>
          <w:sz w:val="32"/>
          <w:szCs w:val="32"/>
        </w:rPr>
        <w:tab/>
      </w:r>
      <w:r>
        <w:rPr>
          <w:rFonts w:hint="eastAsia" w:ascii="Times New Roman" w:hAnsi="Times New Roman" w:eastAsia="方正仿宋_GB2312" w:cs="Times New Roman"/>
          <w:color w:val="auto"/>
          <w:sz w:val="32"/>
          <w:szCs w:val="32"/>
        </w:rPr>
        <w:t>电气界限：以生化池进线柜进线端子为界，生化池内所有设备、风机、空压机的控制柜及生化池进线柜至各设备之间的出线电缆及桥架，由投标人深化设计及供货。</w:t>
      </w:r>
    </w:p>
    <w:p w14:paraId="1903EBC2">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default"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rPr>
        <w:t>（3）</w:t>
      </w:r>
      <w:r>
        <w:rPr>
          <w:rFonts w:hint="eastAsia" w:ascii="Times New Roman" w:hAnsi="Times New Roman" w:eastAsia="方正仿宋_GB2312" w:cs="Times New Roman"/>
          <w:color w:val="auto"/>
          <w:sz w:val="32"/>
          <w:szCs w:val="32"/>
        </w:rPr>
        <w:tab/>
      </w:r>
      <w:r>
        <w:rPr>
          <w:rFonts w:hint="eastAsia" w:ascii="Times New Roman" w:hAnsi="Times New Roman" w:eastAsia="方正仿宋_GB2312" w:cs="Times New Roman"/>
          <w:color w:val="auto"/>
          <w:sz w:val="32"/>
          <w:szCs w:val="32"/>
        </w:rPr>
        <w:t>自控界限：生化池内所有仪表、自控系统、生化池进线柜至各仪表之间的电缆及桥架均由厂家深化设计、供货、安装、调试，并将信号上传至本项目中控室。</w:t>
      </w:r>
    </w:p>
    <w:p w14:paraId="3EF9A6E5">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default"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rPr>
        <w:t>改良SBR生化反应池具体供货及服务范围包括但不限于如下：</w:t>
      </w:r>
    </w:p>
    <w:p w14:paraId="359C0822">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default"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rPr>
        <w:t>（1）工艺包的工艺性能保证；</w:t>
      </w:r>
    </w:p>
    <w:p w14:paraId="2E5B6BE5">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default"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rPr>
        <w:t>（2）以满足工艺包性能要求为前提的完整的成套设备集成系统，包括但不限于：</w:t>
      </w:r>
    </w:p>
    <w:p w14:paraId="17DDC50F">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default"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rPr>
        <w:t>①、工艺设备（阀门、搅拌器系统、水泵等）、电气设备（含现场控制箱）、仪表及自控系统等；还包括集成系统配置可保证工艺系统稳定可靠运行其他配套附属设备。具体详见设备清单。</w:t>
      </w:r>
    </w:p>
    <w:p w14:paraId="08923607">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default" w:ascii="Times New Roman" w:hAnsi="Times New Roman" w:eastAsia="方正仿宋_GB2312" w:cs="Times New Roman"/>
          <w:color w:val="auto"/>
          <w:sz w:val="32"/>
          <w:szCs w:val="32"/>
        </w:rPr>
      </w:pPr>
      <w:r>
        <w:rPr>
          <w:rFonts w:hint="eastAsia" w:ascii="Times New Roman" w:hAnsi="Times New Roman" w:eastAsia="方正仿宋_GB2312" w:cs="Times New Roman"/>
          <w:color w:val="auto"/>
          <w:sz w:val="32"/>
          <w:szCs w:val="32"/>
        </w:rPr>
        <w:t>②、以集成系统单体配电柜供电端熔断开关为分界面，分界面上端的进线电缆由招标人提供，其余的配电柜（包括熔断开关）及现场控制箱、按钮箱由投标人提供。低压电缆、保护管、桥架及其安装附件由招标人提供。</w:t>
      </w:r>
    </w:p>
    <w:p w14:paraId="5E48B552">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ascii="宋体" w:hAnsi="宋体" w:eastAsia="宋体" w:cs="Times New Roman"/>
          <w:color w:val="auto"/>
          <w:sz w:val="24"/>
          <w:szCs w:val="24"/>
          <w:highlight w:val="none"/>
        </w:rPr>
      </w:pPr>
      <w:r>
        <w:rPr>
          <w:rFonts w:hint="eastAsia" w:ascii="Times New Roman" w:hAnsi="Times New Roman" w:eastAsia="方正仿宋_GB2312" w:cs="Times New Roman"/>
          <w:color w:val="auto"/>
          <w:sz w:val="32"/>
          <w:szCs w:val="32"/>
        </w:rPr>
        <w:t>③、投标人应设置PLC控制系统或现场IO站，搜集、上传投标人集成系统配套的仪表及设备信号，配套触摸屏、逻辑控制软件及编程。以集成系统配套PLC 柜/现场IO站通讯端口为分界面，分界面上端的通讯线缆由招标人提供，分界面以下的PLC控制柜由投标人提供。自控线缆、保护管、桥架及其安装附件由招标人提供。</w:t>
      </w:r>
    </w:p>
    <w:p w14:paraId="6B0B2B2F">
      <w:pPr>
        <w:numPr>
          <w:ilvl w:val="0"/>
          <w:numId w:val="0"/>
        </w:numPr>
        <w:rPr>
          <w:rFonts w:hint="eastAsia" w:ascii="黑体" w:hAnsi="黑体" w:eastAsia="黑体" w:cs="黑体"/>
          <w:color w:val="FF0000"/>
          <w:sz w:val="32"/>
          <w:szCs w:val="32"/>
          <w:lang w:val="en-US" w:eastAsia="zh-CN"/>
        </w:rPr>
      </w:pPr>
    </w:p>
    <w:tbl>
      <w:tblPr>
        <w:tblStyle w:val="6"/>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3"/>
        <w:gridCol w:w="1120"/>
        <w:gridCol w:w="1311"/>
        <w:gridCol w:w="2700"/>
        <w:gridCol w:w="636"/>
        <w:gridCol w:w="827"/>
        <w:gridCol w:w="498"/>
        <w:gridCol w:w="499"/>
      </w:tblGrid>
      <w:tr w14:paraId="6AF8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D247">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序号</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E7B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单体名称</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407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设备工艺功能名称</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C85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技术参数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085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功率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076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材质</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50F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31A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r>
      <w:tr w14:paraId="3F9B0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CED0">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1</w:t>
            </w:r>
          </w:p>
        </w:tc>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21BFB">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改良SBR生化反应池</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5B51">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生化处理装置</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8AC1">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直径16.04m,高9m,含走道板、工作桥、保温层、栏杆，楼梯</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45BD">
            <w:pPr>
              <w:jc w:val="center"/>
              <w:rPr>
                <w:rFonts w:hint="eastAsia" w:ascii="宋体" w:hAnsi="宋体" w:eastAsia="宋体" w:cs="宋体"/>
                <w:b/>
                <w:bCs/>
                <w:i w:val="0"/>
                <w:iCs w:val="0"/>
                <w:color w:val="000000"/>
                <w:kern w:val="0"/>
                <w:sz w:val="28"/>
                <w:szCs w:val="28"/>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FB40">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金属瓷釉复合 </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F515">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套</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6C18">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p>
        </w:tc>
      </w:tr>
      <w:tr w14:paraId="41C9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65EE">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2</w:t>
            </w: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30808">
            <w:pPr>
              <w:jc w:val="center"/>
              <w:rPr>
                <w:rFonts w:hint="eastAsia" w:ascii="宋体" w:hAnsi="宋体" w:eastAsia="宋体" w:cs="宋体"/>
                <w:b/>
                <w:bCs/>
                <w:i w:val="0"/>
                <w:iCs w:val="0"/>
                <w:color w:val="000000"/>
                <w:kern w:val="0"/>
                <w:sz w:val="28"/>
                <w:szCs w:val="28"/>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0CFC">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深池均质混合系统</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7D01">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配套深池搅拌设备,智能控制单元系统及配套元器件等</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856B">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5.5</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C594">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成品</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DDB1">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套</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0E01">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p>
        </w:tc>
      </w:tr>
      <w:tr w14:paraId="3644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62B4">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3</w:t>
            </w: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5E74E">
            <w:pPr>
              <w:jc w:val="center"/>
              <w:rPr>
                <w:rFonts w:hint="eastAsia" w:ascii="宋体" w:hAnsi="宋体" w:eastAsia="宋体" w:cs="宋体"/>
                <w:b/>
                <w:bCs/>
                <w:i w:val="0"/>
                <w:iCs w:val="0"/>
                <w:color w:val="000000"/>
                <w:kern w:val="0"/>
                <w:sz w:val="28"/>
                <w:szCs w:val="28"/>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2572">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深池环流曝气系统</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AB05">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环流曝气设备、曝气阀门组件,系统智能控制单元及配套元器件等</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4563">
            <w:pPr>
              <w:jc w:val="center"/>
              <w:rPr>
                <w:rFonts w:hint="eastAsia" w:ascii="宋体" w:hAnsi="宋体" w:eastAsia="宋体" w:cs="宋体"/>
                <w:b/>
                <w:bCs/>
                <w:i w:val="0"/>
                <w:iCs w:val="0"/>
                <w:color w:val="000000"/>
                <w:kern w:val="0"/>
                <w:sz w:val="28"/>
                <w:szCs w:val="28"/>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CF5A">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成品</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8F16">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套</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0CED">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p>
        </w:tc>
      </w:tr>
      <w:tr w14:paraId="02B0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51AF">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4</w:t>
            </w: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869FD">
            <w:pPr>
              <w:jc w:val="center"/>
              <w:rPr>
                <w:rFonts w:hint="eastAsia" w:ascii="宋体" w:hAnsi="宋体" w:eastAsia="宋体" w:cs="宋体"/>
                <w:b/>
                <w:bCs/>
                <w:i w:val="0"/>
                <w:iCs w:val="0"/>
                <w:color w:val="000000"/>
                <w:kern w:val="0"/>
                <w:sz w:val="28"/>
                <w:szCs w:val="28"/>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9AD4">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菌群强化补给系统</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169E">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加药阀门组件,系统智能控制单元及配套元器件等</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8DE7">
            <w:pPr>
              <w:jc w:val="center"/>
              <w:rPr>
                <w:rFonts w:hint="eastAsia" w:ascii="宋体" w:hAnsi="宋体" w:eastAsia="宋体" w:cs="宋体"/>
                <w:b/>
                <w:bCs/>
                <w:i w:val="0"/>
                <w:iCs w:val="0"/>
                <w:color w:val="000000"/>
                <w:kern w:val="0"/>
                <w:sz w:val="28"/>
                <w:szCs w:val="28"/>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FE29">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成品</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4E27">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套</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22F8">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p>
        </w:tc>
      </w:tr>
      <w:tr w14:paraId="39A7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2FFF">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5</w:t>
            </w: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06E7E">
            <w:pPr>
              <w:jc w:val="center"/>
              <w:rPr>
                <w:rFonts w:hint="eastAsia" w:ascii="宋体" w:hAnsi="宋体" w:eastAsia="宋体" w:cs="宋体"/>
                <w:b/>
                <w:bCs/>
                <w:i w:val="0"/>
                <w:iCs w:val="0"/>
                <w:color w:val="000000"/>
                <w:kern w:val="0"/>
                <w:sz w:val="28"/>
                <w:szCs w:val="28"/>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AE99">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自适应出水收集系统</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1125">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同步进出水组件、应急出水组件、液位自适应调整组件,进出水同步智能控制单元等</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83C7">
            <w:pPr>
              <w:jc w:val="center"/>
              <w:rPr>
                <w:rFonts w:hint="eastAsia" w:ascii="宋体" w:hAnsi="宋体" w:eastAsia="宋体" w:cs="宋体"/>
                <w:b/>
                <w:bCs/>
                <w:i w:val="0"/>
                <w:iCs w:val="0"/>
                <w:color w:val="000000"/>
                <w:kern w:val="0"/>
                <w:sz w:val="28"/>
                <w:szCs w:val="28"/>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811E">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成品</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E798">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套</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F8CC">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p>
        </w:tc>
      </w:tr>
      <w:tr w14:paraId="3B282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B95E">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6</w:t>
            </w:r>
          </w:p>
        </w:tc>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B6022">
            <w:pPr>
              <w:jc w:val="center"/>
              <w:rPr>
                <w:rFonts w:hint="eastAsia" w:ascii="宋体" w:hAnsi="宋体" w:eastAsia="宋体" w:cs="宋体"/>
                <w:b/>
                <w:bCs/>
                <w:i w:val="0"/>
                <w:iCs w:val="0"/>
                <w:color w:val="000000"/>
                <w:kern w:val="0"/>
                <w:sz w:val="28"/>
                <w:szCs w:val="28"/>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2BDE">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智能控制系统</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23EB">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中枢自控平台、进出水在线监测、反应器全流程监测,控制系统及配套元器件等</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B299">
            <w:pPr>
              <w:jc w:val="center"/>
              <w:rPr>
                <w:rFonts w:hint="eastAsia" w:ascii="宋体" w:hAnsi="宋体" w:eastAsia="宋体" w:cs="宋体"/>
                <w:b/>
                <w:bCs/>
                <w:i w:val="0"/>
                <w:iCs w:val="0"/>
                <w:color w:val="000000"/>
                <w:kern w:val="0"/>
                <w:sz w:val="28"/>
                <w:szCs w:val="28"/>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F69A">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成品</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D037">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套</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0E08">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r>
    </w:tbl>
    <w:p w14:paraId="7CED9EE1">
      <w:pPr>
        <w:spacing w:line="360" w:lineRule="auto"/>
        <w:ind w:firstLine="643" w:firstLineChars="200"/>
        <w:rPr>
          <w:rFonts w:hint="default" w:ascii="方正仿宋_GB2312" w:hAnsi="方正仿宋_GB2312" w:eastAsia="方正仿宋_GB2312" w:cs="方正仿宋_GB2312"/>
          <w:b/>
          <w:bCs/>
          <w:color w:val="auto"/>
          <w:kern w:val="2"/>
          <w:sz w:val="32"/>
          <w:szCs w:val="32"/>
          <w:highlight w:val="none"/>
          <w:lang w:val="en-US" w:eastAsia="zh-CN" w:bidi="ar-SA"/>
        </w:rPr>
      </w:pPr>
    </w:p>
    <w:p w14:paraId="78BF5C2C">
      <w:pPr>
        <w:widowControl w:val="0"/>
        <w:numPr>
          <w:ilvl w:val="0"/>
          <w:numId w:val="0"/>
        </w:numPr>
        <w:spacing w:line="360" w:lineRule="auto"/>
        <w:ind w:left="482" w:leftChars="0"/>
        <w:jc w:val="left"/>
        <w:outlineLvl w:val="3"/>
        <w:rPr>
          <w:rFonts w:hint="default" w:ascii="方正仿宋_GB2312" w:hAnsi="方正仿宋_GB2312" w:eastAsia="方正仿宋_GB2312" w:cs="方正仿宋_GB2312"/>
          <w:b/>
          <w:bCs/>
          <w:color w:val="auto"/>
          <w:kern w:val="2"/>
          <w:sz w:val="32"/>
          <w:szCs w:val="32"/>
          <w:highlight w:val="none"/>
          <w:lang w:val="en-US" w:eastAsia="zh-CN" w:bidi="ar-SA"/>
        </w:rPr>
      </w:pPr>
      <w:r>
        <w:rPr>
          <w:rFonts w:hint="default" w:ascii="方正仿宋_GB2312" w:hAnsi="方正仿宋_GB2312" w:eastAsia="方正仿宋_GB2312" w:cs="方正仿宋_GB2312"/>
          <w:b/>
          <w:bCs/>
          <w:color w:val="auto"/>
          <w:kern w:val="2"/>
          <w:sz w:val="32"/>
          <w:szCs w:val="32"/>
          <w:highlight w:val="none"/>
          <w:lang w:val="en-US" w:eastAsia="zh-CN" w:bidi="ar-SA"/>
        </w:rPr>
        <w:t>（</w:t>
      </w:r>
      <w:r>
        <w:rPr>
          <w:rFonts w:hint="eastAsia" w:ascii="方正仿宋_GB2312" w:hAnsi="方正仿宋_GB2312" w:eastAsia="方正仿宋_GB2312" w:cs="方正仿宋_GB2312"/>
          <w:b/>
          <w:bCs/>
          <w:color w:val="auto"/>
          <w:kern w:val="2"/>
          <w:sz w:val="32"/>
          <w:szCs w:val="32"/>
          <w:highlight w:val="none"/>
          <w:lang w:val="en-US" w:eastAsia="zh-CN" w:bidi="ar-SA"/>
        </w:rPr>
        <w:t>二</w:t>
      </w:r>
      <w:r>
        <w:rPr>
          <w:rFonts w:hint="default" w:ascii="方正仿宋_GB2312" w:hAnsi="方正仿宋_GB2312" w:eastAsia="方正仿宋_GB2312" w:cs="方正仿宋_GB2312"/>
          <w:b/>
          <w:bCs/>
          <w:color w:val="auto"/>
          <w:kern w:val="2"/>
          <w:sz w:val="32"/>
          <w:szCs w:val="32"/>
          <w:highlight w:val="none"/>
          <w:lang w:val="en-US" w:eastAsia="zh-CN" w:bidi="ar-SA"/>
        </w:rPr>
        <w:t>）</w:t>
      </w:r>
      <w:r>
        <w:rPr>
          <w:rFonts w:hint="eastAsia" w:ascii="方正仿宋_GB2312" w:hAnsi="方正仿宋_GB2312" w:eastAsia="方正仿宋_GB2312" w:cs="方正仿宋_GB2312"/>
          <w:b/>
          <w:bCs/>
          <w:color w:val="auto"/>
          <w:kern w:val="2"/>
          <w:sz w:val="32"/>
          <w:szCs w:val="32"/>
          <w:highlight w:val="none"/>
          <w:lang w:val="en-US" w:eastAsia="zh-CN" w:bidi="ar-SA"/>
        </w:rPr>
        <w:t>技术要求</w:t>
      </w:r>
    </w:p>
    <w:p w14:paraId="31996370">
      <w:pPr>
        <w:pStyle w:val="2"/>
        <w:rPr>
          <w:rFonts w:hint="eastAsia"/>
          <w:lang w:val="en-US" w:eastAsia="zh-CN"/>
        </w:rPr>
      </w:pPr>
    </w:p>
    <w:p w14:paraId="5247E5AD">
      <w:pPr>
        <w:widowControl w:val="0"/>
        <w:numPr>
          <w:ilvl w:val="0"/>
          <w:numId w:val="0"/>
        </w:numPr>
        <w:spacing w:line="360" w:lineRule="auto"/>
        <w:ind w:left="482" w:leftChars="0"/>
        <w:jc w:val="left"/>
        <w:outlineLvl w:val="4"/>
        <w:rPr>
          <w:rFonts w:hint="eastAsia" w:ascii="方正仿宋_GB2312" w:hAnsi="方正仿宋_GB2312" w:eastAsia="方正仿宋_GB2312" w:cs="方正仿宋_GB2312"/>
          <w:b/>
          <w:bCs/>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kern w:val="2"/>
          <w:sz w:val="32"/>
          <w:szCs w:val="32"/>
          <w:highlight w:val="none"/>
          <w:lang w:val="en-US" w:eastAsia="zh-CN" w:bidi="ar-SA"/>
        </w:rPr>
        <w:t>（1）主要控制指标</w:t>
      </w:r>
    </w:p>
    <w:p w14:paraId="4A933726">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①</w:t>
      </w:r>
      <w:r>
        <w:rPr>
          <w:rFonts w:hint="eastAsia" w:ascii="方正仿宋_GB2312" w:hAnsi="方正仿宋_GB2312" w:eastAsia="方正仿宋_GB2312" w:cs="方正仿宋_GB2312"/>
          <w:color w:val="auto"/>
          <w:sz w:val="32"/>
          <w:szCs w:val="32"/>
          <w:highlight w:val="none"/>
        </w:rPr>
        <w:t>设计水量：改良SBR生化反应池设计水量为</w:t>
      </w:r>
      <w:r>
        <w:rPr>
          <w:rFonts w:hint="eastAsia" w:ascii="方正仿宋_GB2312" w:hAnsi="方正仿宋_GB2312" w:eastAsia="方正仿宋_GB2312" w:cs="方正仿宋_GB2312"/>
          <w:color w:val="auto"/>
          <w:sz w:val="32"/>
          <w:szCs w:val="32"/>
          <w:highlight w:val="none"/>
          <w:lang w:val="en-US" w:eastAsia="zh-CN"/>
        </w:rPr>
        <w:t>10000</w:t>
      </w:r>
      <w:r>
        <w:rPr>
          <w:rFonts w:hint="eastAsia" w:ascii="方正仿宋_GB2312" w:hAnsi="方正仿宋_GB2312" w:eastAsia="方正仿宋_GB2312" w:cs="方正仿宋_GB2312"/>
          <w:color w:val="auto"/>
          <w:sz w:val="32"/>
          <w:szCs w:val="32"/>
          <w:highlight w:val="none"/>
        </w:rPr>
        <w:t>m</w:t>
      </w:r>
      <w:r>
        <w:rPr>
          <w:rFonts w:hint="eastAsia" w:ascii="方正仿宋_GB2312" w:hAnsi="方正仿宋_GB2312" w:eastAsia="方正仿宋_GB2312" w:cs="方正仿宋_GB2312"/>
          <w:color w:val="auto"/>
          <w:sz w:val="32"/>
          <w:szCs w:val="32"/>
          <w:highlight w:val="none"/>
          <w:vertAlign w:val="superscript"/>
        </w:rPr>
        <w:t>3</w:t>
      </w:r>
      <w:r>
        <w:rPr>
          <w:rFonts w:hint="eastAsia" w:ascii="方正仿宋_GB2312" w:hAnsi="方正仿宋_GB2312" w:eastAsia="方正仿宋_GB2312" w:cs="方正仿宋_GB2312"/>
          <w:color w:val="auto"/>
          <w:sz w:val="32"/>
          <w:szCs w:val="32"/>
          <w:highlight w:val="none"/>
        </w:rPr>
        <w:t>/d</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变化系数不小于1.3</w:t>
      </w:r>
      <w:r>
        <w:rPr>
          <w:rFonts w:hint="eastAsia" w:ascii="方正仿宋_GB2312" w:hAnsi="方正仿宋_GB2312" w:eastAsia="方正仿宋_GB2312" w:cs="方正仿宋_GB2312"/>
          <w:color w:val="auto"/>
          <w:sz w:val="32"/>
          <w:szCs w:val="32"/>
          <w:highlight w:val="none"/>
        </w:rPr>
        <w:t>。</w:t>
      </w:r>
    </w:p>
    <w:p w14:paraId="1882BC35">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②</w:t>
      </w:r>
      <w:r>
        <w:rPr>
          <w:rFonts w:hint="eastAsia" w:ascii="方正仿宋_GB2312" w:hAnsi="方正仿宋_GB2312" w:eastAsia="方正仿宋_GB2312" w:cs="方正仿宋_GB2312"/>
          <w:color w:val="auto"/>
          <w:sz w:val="32"/>
          <w:szCs w:val="32"/>
          <w:highlight w:val="none"/>
        </w:rPr>
        <w:t>单体设计进出水水质要求</w:t>
      </w:r>
    </w:p>
    <w:p w14:paraId="591CF10A">
      <w:pPr>
        <w:spacing w:line="360" w:lineRule="auto"/>
        <w:ind w:firstLine="0" w:firstLineChars="0"/>
        <w:jc w:val="righ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单位：mg/L（pH除外）</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014"/>
        <w:gridCol w:w="1014"/>
        <w:gridCol w:w="1014"/>
        <w:gridCol w:w="1014"/>
        <w:gridCol w:w="1273"/>
        <w:gridCol w:w="1012"/>
        <w:gridCol w:w="1011"/>
      </w:tblGrid>
      <w:tr w14:paraId="5F7E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noWrap w:val="0"/>
            <w:vAlign w:val="center"/>
          </w:tcPr>
          <w:p w14:paraId="761B8FB6">
            <w:pPr>
              <w:spacing w:before="0" w:beforeLines="0" w:after="0" w:afterLines="0" w:line="240" w:lineRule="auto"/>
              <w:jc w:val="center"/>
              <w:rPr>
                <w:rFonts w:hint="eastAsia" w:ascii="方正仿宋_GB2312" w:hAnsi="方正仿宋_GB2312" w:eastAsia="方正仿宋_GB2312" w:cs="方正仿宋_GB2312"/>
                <w:b/>
                <w:bCs/>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kern w:val="2"/>
                <w:sz w:val="32"/>
                <w:szCs w:val="32"/>
                <w:highlight w:val="none"/>
                <w:lang w:val="en-US" w:eastAsia="zh-CN" w:bidi="ar-SA"/>
              </w:rPr>
              <w:t>指标</w:t>
            </w:r>
          </w:p>
        </w:tc>
        <w:tc>
          <w:tcPr>
            <w:tcW w:w="614" w:type="pct"/>
            <w:noWrap w:val="0"/>
            <w:vAlign w:val="center"/>
          </w:tcPr>
          <w:p w14:paraId="522E9FE7">
            <w:pPr>
              <w:spacing w:before="0" w:beforeLines="0" w:after="0" w:afterLines="0" w:line="240" w:lineRule="auto"/>
              <w:jc w:val="center"/>
              <w:rPr>
                <w:rFonts w:hint="eastAsia" w:ascii="方正仿宋_GB2312" w:hAnsi="方正仿宋_GB2312" w:eastAsia="方正仿宋_GB2312" w:cs="方正仿宋_GB2312"/>
                <w:b/>
                <w:bCs/>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kern w:val="2"/>
                <w:sz w:val="32"/>
                <w:szCs w:val="32"/>
                <w:highlight w:val="none"/>
                <w:lang w:val="en-US" w:eastAsia="zh-CN" w:bidi="ar-SA"/>
              </w:rPr>
              <w:t>pH</w:t>
            </w:r>
          </w:p>
        </w:tc>
        <w:tc>
          <w:tcPr>
            <w:tcW w:w="614" w:type="pct"/>
            <w:noWrap w:val="0"/>
            <w:vAlign w:val="center"/>
          </w:tcPr>
          <w:p w14:paraId="75D1BBB3">
            <w:pPr>
              <w:spacing w:before="0" w:beforeLines="0" w:after="0" w:afterLines="0" w:line="240" w:lineRule="auto"/>
              <w:jc w:val="center"/>
              <w:rPr>
                <w:rFonts w:hint="eastAsia" w:ascii="方正仿宋_GB2312" w:hAnsi="方正仿宋_GB2312" w:eastAsia="方正仿宋_GB2312" w:cs="方正仿宋_GB2312"/>
                <w:b/>
                <w:bCs/>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kern w:val="2"/>
                <w:sz w:val="32"/>
                <w:szCs w:val="32"/>
                <w:highlight w:val="none"/>
                <w:lang w:val="en-US" w:eastAsia="zh-CN" w:bidi="ar-SA"/>
              </w:rPr>
              <w:t>CODcr</w:t>
            </w:r>
          </w:p>
        </w:tc>
        <w:tc>
          <w:tcPr>
            <w:tcW w:w="614" w:type="pct"/>
            <w:noWrap w:val="0"/>
            <w:vAlign w:val="center"/>
          </w:tcPr>
          <w:p w14:paraId="1FFEF740">
            <w:pPr>
              <w:spacing w:before="0" w:beforeLines="0" w:after="0" w:afterLines="0" w:line="240" w:lineRule="auto"/>
              <w:jc w:val="center"/>
              <w:rPr>
                <w:rFonts w:hint="eastAsia" w:ascii="方正仿宋_GB2312" w:hAnsi="方正仿宋_GB2312" w:eastAsia="方正仿宋_GB2312" w:cs="方正仿宋_GB2312"/>
                <w:b/>
                <w:bCs/>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kern w:val="2"/>
                <w:sz w:val="32"/>
                <w:szCs w:val="32"/>
                <w:highlight w:val="none"/>
                <w:lang w:val="en-US" w:eastAsia="zh-CN" w:bidi="ar-SA"/>
              </w:rPr>
              <w:t>BOD</w:t>
            </w:r>
            <w:r>
              <w:rPr>
                <w:rFonts w:hint="eastAsia" w:ascii="方正仿宋_GB2312" w:hAnsi="方正仿宋_GB2312" w:eastAsia="方正仿宋_GB2312" w:cs="方正仿宋_GB2312"/>
                <w:b/>
                <w:bCs/>
                <w:color w:val="auto"/>
                <w:kern w:val="2"/>
                <w:sz w:val="32"/>
                <w:szCs w:val="32"/>
                <w:highlight w:val="none"/>
                <w:vertAlign w:val="subscript"/>
                <w:lang w:val="en-US" w:eastAsia="zh-CN" w:bidi="ar-SA"/>
              </w:rPr>
              <w:t>5</w:t>
            </w:r>
          </w:p>
        </w:tc>
        <w:tc>
          <w:tcPr>
            <w:tcW w:w="614" w:type="pct"/>
            <w:noWrap w:val="0"/>
            <w:vAlign w:val="center"/>
          </w:tcPr>
          <w:p w14:paraId="58CD0AAD">
            <w:pPr>
              <w:spacing w:before="0" w:beforeLines="0" w:after="0" w:afterLines="0" w:line="240" w:lineRule="auto"/>
              <w:jc w:val="center"/>
              <w:rPr>
                <w:rFonts w:hint="eastAsia" w:ascii="方正仿宋_GB2312" w:hAnsi="方正仿宋_GB2312" w:eastAsia="方正仿宋_GB2312" w:cs="方正仿宋_GB2312"/>
                <w:b/>
                <w:bCs/>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kern w:val="2"/>
                <w:sz w:val="32"/>
                <w:szCs w:val="32"/>
                <w:highlight w:val="none"/>
                <w:lang w:val="en-US" w:eastAsia="zh-CN" w:bidi="ar-SA"/>
              </w:rPr>
              <w:t>SS</w:t>
            </w:r>
          </w:p>
        </w:tc>
        <w:tc>
          <w:tcPr>
            <w:tcW w:w="613" w:type="pct"/>
            <w:noWrap w:val="0"/>
            <w:vAlign w:val="center"/>
          </w:tcPr>
          <w:p w14:paraId="7A06DEF0">
            <w:pPr>
              <w:spacing w:before="0" w:beforeLines="0" w:after="0" w:afterLines="0" w:line="240" w:lineRule="auto"/>
              <w:jc w:val="center"/>
              <w:rPr>
                <w:rFonts w:hint="eastAsia" w:ascii="方正仿宋_GB2312" w:hAnsi="方正仿宋_GB2312" w:eastAsia="方正仿宋_GB2312" w:cs="方正仿宋_GB2312"/>
                <w:b/>
                <w:bCs/>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kern w:val="2"/>
                <w:sz w:val="32"/>
                <w:szCs w:val="32"/>
                <w:highlight w:val="none"/>
                <w:lang w:val="en-US" w:eastAsia="zh-CN" w:bidi="ar-SA"/>
              </w:rPr>
              <w:t>NH</w:t>
            </w:r>
            <w:r>
              <w:rPr>
                <w:rFonts w:hint="eastAsia" w:ascii="方正仿宋_GB2312" w:hAnsi="方正仿宋_GB2312" w:eastAsia="方正仿宋_GB2312" w:cs="方正仿宋_GB2312"/>
                <w:b/>
                <w:bCs/>
                <w:color w:val="auto"/>
                <w:kern w:val="2"/>
                <w:sz w:val="32"/>
                <w:szCs w:val="32"/>
                <w:highlight w:val="none"/>
                <w:vertAlign w:val="subscript"/>
                <w:lang w:val="en-US" w:eastAsia="zh-CN" w:bidi="ar-SA"/>
              </w:rPr>
              <w:t>3</w:t>
            </w:r>
            <w:r>
              <w:rPr>
                <w:rFonts w:hint="eastAsia" w:ascii="方正仿宋_GB2312" w:hAnsi="方正仿宋_GB2312" w:eastAsia="方正仿宋_GB2312" w:cs="方正仿宋_GB2312"/>
                <w:b/>
                <w:bCs/>
                <w:color w:val="auto"/>
                <w:kern w:val="2"/>
                <w:sz w:val="32"/>
                <w:szCs w:val="32"/>
                <w:highlight w:val="none"/>
                <w:lang w:val="en-US" w:eastAsia="zh-CN" w:bidi="ar-SA"/>
              </w:rPr>
              <w:t>-N</w:t>
            </w:r>
          </w:p>
        </w:tc>
        <w:tc>
          <w:tcPr>
            <w:tcW w:w="613" w:type="pct"/>
            <w:noWrap w:val="0"/>
            <w:vAlign w:val="center"/>
          </w:tcPr>
          <w:p w14:paraId="74967F2F">
            <w:pPr>
              <w:spacing w:before="0" w:beforeLines="0" w:after="0" w:afterLines="0" w:line="240" w:lineRule="auto"/>
              <w:jc w:val="center"/>
              <w:rPr>
                <w:rFonts w:hint="eastAsia" w:ascii="方正仿宋_GB2312" w:hAnsi="方正仿宋_GB2312" w:eastAsia="方正仿宋_GB2312" w:cs="方正仿宋_GB2312"/>
                <w:b/>
                <w:bCs/>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kern w:val="2"/>
                <w:sz w:val="32"/>
                <w:szCs w:val="32"/>
                <w:highlight w:val="none"/>
                <w:lang w:val="en-US" w:eastAsia="zh-CN" w:bidi="ar-SA"/>
              </w:rPr>
              <w:t>TN</w:t>
            </w:r>
          </w:p>
        </w:tc>
        <w:tc>
          <w:tcPr>
            <w:tcW w:w="613" w:type="pct"/>
            <w:noWrap w:val="0"/>
            <w:vAlign w:val="center"/>
          </w:tcPr>
          <w:p w14:paraId="1AAC99C5">
            <w:pPr>
              <w:spacing w:before="0" w:beforeLines="0" w:after="0" w:afterLines="0" w:line="240" w:lineRule="auto"/>
              <w:jc w:val="center"/>
              <w:rPr>
                <w:rFonts w:hint="eastAsia" w:ascii="方正仿宋_GB2312" w:hAnsi="方正仿宋_GB2312" w:eastAsia="方正仿宋_GB2312" w:cs="方正仿宋_GB2312"/>
                <w:b/>
                <w:bCs/>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kern w:val="2"/>
                <w:sz w:val="32"/>
                <w:szCs w:val="32"/>
                <w:highlight w:val="none"/>
                <w:lang w:val="en-US" w:eastAsia="zh-CN" w:bidi="ar-SA"/>
              </w:rPr>
              <w:t>TP</w:t>
            </w:r>
          </w:p>
        </w:tc>
      </w:tr>
      <w:tr w14:paraId="6001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noWrap w:val="0"/>
            <w:vAlign w:val="center"/>
          </w:tcPr>
          <w:p w14:paraId="53039A58">
            <w:pPr>
              <w:spacing w:before="0" w:beforeLines="0" w:after="0" w:afterLines="0" w:line="240" w:lineRule="auto"/>
              <w:jc w:val="center"/>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进水水质</w:t>
            </w:r>
          </w:p>
        </w:tc>
        <w:tc>
          <w:tcPr>
            <w:tcW w:w="614" w:type="pct"/>
            <w:noWrap w:val="0"/>
            <w:vAlign w:val="center"/>
          </w:tcPr>
          <w:p w14:paraId="31AE0A13">
            <w:pPr>
              <w:spacing w:before="0" w:beforeLines="0" w:after="0" w:afterLines="0" w:line="240" w:lineRule="auto"/>
              <w:jc w:val="center"/>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6-9</w:t>
            </w:r>
          </w:p>
        </w:tc>
        <w:tc>
          <w:tcPr>
            <w:tcW w:w="614" w:type="pct"/>
            <w:noWrap w:val="0"/>
            <w:vAlign w:val="center"/>
          </w:tcPr>
          <w:p w14:paraId="44CD6DDA">
            <w:pPr>
              <w:spacing w:before="0" w:beforeLines="0" w:after="0" w:afterLines="0" w:line="240" w:lineRule="auto"/>
              <w:jc w:val="center"/>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240</w:t>
            </w:r>
          </w:p>
        </w:tc>
        <w:tc>
          <w:tcPr>
            <w:tcW w:w="614" w:type="pct"/>
            <w:noWrap w:val="0"/>
            <w:vAlign w:val="center"/>
          </w:tcPr>
          <w:p w14:paraId="5291A9B6">
            <w:pPr>
              <w:spacing w:before="0" w:beforeLines="0" w:after="0" w:afterLines="0" w:line="240" w:lineRule="auto"/>
              <w:jc w:val="center"/>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120</w:t>
            </w:r>
          </w:p>
        </w:tc>
        <w:tc>
          <w:tcPr>
            <w:tcW w:w="614" w:type="pct"/>
            <w:noWrap w:val="0"/>
            <w:vAlign w:val="center"/>
          </w:tcPr>
          <w:p w14:paraId="0C00114D">
            <w:pPr>
              <w:spacing w:before="0" w:beforeLines="0" w:after="0" w:afterLines="0" w:line="240" w:lineRule="auto"/>
              <w:jc w:val="center"/>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150</w:t>
            </w:r>
          </w:p>
        </w:tc>
        <w:tc>
          <w:tcPr>
            <w:tcW w:w="613" w:type="pct"/>
            <w:noWrap w:val="0"/>
            <w:vAlign w:val="center"/>
          </w:tcPr>
          <w:p w14:paraId="5FE22B8C">
            <w:pPr>
              <w:spacing w:before="0" w:beforeLines="0" w:after="0" w:afterLines="0" w:line="240" w:lineRule="auto"/>
              <w:jc w:val="center"/>
              <w:rPr>
                <w:rFonts w:hint="default"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30</w:t>
            </w:r>
          </w:p>
        </w:tc>
        <w:tc>
          <w:tcPr>
            <w:tcW w:w="613" w:type="pct"/>
            <w:noWrap w:val="0"/>
            <w:vAlign w:val="center"/>
          </w:tcPr>
          <w:p w14:paraId="41F10063">
            <w:pPr>
              <w:spacing w:before="0" w:beforeLines="0" w:after="0" w:afterLines="0" w:line="240" w:lineRule="auto"/>
              <w:jc w:val="center"/>
              <w:rPr>
                <w:rFonts w:hint="default"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35</w:t>
            </w:r>
          </w:p>
        </w:tc>
        <w:tc>
          <w:tcPr>
            <w:tcW w:w="613" w:type="pct"/>
            <w:noWrap w:val="0"/>
            <w:vAlign w:val="center"/>
          </w:tcPr>
          <w:p w14:paraId="0FCAB5FA">
            <w:pPr>
              <w:spacing w:before="0" w:beforeLines="0" w:after="0" w:afterLines="0" w:line="240" w:lineRule="auto"/>
              <w:jc w:val="center"/>
              <w:rPr>
                <w:rFonts w:hint="default"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4</w:t>
            </w:r>
          </w:p>
        </w:tc>
      </w:tr>
      <w:tr w14:paraId="4C4C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noWrap w:val="0"/>
            <w:vAlign w:val="center"/>
          </w:tcPr>
          <w:p w14:paraId="017E0EA4">
            <w:pPr>
              <w:spacing w:before="0" w:beforeLines="0" w:after="0" w:afterLines="0" w:line="240" w:lineRule="auto"/>
              <w:jc w:val="center"/>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出水水质</w:t>
            </w:r>
          </w:p>
        </w:tc>
        <w:tc>
          <w:tcPr>
            <w:tcW w:w="614" w:type="pct"/>
            <w:noWrap w:val="0"/>
            <w:vAlign w:val="center"/>
          </w:tcPr>
          <w:p w14:paraId="0A2222B9">
            <w:pPr>
              <w:spacing w:before="0" w:beforeLines="0" w:after="0" w:afterLines="0" w:line="240" w:lineRule="auto"/>
              <w:jc w:val="center"/>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6-9</w:t>
            </w:r>
          </w:p>
        </w:tc>
        <w:tc>
          <w:tcPr>
            <w:tcW w:w="614" w:type="pct"/>
            <w:noWrap w:val="0"/>
            <w:vAlign w:val="center"/>
          </w:tcPr>
          <w:p w14:paraId="41CB8BE5">
            <w:pPr>
              <w:spacing w:before="0" w:beforeLines="0" w:after="0" w:afterLines="0" w:line="240" w:lineRule="auto"/>
              <w:jc w:val="center"/>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≤40</w:t>
            </w:r>
          </w:p>
        </w:tc>
        <w:tc>
          <w:tcPr>
            <w:tcW w:w="614" w:type="pct"/>
            <w:noWrap w:val="0"/>
            <w:vAlign w:val="center"/>
          </w:tcPr>
          <w:p w14:paraId="6D444985">
            <w:pPr>
              <w:spacing w:before="0" w:beforeLines="0" w:after="0" w:afterLines="0" w:line="240" w:lineRule="auto"/>
              <w:jc w:val="center"/>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≤10</w:t>
            </w:r>
          </w:p>
        </w:tc>
        <w:tc>
          <w:tcPr>
            <w:tcW w:w="614" w:type="pct"/>
            <w:noWrap w:val="0"/>
            <w:vAlign w:val="center"/>
          </w:tcPr>
          <w:p w14:paraId="43E37B87">
            <w:pPr>
              <w:spacing w:before="0" w:beforeLines="0" w:after="0" w:afterLines="0" w:line="240" w:lineRule="auto"/>
              <w:jc w:val="center"/>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≤20</w:t>
            </w:r>
          </w:p>
        </w:tc>
        <w:tc>
          <w:tcPr>
            <w:tcW w:w="613" w:type="pct"/>
            <w:noWrap w:val="0"/>
            <w:vAlign w:val="center"/>
          </w:tcPr>
          <w:p w14:paraId="5FC927C5">
            <w:pPr>
              <w:spacing w:before="0" w:beforeLines="0" w:after="0" w:afterLines="0" w:line="240" w:lineRule="auto"/>
              <w:jc w:val="center"/>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≤5（8.0）</w:t>
            </w:r>
          </w:p>
        </w:tc>
        <w:tc>
          <w:tcPr>
            <w:tcW w:w="613" w:type="pct"/>
            <w:noWrap w:val="0"/>
            <w:vAlign w:val="center"/>
          </w:tcPr>
          <w:p w14:paraId="17B63939">
            <w:pPr>
              <w:spacing w:before="0" w:beforeLines="0" w:after="0" w:afterLines="0" w:line="240" w:lineRule="auto"/>
              <w:jc w:val="center"/>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≤15</w:t>
            </w:r>
          </w:p>
        </w:tc>
        <w:tc>
          <w:tcPr>
            <w:tcW w:w="613" w:type="pct"/>
            <w:noWrap w:val="0"/>
            <w:vAlign w:val="center"/>
          </w:tcPr>
          <w:p w14:paraId="43EBCBC6">
            <w:pPr>
              <w:spacing w:before="0" w:beforeLines="0" w:after="0" w:afterLines="0" w:line="240" w:lineRule="auto"/>
              <w:jc w:val="center"/>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≤1</w:t>
            </w:r>
          </w:p>
        </w:tc>
      </w:tr>
    </w:tbl>
    <w:p w14:paraId="52BD70C2">
      <w:pPr>
        <w:widowControl w:val="0"/>
        <w:spacing w:line="360" w:lineRule="auto"/>
        <w:ind w:firstLine="640" w:firstLineChars="2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auto"/>
          <w:kern w:val="2"/>
          <w:sz w:val="32"/>
          <w:szCs w:val="32"/>
          <w:highlight w:val="none"/>
          <w:lang w:val="en-US" w:eastAsia="zh-CN" w:bidi="ar-SA"/>
        </w:rPr>
        <w:t>注：在上述设计流量、及设计进出水水质的条件下，投标人应对改良SBR生化池的工艺性能承诺，保证生化池出水水质指标稳定达到本招标文件要求。</w:t>
      </w:r>
    </w:p>
    <w:p w14:paraId="3370A20C">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③</w:t>
      </w:r>
      <w:r>
        <w:rPr>
          <w:rFonts w:hint="eastAsia" w:ascii="方正仿宋_GB2312" w:hAnsi="方正仿宋_GB2312" w:eastAsia="方正仿宋_GB2312" w:cs="方正仿宋_GB2312"/>
          <w:color w:val="auto"/>
          <w:sz w:val="32"/>
          <w:szCs w:val="32"/>
          <w:highlight w:val="none"/>
        </w:rPr>
        <w:t>改良SBR生化反应池在满足水质保证的同时，处理单元的平面布置需满足厂区预留用地限制、规划部门对厂区用地的红线退让要求及建筑面积限制。具体详见招标图纸，处理单元的用地及尺寸控制，详见性能技术要求。</w:t>
      </w:r>
    </w:p>
    <w:p w14:paraId="27A824E9">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（5）系统原理及工艺流程描述</w:t>
      </w:r>
    </w:p>
    <w:p w14:paraId="33ADB5BF">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改良SBR工艺，作为传统工艺的改良升级产品，其保留了传统SBR工艺在运行方式的灵活优势，并进一步优化改善了自动控制逻辑、生物脱氮除磷与污泥快速沉淀等方面性能。通过对接种传统活性污泥絮体的强化培养及筛选，实现功能微生物菌群的定向富集培养，不断增强系统中执行脱氮除磷功能的微生物的活性与丰度，结合高度自动化的智能控制技术，可在单个反应池内实现碳、氮、磷等污染物的同步高效去除与泥水快速分离，提升了传统SBR工艺的脱氮除磷极限。</w:t>
      </w:r>
    </w:p>
    <w:p w14:paraId="2D8AA2FC">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污水处理前端水解酸化池出水进入改良SBR反应池，共四座，利用好氧污泥的降解作用，同步脱除COD、氮磷等污染物，上清液经过重力流至深度处理系统。</w:t>
      </w:r>
    </w:p>
    <w:p w14:paraId="66481FF2">
      <w:pPr>
        <w:widowControl w:val="0"/>
        <w:numPr>
          <w:ilvl w:val="0"/>
          <w:numId w:val="0"/>
        </w:numPr>
        <w:spacing w:line="360" w:lineRule="auto"/>
        <w:ind w:left="482" w:leftChars="0"/>
        <w:jc w:val="left"/>
        <w:outlineLvl w:val="4"/>
        <w:rPr>
          <w:rFonts w:hint="eastAsia" w:ascii="方正仿宋_GB2312" w:hAnsi="方正仿宋_GB2312" w:eastAsia="方正仿宋_GB2312" w:cs="方正仿宋_GB2312"/>
          <w:b/>
          <w:bCs/>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kern w:val="2"/>
          <w:sz w:val="32"/>
          <w:szCs w:val="32"/>
          <w:highlight w:val="none"/>
          <w:lang w:val="en-US" w:eastAsia="zh-CN" w:bidi="ar-SA"/>
        </w:rPr>
        <w:t>（2）系统设备组成、技术要求及材质</w:t>
      </w:r>
    </w:p>
    <w:p w14:paraId="631E90D8">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①</w:t>
      </w:r>
      <w:r>
        <w:rPr>
          <w:rFonts w:hint="eastAsia" w:ascii="方正仿宋_GB2312" w:hAnsi="方正仿宋_GB2312" w:eastAsia="方正仿宋_GB2312" w:cs="方正仿宋_GB2312"/>
          <w:color w:val="auto"/>
          <w:sz w:val="32"/>
          <w:szCs w:val="32"/>
          <w:highlight w:val="none"/>
        </w:rPr>
        <w:t>改良SBR高效生物反应器</w:t>
      </w:r>
    </w:p>
    <w:p w14:paraId="674E1385">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改良SBR高效生物反应器，由高效生物反应器主体、进水均匀分布系统及重质污泥培养分选系统3个设备配置单元组成。</w:t>
      </w:r>
    </w:p>
    <w:p w14:paraId="58C7CE9F">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高效生物反应器主体：模块化结构，金属瓷釉复合</w:t>
      </w:r>
      <w:r>
        <w:rPr>
          <w:rFonts w:hint="eastAsia" w:ascii="方正仿宋_GB2312" w:hAnsi="方正仿宋_GB2312" w:eastAsia="方正仿宋_GB2312" w:cs="方正仿宋_GB2312"/>
          <w:color w:val="auto"/>
          <w:sz w:val="32"/>
          <w:szCs w:val="32"/>
          <w:highlight w:val="none"/>
          <w:lang w:val="en-US" w:eastAsia="zh-CN"/>
        </w:rPr>
        <w:t>钢板</w:t>
      </w:r>
      <w:r>
        <w:rPr>
          <w:rFonts w:hint="eastAsia" w:ascii="方正仿宋_GB2312" w:hAnsi="方正仿宋_GB2312" w:eastAsia="方正仿宋_GB2312" w:cs="方正仿宋_GB2312"/>
          <w:color w:val="auto"/>
          <w:sz w:val="32"/>
          <w:szCs w:val="32"/>
          <w:highlight w:val="none"/>
        </w:rPr>
        <w:t>，抗冲击载荷设计，适应高强度污泥浓度环境。</w:t>
      </w:r>
    </w:p>
    <w:p w14:paraId="357B11E6">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进水均匀分配系统是改良SBR高效生物反应器中的一个重要组成部分，它确保了污水能够均匀分布到生物池中，这对于提高处理效率和保证出水质量至关重要。其系统技术设计规范要求如下：</w:t>
      </w:r>
    </w:p>
    <w:p w14:paraId="61B12DBA">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均匀性：布水系统应确保污水均匀地分布到生物池中，避免局部过载或流量不均。</w:t>
      </w:r>
    </w:p>
    <w:p w14:paraId="4FF6683C">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耐腐蚀性：布水装置选用耐腐蚀材料，以适应污水中的化学物质。</w:t>
      </w:r>
    </w:p>
    <w:p w14:paraId="7841A22F">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②</w:t>
      </w:r>
      <w:r>
        <w:rPr>
          <w:rFonts w:hint="eastAsia" w:ascii="方正仿宋_GB2312" w:hAnsi="方正仿宋_GB2312" w:eastAsia="方正仿宋_GB2312" w:cs="方正仿宋_GB2312"/>
          <w:color w:val="auto"/>
          <w:sz w:val="32"/>
          <w:szCs w:val="32"/>
          <w:highlight w:val="none"/>
        </w:rPr>
        <w:t>深池均质混合系统</w:t>
      </w:r>
    </w:p>
    <w:p w14:paraId="6265B89E">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深池混合均质系统的设计和技术要求旨在确保污水进入生物池后达到污泥和溶解物充分混合均匀的状态，以利于提高生物处理效率。以下是混合均质系统的主要技术要求：</w:t>
      </w:r>
    </w:p>
    <w:p w14:paraId="7A74F1C6">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A. 在生物池内柱网干涉情况下，应确保生物池内的污泥分布均匀及悬浮状态，避免局部堆积或分层现象。</w:t>
      </w:r>
    </w:p>
    <w:p w14:paraId="78FC4557">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B. 系统的能耗应控制在合理范围内，避免因过度搅拌而增加能耗。</w:t>
      </w:r>
    </w:p>
    <w:p w14:paraId="57BF62BF">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C. 系统的设计与设备选型应能促进污泥的筛选/形成，防止生物污泥过度聚合或破碎。</w:t>
      </w:r>
    </w:p>
    <w:p w14:paraId="0F922C18">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D. 系统应避免与进水均匀分配系统及自适应出水系统的相互干涉及影响，并且便于维护与检修。</w:t>
      </w:r>
    </w:p>
    <w:p w14:paraId="4F3E2BDF">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E. 搅拌强度可根据生物池内的污泥性状和各区域污泥浓度差的需求进行调节，以确保适宜的混合状态。</w:t>
      </w:r>
    </w:p>
    <w:p w14:paraId="064375F7">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F．距离池底1m以下流速大于0.3m/s的面积占比大于20%，距离池底10cm以下流速大于0.3m/s的面积占比大于10%。</w:t>
      </w:r>
    </w:p>
    <w:p w14:paraId="17D980C2">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③</w:t>
      </w:r>
      <w:r>
        <w:rPr>
          <w:rFonts w:hint="eastAsia" w:ascii="方正仿宋_GB2312" w:hAnsi="方正仿宋_GB2312" w:eastAsia="方正仿宋_GB2312" w:cs="方正仿宋_GB2312"/>
          <w:color w:val="auto"/>
          <w:sz w:val="32"/>
          <w:szCs w:val="32"/>
          <w:highlight w:val="none"/>
        </w:rPr>
        <w:t>深池环流曝气系统</w:t>
      </w:r>
    </w:p>
    <w:p w14:paraId="1488B8B8">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A. 系统应能快速、准确地控制切换各池曝气启停。</w:t>
      </w:r>
    </w:p>
    <w:p w14:paraId="356D80CC">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B 系统的选型与搭配应能覆盖单池最大需气量50%-100%的调节范围，高效区间覆盖常运行工况，减少能源消耗。</w:t>
      </w:r>
    </w:p>
    <w:p w14:paraId="5DD2189D">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C. 系统应能满足深池水深压力下的频繁启停调节需求。</w:t>
      </w:r>
    </w:p>
    <w:p w14:paraId="3F4E8158">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D．曝气系统氧利用率≧</w:t>
      </w:r>
      <w:r>
        <w:rPr>
          <w:rFonts w:hint="eastAsia" w:ascii="方正仿宋_GB2312" w:hAnsi="方正仿宋_GB2312" w:eastAsia="方正仿宋_GB2312" w:cs="方正仿宋_GB2312"/>
          <w:color w:val="auto"/>
          <w:sz w:val="32"/>
          <w:szCs w:val="32"/>
          <w:highlight w:val="none"/>
          <w:lang w:val="en-US" w:eastAsia="zh-CN"/>
        </w:rPr>
        <w:t>3</w:t>
      </w:r>
      <w:r>
        <w:rPr>
          <w:rFonts w:hint="eastAsia" w:ascii="方正仿宋_GB2312" w:hAnsi="方正仿宋_GB2312" w:eastAsia="方正仿宋_GB2312" w:cs="方正仿宋_GB2312"/>
          <w:color w:val="auto"/>
          <w:sz w:val="32"/>
          <w:szCs w:val="32"/>
          <w:highlight w:val="none"/>
        </w:rPr>
        <w:t>0%（清水6m水深），具体曝气系统需结合池型及工艺性质适配优化设计，根据水量水质、时间等控制曝气量。含管路系统、支架系统、冷凝水释放系统等，是完整的成套装置。同时，根据本项目池型合理确定曝气器布置位置。</w:t>
      </w:r>
    </w:p>
    <w:p w14:paraId="6897CACD">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④</w:t>
      </w:r>
      <w:r>
        <w:rPr>
          <w:rFonts w:hint="eastAsia" w:ascii="方正仿宋_GB2312" w:hAnsi="方正仿宋_GB2312" w:eastAsia="方正仿宋_GB2312" w:cs="方正仿宋_GB2312"/>
          <w:color w:val="auto"/>
          <w:sz w:val="32"/>
          <w:szCs w:val="32"/>
          <w:highlight w:val="none"/>
        </w:rPr>
        <w:t>菌群强化补给系统</w:t>
      </w:r>
    </w:p>
    <w:p w14:paraId="62A9A26E">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菌群强化补给系统应集成药剂投加管路等。</w:t>
      </w:r>
    </w:p>
    <w:p w14:paraId="43BB5FE4">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A. 系统能根据进水水质水量及生物池内菌群情况，自动调节补给量，提供良好的污泥培养条件。</w:t>
      </w:r>
    </w:p>
    <w:p w14:paraId="23A8C8F3">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B. 系统应设计为高效运行，减少药剂与能源的浪费。</w:t>
      </w:r>
    </w:p>
    <w:p w14:paraId="5C44AC11">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C. 系统技术要求：菌群强化补给系统设备配置须与处理能力相配套；投标人所提供的系统配套规格尺寸必须满足招标人系统设计与图纸的要求。</w:t>
      </w:r>
    </w:p>
    <w:p w14:paraId="470C5D52">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⑤</w:t>
      </w:r>
      <w:r>
        <w:rPr>
          <w:rFonts w:hint="eastAsia" w:ascii="方正仿宋_GB2312" w:hAnsi="方正仿宋_GB2312" w:eastAsia="方正仿宋_GB2312" w:cs="方正仿宋_GB2312"/>
          <w:color w:val="auto"/>
          <w:sz w:val="32"/>
          <w:szCs w:val="32"/>
          <w:highlight w:val="none"/>
        </w:rPr>
        <w:t>自适应出水收集系统</w:t>
      </w:r>
    </w:p>
    <w:p w14:paraId="176194E1">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自适应出水收集系统作在生物池各阶段处理过程中均起到重要作用。系统的设计和技术要求对于确保生物池内水位控制、均匀沉降、澄清出水，防止回流以及提高系统的整体效率至关重要。</w:t>
      </w:r>
    </w:p>
    <w:p w14:paraId="2A6B6315">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A. 应充分考虑设备材质及选型的耐用性；</w:t>
      </w:r>
    </w:p>
    <w:p w14:paraId="7D404B05">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B. 应确保出水的均匀分布，避免局部流速过高导致的湍流和回流现象。</w:t>
      </w:r>
    </w:p>
    <w:p w14:paraId="6A5A6AD5">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C. 流速应适中，以避免扰动底部沉积物或产生泡沫。</w:t>
      </w:r>
    </w:p>
    <w:p w14:paraId="5602E237">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D. 对于水位控制的关键设备，应充分考虑其运行环境，选择适应频繁、快速开闭的设备。</w:t>
      </w:r>
    </w:p>
    <w:p w14:paraId="55F6A346">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E. 应集成智能出水控制系统，能给根据数据反馈及各阶段需求自适应调节出水系统。</w:t>
      </w:r>
    </w:p>
    <w:p w14:paraId="52824E61">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F．堰口负荷0.9~1.5 L/m/s，液位调整范围0~0.5m，单池液位调整每日耗气200~800L、气源压力6kg；控制均匀度大于95%。随进水同步均匀出水，提高有效反应时间占比20~30%。</w:t>
      </w:r>
    </w:p>
    <w:p w14:paraId="490D56BE">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（6）智能控制系统</w:t>
      </w:r>
    </w:p>
    <w:p w14:paraId="5A93DDBB">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智能中枢控制系统：是改良SBR生化池工艺的综合智控平台，基于智慧控制逻辑、经验数据与水质仪表反馈，实现改良SBR生化池工艺的自动化+智慧化运行，保障工艺稳定运行，削减运行管理工作量，降低运行能耗，提高系统运行效能与管控精度。</w:t>
      </w:r>
    </w:p>
    <w:p w14:paraId="50012A20">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系统采用“1+N”即1个中枢控制系统+4个独立功能模块的分布式架构。4个分布式智能控制模块主要为：</w:t>
      </w:r>
    </w:p>
    <w:p w14:paraId="340541DA">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1）智能提升及布水控制系统：</w:t>
      </w:r>
    </w:p>
    <w:p w14:paraId="5D1100AF">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能够根据泵房进水量、液位及运行逻辑智能调节提升流量及布水分配。实时监控布水分配效果，通过采集数据模拟计算提供反馈以优化运行参数并实现节能降耗。</w:t>
      </w:r>
    </w:p>
    <w:p w14:paraId="6358BC5B">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2）智能曝气控制系统：</w:t>
      </w:r>
    </w:p>
    <w:p w14:paraId="7E64DDCC">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能够根据进水流量、水质，池内DO、OPR、氨氮、硝氮等数据反馈，通过机理模型结合流态模拟污泥颗粒微摩擦需求，自动调整曝气量，确保生化池每个阶段最佳运行环境与处理效果，节能降耗。</w:t>
      </w:r>
    </w:p>
    <w:p w14:paraId="6A23416F">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3）智能加药控制系统</w:t>
      </w:r>
    </w:p>
    <w:p w14:paraId="182B3E01">
      <w:pPr>
        <w:spacing w:line="360" w:lineRule="auto"/>
        <w:ind w:firstLine="640" w:firstLineChars="200"/>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系统能根据进水水质、水量及生物池内菌群情况，通过机理模型精准调节补给量，节约药耗。</w:t>
      </w:r>
    </w:p>
    <w:p w14:paraId="6C3C7AA4">
      <w:pPr>
        <w:widowControl w:val="0"/>
        <w:numPr>
          <w:ilvl w:val="0"/>
          <w:numId w:val="0"/>
        </w:numPr>
        <w:spacing w:line="360" w:lineRule="auto"/>
        <w:ind w:left="482" w:leftChars="0"/>
        <w:jc w:val="left"/>
        <w:outlineLvl w:val="4"/>
        <w:rPr>
          <w:rFonts w:hint="eastAsia" w:ascii="方正仿宋_GB2312" w:hAnsi="方正仿宋_GB2312" w:eastAsia="方正仿宋_GB2312" w:cs="方正仿宋_GB2312"/>
          <w:b/>
          <w:bCs/>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kern w:val="2"/>
          <w:sz w:val="32"/>
          <w:szCs w:val="32"/>
          <w:highlight w:val="none"/>
          <w:lang w:val="en-US" w:eastAsia="zh-CN" w:bidi="ar-SA"/>
        </w:rPr>
        <w:t>（3）其他要求</w:t>
      </w:r>
    </w:p>
    <w:p w14:paraId="372F516B">
      <w:pPr>
        <w:widowControl w:val="0"/>
        <w:spacing w:line="360" w:lineRule="auto"/>
        <w:ind w:firstLine="640" w:firstLineChars="200"/>
        <w:jc w:val="both"/>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改良SBR生化反应池配套的管道、阀门、法兰、管件均需符合行业、国家现行的相关规范，并同本项目要求一致。</w:t>
      </w:r>
    </w:p>
    <w:p w14:paraId="541AC97C">
      <w:pPr>
        <w:widowControl w:val="0"/>
        <w:spacing w:line="360" w:lineRule="auto"/>
        <w:ind w:firstLine="640" w:firstLineChars="200"/>
        <w:jc w:val="both"/>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生化池系统内部须设置加药管线，具体加药点及管线布置由投标人中标后确定。</w:t>
      </w:r>
    </w:p>
    <w:p w14:paraId="07F0C300">
      <w:pPr>
        <w:widowControl w:val="0"/>
        <w:spacing w:line="360" w:lineRule="auto"/>
        <w:ind w:firstLine="640" w:firstLineChars="200"/>
        <w:jc w:val="both"/>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本工艺包配套的在线仪表包括；pH计、DO仪、氧化还原电位仪等，仪表配套及安装由投标人提供，并根据现场情况调整。</w:t>
      </w:r>
    </w:p>
    <w:p w14:paraId="14979F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BCE019-3D93-452A-9FC7-24F41C7253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26E5166-700D-452E-8FE0-AC04755963B6}"/>
  </w:font>
  <w:font w:name="方正仿宋_GB2312">
    <w:panose1 w:val="02000000000000000000"/>
    <w:charset w:val="86"/>
    <w:family w:val="auto"/>
    <w:pitch w:val="default"/>
    <w:sig w:usb0="A00002BF" w:usb1="184F6CFA" w:usb2="00000012" w:usb3="00000000" w:csb0="00040001" w:csb1="00000000"/>
    <w:embedRegular r:id="rId3" w:fontKey="{D4A584EF-FA9A-41F9-A41A-469CB6DEF1E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AE2342"/>
    <w:multiLevelType w:val="singleLevel"/>
    <w:tmpl w:val="4BAE2342"/>
    <w:lvl w:ilvl="0" w:tentative="0">
      <w:start w:val="1"/>
      <w:numFmt w:val="decimal"/>
      <w:suff w:val="space"/>
      <w:lvlText w:val="%1."/>
      <w:lvlJc w:val="left"/>
    </w:lvl>
  </w:abstractNum>
  <w:abstractNum w:abstractNumId="1">
    <w:nsid w:val="73C238C9"/>
    <w:multiLevelType w:val="multilevel"/>
    <w:tmpl w:val="73C238C9"/>
    <w:lvl w:ilvl="0" w:tentative="0">
      <w:start w:val="1"/>
      <w:numFmt w:val="chineseCountingThousand"/>
      <w:suff w:val="space"/>
      <w:lvlText w:val="%1"/>
      <w:lvlJc w:val="left"/>
      <w:pPr>
        <w:ind w:left="0" w:firstLine="0"/>
      </w:pPr>
      <w:rPr>
        <w:rFonts w:hint="eastAsia"/>
      </w:rPr>
    </w:lvl>
    <w:lvl w:ilvl="1" w:tentative="0">
      <w:start w:val="1"/>
      <w:numFmt w:val="chineseCountingThousand"/>
      <w:suff w:val="space"/>
      <w:lvlText w:val="（%2）"/>
      <w:lvlJc w:val="left"/>
      <w:pPr>
        <w:ind w:left="0" w:firstLine="0"/>
      </w:pPr>
    </w:lvl>
    <w:lvl w:ilvl="2" w:tentative="0">
      <w:start w:val="1"/>
      <w:numFmt w:val="decimal"/>
      <w:pStyle w:val="9"/>
      <w:suff w:val="space"/>
      <w:lvlText w:val="%3."/>
      <w:lvlJc w:val="left"/>
      <w:pPr>
        <w:ind w:left="0" w:firstLine="0"/>
      </w:pPr>
      <w:rPr>
        <w:rFonts w:hint="eastAsia"/>
        <w:b w:val="0"/>
      </w:rPr>
    </w:lvl>
    <w:lvl w:ilvl="3" w:tentative="0">
      <w:start w:val="1"/>
      <w:numFmt w:val="decimal"/>
      <w:suff w:val="space"/>
      <w:lvlText w:val="%3.%4"/>
      <w:lvlJc w:val="left"/>
      <w:pPr>
        <w:ind w:left="0" w:firstLine="0"/>
      </w:pPr>
      <w:rPr>
        <w:rFonts w:hint="eastAsia"/>
      </w:rPr>
    </w:lvl>
    <w:lvl w:ilvl="4" w:tentative="0">
      <w:start w:val="1"/>
      <w:numFmt w:val="decimal"/>
      <w:suff w:val="space"/>
      <w:lvlText w:val="%3.%4.%5"/>
      <w:lvlJc w:val="left"/>
      <w:pPr>
        <w:ind w:left="0" w:firstLine="0"/>
      </w:pPr>
      <w:rPr>
        <w:rFonts w:hint="eastAsia"/>
      </w:rPr>
    </w:lvl>
    <w:lvl w:ilvl="5" w:tentative="0">
      <w:start w:val="1"/>
      <w:numFmt w:val="decimal"/>
      <w:suff w:val="space"/>
      <w:lvlText w:val="（%6）"/>
      <w:lvlJc w:val="left"/>
      <w:pPr>
        <w:ind w:left="0" w:firstLine="0"/>
      </w:pPr>
      <w:rPr>
        <w:rFonts w:hint="eastAsia" w:ascii="Times New Roman" w:hAnsi="Times New Roman" w:cs="Times New Roman"/>
        <w:b w:val="0"/>
        <w:bCs w:val="0"/>
        <w:i w:val="0"/>
        <w:iCs w:val="0"/>
        <w:caps w:val="0"/>
        <w:smallCaps w:val="0"/>
        <w:strike w:val="0"/>
        <w:dstrike w:val="0"/>
        <w:vanish w:val="0"/>
        <w:spacing w:val="0"/>
        <w:position w:val="0"/>
        <w:u w:val="none"/>
        <w:vertAlign w:val="baseline"/>
      </w:rPr>
    </w:lvl>
    <w:lvl w:ilvl="6" w:tentative="0">
      <w:start w:val="1"/>
      <w:numFmt w:val="decimal"/>
      <w:suff w:val="space"/>
      <w:lvlText w:val="%7）"/>
      <w:lvlJc w:val="left"/>
      <w:pPr>
        <w:ind w:left="0" w:firstLine="0"/>
      </w:pPr>
      <w:rPr>
        <w:rFonts w:hint="eastAsia"/>
      </w:rPr>
    </w:lvl>
    <w:lvl w:ilvl="7" w:tentative="0">
      <w:start w:val="1"/>
      <w:numFmt w:val="upperLetter"/>
      <w:suff w:val="space"/>
      <w:lvlText w:val="%8."/>
      <w:lvlJc w:val="left"/>
      <w:pPr>
        <w:ind w:left="0" w:firstLine="0"/>
      </w:pPr>
      <w:rPr>
        <w:rFonts w:hint="eastAsia"/>
      </w:rPr>
    </w:lvl>
    <w:lvl w:ilvl="8" w:tentative="0">
      <w:start w:val="1"/>
      <w:numFmt w:val="lowerLetter"/>
      <w:pStyle w:val="10"/>
      <w:suff w:val="space"/>
      <w:lvlText w:val="%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A1B5D"/>
    <w:rsid w:val="2DCA50CC"/>
    <w:rsid w:val="4A0E181F"/>
    <w:rsid w:val="612D6C0E"/>
    <w:rsid w:val="7B570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next w:val="1"/>
    <w:unhideWhenUsed/>
    <w:qFormat/>
    <w:uiPriority w:val="99"/>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spacing w:line="240" w:lineRule="auto"/>
    </w:pPr>
    <w:rPr>
      <w:rFonts w:ascii="Arial" w:hAnsi="Arial"/>
      <w:sz w:val="21"/>
    </w:rPr>
  </w:style>
  <w:style w:type="paragraph" w:styleId="5">
    <w:name w:val="Body Text First Indent 2"/>
    <w:basedOn w:val="3"/>
    <w:qFormat/>
    <w:uiPriority w:val="0"/>
    <w:pPr>
      <w:spacing w:line="360" w:lineRule="auto"/>
      <w:ind w:firstLine="420" w:firstLineChars="200"/>
    </w:pPr>
    <w:rPr>
      <w:sz w:val="2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3"/>
    <w:basedOn w:val="10"/>
    <w:next w:val="11"/>
    <w:qFormat/>
    <w:uiPriority w:val="0"/>
    <w:pPr>
      <w:numPr>
        <w:ilvl w:val="2"/>
        <w:numId w:val="1"/>
      </w:numPr>
    </w:pPr>
    <w:rPr>
      <w:rFonts w:ascii="宋体" w:hAnsi="宋体" w:eastAsia="宋体"/>
    </w:rPr>
  </w:style>
  <w:style w:type="paragraph" w:customStyle="1" w:styleId="10">
    <w:name w:val="b-b3"/>
    <w:basedOn w:val="1"/>
    <w:next w:val="1"/>
    <w:qFormat/>
    <w:uiPriority w:val="0"/>
    <w:pPr>
      <w:numPr>
        <w:ilvl w:val="8"/>
        <w:numId w:val="1"/>
      </w:numPr>
      <w:spacing w:before="80" w:after="80"/>
      <w:outlineLvl w:val="2"/>
    </w:pPr>
    <w:rPr>
      <w:rFonts w:eastAsia="黑体"/>
      <w:sz w:val="28"/>
      <w:szCs w:val="28"/>
    </w:rPr>
  </w:style>
  <w:style w:type="paragraph" w:customStyle="1" w:styleId="11">
    <w:name w:val="+正文"/>
    <w:basedOn w:val="1"/>
    <w:qFormat/>
    <w:uiPriority w:val="0"/>
    <w:pPr>
      <w:spacing w:beforeLines="0" w:afterLines="0" w:line="360" w:lineRule="auto"/>
      <w:ind w:firstLine="200" w:firstLineChars="200"/>
    </w:pPr>
    <w:rPr>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1353</Words>
  <Characters>1575</Characters>
  <Lines>0</Lines>
  <Paragraphs>0</Paragraphs>
  <TotalTime>2</TotalTime>
  <ScaleCrop>false</ScaleCrop>
  <LinksUpToDate>false</LinksUpToDate>
  <CharactersWithSpaces>1646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2025-11-25T01:55:00Z</dcterms:created>
  <dc:creator>89546</dc:creator>
  <cp:lastModifiedBy>吴迪</cp:lastModifiedBy>
  <dcterms:modified xsi:type="dcterms:W3CDTF">2025-11-25T05:34:42Z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eyJoZGlkIjoiMjkyMmJiMzdhMDY5Yzc2ZjUyMjFjNTI3NTkwYzdhYzUiLCJ1c2VySWQiOiI2Nzc0MDY1NjYifQ==</vt:lpwstr>
  </property>
  <property fmtid="{D5CDD505-2E9C-101B-9397-08002B2CF9AE}" pid="4" name="ICV">
    <vt:lpwstr>2EAECB0E0C534921911051ADFCDBAF01_12</vt:lpwstr>
  </property>
</Properties>
</file>