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0BF0">
      <w:pPr>
        <w:pStyle w:val="7"/>
        <w:keepNext w:val="0"/>
        <w:keepLines w:val="0"/>
        <w:pageBreakBefore w:val="0"/>
        <w:widowControl w:val="0"/>
        <w:numPr>
          <w:ilvl w:val="2"/>
          <w:numId w:val="0"/>
        </w:numPr>
        <w:kinsoku/>
        <w:wordWrap/>
        <w:overflowPunct/>
        <w:topLinePunct w:val="0"/>
        <w:bidi w:val="0"/>
        <w:spacing w:line="360" w:lineRule="auto"/>
        <w:ind w:leftChars="200"/>
        <w:jc w:val="center"/>
        <w:textAlignment w:val="auto"/>
        <w:outlineLvl w:val="2"/>
        <w:rPr>
          <w:rFonts w:hint="default" w:ascii="方正仿宋_GB2312" w:hAnsi="方正仿宋_GB2312" w:eastAsia="方正仿宋_GB2312" w:cs="方正仿宋_GB2312"/>
          <w:b/>
          <w:bCs/>
          <w:sz w:val="40"/>
          <w:szCs w:val="40"/>
          <w:lang w:val="en-US" w:eastAsia="zh-CN"/>
        </w:rPr>
      </w:pPr>
      <w:r>
        <w:rPr>
          <w:rFonts w:hint="eastAsia" w:ascii="Times New Roman" w:hAnsi="Times New Roman" w:eastAsia="方正仿宋_GB2312" w:cs="Times New Roman"/>
          <w:b/>
          <w:bCs/>
          <w:color w:val="auto"/>
          <w:sz w:val="40"/>
          <w:szCs w:val="40"/>
          <w:lang w:val="en-US" w:eastAsia="zh-CN"/>
        </w:rPr>
        <w:t>泵搅</w:t>
      </w:r>
      <w:r>
        <w:rPr>
          <w:rFonts w:hint="default" w:ascii="Times New Roman" w:hAnsi="Times New Roman" w:eastAsia="方正仿宋_GB2312" w:cs="Times New Roman"/>
          <w:b/>
          <w:bCs/>
          <w:color w:val="auto"/>
          <w:sz w:val="40"/>
          <w:szCs w:val="40"/>
        </w:rPr>
        <w:t>采购清单</w:t>
      </w:r>
      <w:r>
        <w:rPr>
          <w:rFonts w:hint="eastAsia" w:ascii="Times New Roman" w:hAnsi="Times New Roman" w:eastAsia="方正仿宋_GB2312" w:cs="Times New Roman"/>
          <w:b/>
          <w:bCs/>
          <w:color w:val="auto"/>
          <w:sz w:val="40"/>
          <w:szCs w:val="40"/>
          <w:lang w:val="en-US" w:eastAsia="zh-CN"/>
        </w:rPr>
        <w:t>及技术要求</w:t>
      </w:r>
    </w:p>
    <w:p w14:paraId="4B33C3A6">
      <w:pPr>
        <w:pStyle w:val="7"/>
        <w:keepNext w:val="0"/>
        <w:keepLines w:val="0"/>
        <w:pageBreakBefore w:val="0"/>
        <w:widowControl w:val="0"/>
        <w:numPr>
          <w:ilvl w:val="2"/>
          <w:numId w:val="0"/>
        </w:numPr>
        <w:kinsoku/>
        <w:wordWrap/>
        <w:overflowPunct/>
        <w:topLinePunct w:val="0"/>
        <w:bidi w:val="0"/>
        <w:spacing w:line="360" w:lineRule="auto"/>
        <w:ind w:leftChars="200"/>
        <w:textAlignment w:val="auto"/>
        <w:outlineLvl w:val="2"/>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（一）采购内容</w:t>
      </w:r>
    </w:p>
    <w:tbl>
      <w:tblPr>
        <w:tblStyle w:val="5"/>
        <w:tblW w:w="5263" w:type="pct"/>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979"/>
        <w:gridCol w:w="1095"/>
        <w:gridCol w:w="580"/>
        <w:gridCol w:w="1493"/>
        <w:gridCol w:w="613"/>
        <w:gridCol w:w="548"/>
        <w:gridCol w:w="633"/>
        <w:gridCol w:w="498"/>
        <w:gridCol w:w="812"/>
        <w:gridCol w:w="1043"/>
      </w:tblGrid>
      <w:tr w14:paraId="2538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28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单体</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编号</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51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*单体名称</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E6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*设备工艺功能名称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BD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设备类别</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73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CD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*功率</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D4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60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E1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92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*值备数量</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3A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*附属设备/材料</w:t>
            </w:r>
          </w:p>
        </w:tc>
      </w:tr>
      <w:tr w14:paraId="09FE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9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F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粗格栅及提升泵站</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0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进水提升泵1</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17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泵搅</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56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Q=740m³/h, H=12m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A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4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7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3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D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3用,原2台小泵备用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B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自耦装置,导轨导链,长10.0m </w:t>
            </w:r>
          </w:p>
        </w:tc>
      </w:tr>
      <w:tr w14:paraId="4877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6" w:type="pct"/>
            <w:vMerge w:val="restart"/>
            <w:tcBorders>
              <w:top w:val="single" w:color="000000" w:sz="4" w:space="0"/>
              <w:left w:val="single" w:color="000000" w:sz="4" w:space="0"/>
              <w:right w:val="single" w:color="000000" w:sz="4" w:space="0"/>
            </w:tcBorders>
            <w:shd w:val="clear" w:color="auto" w:fill="auto"/>
            <w:vAlign w:val="center"/>
          </w:tcPr>
          <w:p w14:paraId="4E15B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545" w:type="pct"/>
            <w:vMerge w:val="restart"/>
            <w:tcBorders>
              <w:top w:val="single" w:color="000000" w:sz="4" w:space="0"/>
              <w:left w:val="single" w:color="000000" w:sz="4" w:space="0"/>
              <w:right w:val="single" w:color="000000" w:sz="4" w:space="0"/>
            </w:tcBorders>
            <w:shd w:val="clear" w:color="auto" w:fill="auto"/>
            <w:vAlign w:val="center"/>
          </w:tcPr>
          <w:p w14:paraId="0C45F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接触消毒池、出水提升泵房及加氯间</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F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尾水提升泵</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4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泵搅</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F7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Q=570m³/h, H=15m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E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2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D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4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B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3用,原2台小泵备用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F3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自耦装置,导轨导链,长6.0m </w:t>
            </w:r>
          </w:p>
        </w:tc>
      </w:tr>
      <w:tr w14:paraId="0E53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6" w:type="pct"/>
            <w:vMerge w:val="continue"/>
            <w:tcBorders>
              <w:left w:val="single" w:color="000000" w:sz="4" w:space="0"/>
              <w:bottom w:val="single" w:color="000000" w:sz="4" w:space="0"/>
              <w:right w:val="single" w:color="000000" w:sz="4" w:space="0"/>
            </w:tcBorders>
            <w:shd w:val="clear" w:color="auto" w:fill="auto"/>
            <w:vAlign w:val="center"/>
          </w:tcPr>
          <w:p w14:paraId="61351D28">
            <w:pPr>
              <w:jc w:val="center"/>
              <w:rPr>
                <w:rFonts w:hint="eastAsia" w:ascii="宋体" w:hAnsi="宋体" w:eastAsia="宋体" w:cs="宋体"/>
                <w:i w:val="0"/>
                <w:iCs w:val="0"/>
                <w:color w:val="000000"/>
                <w:sz w:val="24"/>
                <w:szCs w:val="24"/>
                <w:u w:val="none"/>
              </w:rPr>
            </w:pPr>
          </w:p>
        </w:tc>
        <w:tc>
          <w:tcPr>
            <w:tcW w:w="545" w:type="pct"/>
            <w:vMerge w:val="continue"/>
            <w:tcBorders>
              <w:left w:val="single" w:color="000000" w:sz="4" w:space="0"/>
              <w:bottom w:val="single" w:color="000000" w:sz="4" w:space="0"/>
              <w:right w:val="single" w:color="000000" w:sz="4" w:space="0"/>
            </w:tcBorders>
            <w:shd w:val="clear" w:color="auto" w:fill="auto"/>
            <w:vAlign w:val="center"/>
          </w:tcPr>
          <w:p w14:paraId="2DEF342C">
            <w:pPr>
              <w:jc w:val="center"/>
              <w:rPr>
                <w:rFonts w:hint="eastAsia" w:ascii="宋体" w:hAnsi="宋体" w:eastAsia="宋体" w:cs="宋体"/>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E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中水泵</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7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泵搅</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C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Q=50m³/h, H=30m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E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3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9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0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C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1用1备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54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自耦装置,导轨导链,长6.0m </w:t>
            </w:r>
          </w:p>
        </w:tc>
      </w:tr>
      <w:tr w14:paraId="5811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6" w:type="pct"/>
            <w:vMerge w:val="restart"/>
            <w:tcBorders>
              <w:top w:val="single" w:color="000000" w:sz="4" w:space="0"/>
              <w:left w:val="single" w:color="000000" w:sz="4" w:space="0"/>
              <w:right w:val="single" w:color="000000" w:sz="4" w:space="0"/>
            </w:tcBorders>
            <w:shd w:val="clear" w:color="auto" w:fill="auto"/>
            <w:vAlign w:val="center"/>
          </w:tcPr>
          <w:p w14:paraId="3B41570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201</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207</w:t>
            </w:r>
          </w:p>
        </w:tc>
        <w:tc>
          <w:tcPr>
            <w:tcW w:w="545" w:type="pct"/>
            <w:vMerge w:val="restart"/>
            <w:tcBorders>
              <w:top w:val="single" w:color="000000" w:sz="4" w:space="0"/>
              <w:left w:val="single" w:color="000000" w:sz="4" w:space="0"/>
              <w:right w:val="single" w:color="000000" w:sz="4" w:space="0"/>
            </w:tcBorders>
            <w:shd w:val="clear" w:color="auto" w:fill="auto"/>
            <w:vAlign w:val="center"/>
          </w:tcPr>
          <w:p w14:paraId="2D02088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调节池及2#除臭装置</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1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搅拌机</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19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泵搅</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2B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叶轮直径Ø400mm,n=740r/min</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A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6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9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4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0C4F">
            <w:pPr>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69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配套起吊装置</w:t>
            </w:r>
          </w:p>
        </w:tc>
      </w:tr>
      <w:tr w14:paraId="4CA3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6" w:type="pct"/>
            <w:vMerge w:val="continue"/>
            <w:tcBorders>
              <w:left w:val="single" w:color="000000" w:sz="4" w:space="0"/>
              <w:bottom w:val="single" w:color="000000" w:sz="4" w:space="0"/>
              <w:right w:val="single" w:color="000000" w:sz="4" w:space="0"/>
            </w:tcBorders>
            <w:shd w:val="clear" w:color="auto" w:fill="auto"/>
            <w:vAlign w:val="center"/>
          </w:tcPr>
          <w:p w14:paraId="760978E8">
            <w:pPr>
              <w:jc w:val="center"/>
              <w:rPr>
                <w:rFonts w:hint="eastAsia" w:ascii="宋体" w:hAnsi="宋体" w:eastAsia="宋体" w:cs="宋体"/>
                <w:i w:val="0"/>
                <w:iCs w:val="0"/>
                <w:color w:val="000000"/>
                <w:sz w:val="24"/>
                <w:szCs w:val="24"/>
                <w:u w:val="none"/>
              </w:rPr>
            </w:pPr>
          </w:p>
        </w:tc>
        <w:tc>
          <w:tcPr>
            <w:tcW w:w="545" w:type="pct"/>
            <w:vMerge w:val="continue"/>
            <w:tcBorders>
              <w:left w:val="single" w:color="000000" w:sz="4" w:space="0"/>
              <w:bottom w:val="single" w:color="000000" w:sz="4" w:space="0"/>
              <w:right w:val="single" w:color="000000" w:sz="4" w:space="0"/>
            </w:tcBorders>
            <w:shd w:val="clear" w:color="auto" w:fill="auto"/>
            <w:vAlign w:val="center"/>
          </w:tcPr>
          <w:p w14:paraId="7DDBE015">
            <w:pPr>
              <w:jc w:val="center"/>
              <w:rPr>
                <w:rFonts w:hint="eastAsia" w:ascii="宋体" w:hAnsi="宋体" w:eastAsia="宋体" w:cs="宋体"/>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B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二次提升泵</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6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泵搅</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C6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Q=542m³/h, H=10.8m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6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1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6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F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3用1备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5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自耦装置,导轨导链,长7.3m </w:t>
            </w:r>
          </w:p>
        </w:tc>
      </w:tr>
      <w:tr w14:paraId="0690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1A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E78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水解酸化池</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31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三次提升泵</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1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泵搅</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65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Q=271m³/h, H=15m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4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1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0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E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F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2用1备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D7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自耦装置,导轨导链,长8m</w:t>
            </w:r>
          </w:p>
        </w:tc>
      </w:tr>
    </w:tbl>
    <w:p w14:paraId="6B00BDC7">
      <w:pPr>
        <w:pStyle w:val="7"/>
        <w:keepNext w:val="0"/>
        <w:keepLines w:val="0"/>
        <w:pageBreakBefore w:val="0"/>
        <w:widowControl w:val="0"/>
        <w:numPr>
          <w:ilvl w:val="2"/>
          <w:numId w:val="0"/>
        </w:numPr>
        <w:kinsoku/>
        <w:wordWrap/>
        <w:overflowPunct/>
        <w:topLinePunct w:val="0"/>
        <w:bidi w:val="0"/>
        <w:spacing w:line="360" w:lineRule="auto"/>
        <w:ind w:leftChars="200"/>
        <w:textAlignment w:val="auto"/>
        <w:outlineLvl w:val="2"/>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（二）技术要求</w:t>
      </w:r>
    </w:p>
    <w:p w14:paraId="78B8EFCC">
      <w:pPr>
        <w:pStyle w:val="7"/>
        <w:keepNext w:val="0"/>
        <w:keepLines w:val="0"/>
        <w:pageBreakBefore w:val="0"/>
        <w:widowControl w:val="0"/>
        <w:numPr>
          <w:ilvl w:val="2"/>
          <w:numId w:val="2"/>
        </w:numPr>
        <w:kinsoku/>
        <w:wordWrap/>
        <w:overflowPunct/>
        <w:topLinePunct w:val="0"/>
        <w:bidi w:val="0"/>
        <w:spacing w:line="360" w:lineRule="auto"/>
        <w:ind w:left="0" w:leftChars="0" w:firstLine="640" w:firstLineChars="200"/>
        <w:textAlignment w:val="auto"/>
        <w:outlineLvl w:val="3"/>
        <w:rPr>
          <w:rFonts w:hint="eastAsia" w:ascii="方正仿宋_GB2312" w:hAnsi="方正仿宋_GB2312" w:eastAsia="方正仿宋_GB2312" w:cs="方正仿宋_GB2312"/>
          <w:sz w:val="32"/>
          <w:szCs w:val="32"/>
        </w:rPr>
      </w:pPr>
      <w:bookmarkStart w:id="0" w:name="_Toc208495406"/>
      <w:bookmarkStart w:id="1" w:name="_Toc5065"/>
      <w:r>
        <w:rPr>
          <w:rFonts w:hint="eastAsia" w:ascii="方正仿宋_GB2312" w:hAnsi="方正仿宋_GB2312" w:eastAsia="方正仿宋_GB2312" w:cs="方正仿宋_GB2312"/>
          <w:sz w:val="32"/>
          <w:szCs w:val="32"/>
        </w:rPr>
        <w:t>潜水搅拌机</w:t>
      </w:r>
      <w:bookmarkEnd w:id="0"/>
      <w:bookmarkEnd w:id="1"/>
    </w:p>
    <w:p w14:paraId="7235EE1B">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供货范围</w:t>
      </w:r>
    </w:p>
    <w:p w14:paraId="60E52B0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水搅拌器为成套装置，每套产品常规包含潜水搅拌器主机、水上安装系统（含起吊座、转向棒、起吊架、手摇装置、钢丝绳等）、不停水水下安装系统（含提升导杆、转盘、支撑架、固定杆、限位座等）、电缆固定网套等有效和安全运行所必需的附件、运输及卸货、</w:t>
      </w:r>
      <w:r>
        <w:rPr>
          <w:rFonts w:hint="eastAsia" w:ascii="方正仿宋_GB2312" w:hAnsi="方正仿宋_GB2312" w:eastAsia="方正仿宋_GB2312" w:cs="方正仿宋_GB2312"/>
          <w:sz w:val="32"/>
          <w:szCs w:val="32"/>
          <w:lang w:val="en-US" w:eastAsia="zh-CN"/>
        </w:rPr>
        <w:t>指导</w:t>
      </w:r>
      <w:r>
        <w:rPr>
          <w:rFonts w:hint="eastAsia" w:ascii="方正仿宋_GB2312" w:hAnsi="方正仿宋_GB2312" w:eastAsia="方正仿宋_GB2312" w:cs="方正仿宋_GB2312"/>
          <w:sz w:val="32"/>
          <w:szCs w:val="32"/>
        </w:rPr>
        <w:t>设备安装、性能调试。</w:t>
      </w:r>
    </w:p>
    <w:p w14:paraId="03EEB722">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产品性能指标</w:t>
      </w:r>
    </w:p>
    <w:p w14:paraId="2475D2C4">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性能概述</w:t>
      </w:r>
    </w:p>
    <w:p w14:paraId="056F16BE">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水搅拌器设计为水力平衡的无堵塞拽后式叶轮、搅拌器与电机直联形式，中间通过油腔室隔开。搅拌器采用潜水式安装，能够在水下持续长期运行、间歇运行和长期停止状态后的恢复运行，安全无故障运行时间至少为20，000小时。潜水搅拌器运行时的噪音小于75dBA，振动满足ISO10816－3，4区，B级的要求。</w:t>
      </w:r>
    </w:p>
    <w:p w14:paraId="45C778ED">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壳体</w:t>
      </w:r>
    </w:p>
    <w:p w14:paraId="4313F22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潜水搅拌器的壳体由优质不锈钢材质制造，壳体厚度足以承受静水压试验及连续工作时的压力载荷，其表面平整无气孔，转动头部呈流线型。壳体零件的材质为不锈钢ASTM304。</w:t>
      </w:r>
    </w:p>
    <w:p w14:paraId="53C93950">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螺旋桨叶轮</w:t>
      </w:r>
    </w:p>
    <w:p w14:paraId="62DFED39">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螺旋桨叶轮采用水力平衡的三叶片无堵塞拽后设计，叶片设计具有自清，免振功能。</w:t>
      </w:r>
    </w:p>
    <w:p w14:paraId="279A2FF7">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保证叶型不变形而影响水力性能，螺旋桨叶轮采用不锈钢失蜡模铸造工艺整体铸造，不可采用焊接叶片方式，避免焊接应力引起的叶片变形、分布不均匀从而导致影响螺旋桨叶轮水力性能。螺旋桨叶轮的材质采用不锈钢304。</w:t>
      </w:r>
    </w:p>
    <w:p w14:paraId="31CD8F08">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每一只螺旋桨叶轮加工之后须经过静平衡和动平衡测试，动平衡按G6.3级执行。振动烈度不大于0.45mm/s。</w:t>
      </w:r>
    </w:p>
    <w:p w14:paraId="39010E20">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螺旋桨叶轮用键固定在轴上，并采用安全的自锁装置进行固定，以防叶轮和轴在正转或反转时发生松动。</w:t>
      </w:r>
    </w:p>
    <w:p w14:paraId="38575D0C">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w:t>
      </w:r>
    </w:p>
    <w:p w14:paraId="19B7CBF8">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搅拌器轴和电机轴为同一单元。搅拌器轴是电机轴的延伸，不可采用任何其它耦连形式。轴的材料选用不锈钢420，并且与搅拌介质完全隔离。所有的轴均经过调质热处理，去除内应力并提高表面硬度至HB215-255。</w:t>
      </w:r>
    </w:p>
    <w:p w14:paraId="2012CABE">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轴与铸铝转子、轴承、机械密封以及螺旋桨叶轮等所有配合表面，均须通过高精度磨床设备进行磨削加工，保证配合尺寸精度和表面光洁度，提高设备的可靠性和使用寿命。</w:t>
      </w:r>
    </w:p>
    <w:p w14:paraId="2F34A2BF">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轴承</w:t>
      </w:r>
    </w:p>
    <w:p w14:paraId="5E89D2EA">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水搅拌器电机的轴承采用优质轴承钢制造的耐磨和脂涧滑型免维护型，轴承采用可耐温120℃的C3大游隙的轴承。上轴承采用单列向心球轴承受搅拌器运行时产生的径向力，下轴承采用单列向心球轴承潜水搅拌器运行时产生的轴向和径向负荷。所有轴承的设计使用寿命不低于100000小时。轴承完全与搅拌器搅拌的介质分开。</w:t>
      </w:r>
    </w:p>
    <w:p w14:paraId="498B3612">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同时采用工艺设备轴承定量注油机，严格控制注入轴承室内的润滑油脂容量，更好地保证轴承在良好的润滑条件下运行，延长轴承的寿命。</w:t>
      </w:r>
    </w:p>
    <w:p w14:paraId="51B72C56">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密封</w:t>
      </w:r>
    </w:p>
    <w:p w14:paraId="377A1FF2">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结构件结合密封</w:t>
      </w:r>
    </w:p>
    <w:p w14:paraId="3C539FF9">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构件结合面一般须为金属与金属表面配合接触密封，对于有水密封要求的接触面作精密加工并设置丁腈橡胶O型密封圈，依靠金属加工面之间的压缩，而不需要施加特殊的扭力，使O型环受压变形并与密封槽四边接触达到密封的装配。</w:t>
      </w:r>
    </w:p>
    <w:p w14:paraId="0C8A1774">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电缆进线密封</w:t>
      </w:r>
    </w:p>
    <w:p w14:paraId="1DD4D3A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电缆入口由一个简单的圆柱型橡胶套筒组成，并与两侧的垫圈相接，形成一紧密的配合来压紧电缆的外径与入口的内径之间的间隙，保证在水下有效的密封，密封组件的设计要方便更换电缆。</w:t>
      </w:r>
    </w:p>
    <w:p w14:paraId="07847308">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电缆进线密封要求电缆外部用上下两个压紧板，夹住橡胶密封圈。保证搅拌器在运转过程中水不可能沿着电缆外壁渗漏进入电机。</w:t>
      </w:r>
    </w:p>
    <w:p w14:paraId="4A79CE79">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另外电缆要采用防拔脱结构，将套在电缆外部的电缆线护套压紧，保证电缆在运输、安装、使用过程中，都不至于造成电缆根部从电机中拔脱出来。</w:t>
      </w:r>
    </w:p>
    <w:p w14:paraId="29BD8D4A">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电缆末端密封</w:t>
      </w:r>
    </w:p>
    <w:p w14:paraId="4A04DDCB">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潜水搅拌机将电缆线各股剥离出的铜丝进行灌胶处理，再将股与股之间进行灌胶处理，最后用耐高温的特种热缩套管将各股电缆引接线与电缆外部封住。</w:t>
      </w:r>
    </w:p>
    <w:p w14:paraId="64BC12C2">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机械密封 </w:t>
      </w:r>
    </w:p>
    <w:p w14:paraId="7F61C233">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用两道串联单端面机械密封系统，包括外侧密封和电机侧密封。外侧密封主要防止水从搅拌器外部沿主轴向内进入油腔，外侧密封处采用迷宫式结构设计，能有效阻止水中杂物进入，避免杂物缠绕导致机械密封失效或损坏现象的发生。电机侧密封安装在电机的油腔室内，是防止水进入电机的最重要一环。机械密封安装在油腔内，腔内充有一定量的机械润滑油，使机械密封在运行过程中，润滑油能以一稳定的流速对重叠的密封面进行润滑。</w:t>
      </w:r>
    </w:p>
    <w:p w14:paraId="0DF0DC40">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机械密封的设计使用寿命不小于25000小时，机械密封零件的材料为耐腐蚀烧结碳化硅，介质酸碱度范围为PH5～10。能经受住腐蚀、磨损、温度以及机械冲击等，以确保机械密封的性能。</w:t>
      </w:r>
    </w:p>
    <w:p w14:paraId="4FA1D73B">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为消除机械润滑油在油腔室中的热膨胀，又要保证机械密封的有效润滑，提升密封结构的可靠性，我公司独创油腔室中润滑油定量加油工艺，附图。保证每一台主机加油量一致。</w:t>
      </w:r>
    </w:p>
    <w:p w14:paraId="1075872E">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导流罩</w:t>
      </w:r>
    </w:p>
    <w:p w14:paraId="2BDC6CAA">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搅拌器的叶轮周围360度范围内装配一圈导流罩。导流罩材质为不锈钢304或更好材质，为维持水力效率和能量消耗，螺旋桨叶轮顶端至导流罩的最大间隙不大于16mm。</w:t>
      </w:r>
    </w:p>
    <w:p w14:paraId="303F2EEE">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w:t>
      </w:r>
    </w:p>
    <w:p w14:paraId="4A04BA4E">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电机适于3相、380V、50HZ的交流电源的鼠笼型异步电动机，防护等级为IP68，绝缘等级为F级。</w:t>
      </w:r>
    </w:p>
    <w:p w14:paraId="5FFBE5C6">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电机能连续运转，满足每小时至少15次的起动要求，而不会引起任何有害影响。</w:t>
      </w:r>
    </w:p>
    <w:p w14:paraId="0637E02D">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电机的允许电压波动为正负10%，电机的设计保证能在不超过</w:t>
      </w:r>
      <w:r>
        <w:rPr>
          <w:rFonts w:hint="eastAsia" w:ascii="方正仿宋_GB2312" w:hAnsi="方正仿宋_GB2312" w:eastAsia="方正仿宋_GB2312" w:cs="方正仿宋_GB2312"/>
          <w:sz w:val="32"/>
          <w:szCs w:val="32"/>
          <w:lang w:val="en-US" w:eastAsia="zh-CN"/>
        </w:rPr>
        <w:t>45</w:t>
      </w:r>
      <w:r>
        <w:rPr>
          <w:rFonts w:hint="eastAsia" w:ascii="方正仿宋_GB2312" w:hAnsi="方正仿宋_GB2312" w:eastAsia="方正仿宋_GB2312" w:cs="方正仿宋_GB2312"/>
          <w:sz w:val="32"/>
          <w:szCs w:val="32"/>
        </w:rPr>
        <w:t>℃的环境下连续工作，其温升不超过80K。</w:t>
      </w:r>
    </w:p>
    <w:p w14:paraId="2D2586E5">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电机要有足够的额定功率，功率裕度在10%以上，以保证搅拌器在运行过程中不过载。</w:t>
      </w:r>
    </w:p>
    <w:p w14:paraId="5673E947">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定子绕组和绝缘线须选用H级高品质材料，高于国家标准的要求，电机绕组最高要可承受155 ℃的温度。定、转子冲片要求采用高效50W470的冷轧矽钢片精叠成型，转子硬模铸铝制成，减少无效损耗，提升电机的效率。电机的定子要在环氧绝缘漆中通过VIP工艺真空浸漆，保证定子绕组对机壳的绝缘电阻静态保持在500M</w:t>
      </w:r>
      <w:r>
        <w:rPr>
          <w:rFonts w:hint="eastAsia" w:ascii="方正仿宋_GB2312" w:hAnsi="方正仿宋_GB2312" w:eastAsia="方正仿宋_GB2312" w:cs="方正仿宋_GB2312"/>
          <w:sz w:val="32"/>
          <w:szCs w:val="32"/>
        </w:rPr>
        <w:sym w:font="Symbol" w:char="0057"/>
      </w:r>
      <w:r>
        <w:rPr>
          <w:rFonts w:hint="eastAsia" w:ascii="方正仿宋_GB2312" w:hAnsi="方正仿宋_GB2312" w:eastAsia="方正仿宋_GB2312" w:cs="方正仿宋_GB2312"/>
          <w:sz w:val="32"/>
          <w:szCs w:val="32"/>
        </w:rPr>
        <w:t>以上并具有优良的防潮抗湿性。</w:t>
      </w:r>
    </w:p>
    <w:p w14:paraId="56A43260">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电机在额定工况下连续运行的平均寿命不低于15年。</w:t>
      </w:r>
    </w:p>
    <w:p w14:paraId="4EBA18FB">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推流与搅拌性能</w:t>
      </w:r>
    </w:p>
    <w:p w14:paraId="2645870F">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每台潜水搅拌器均能在污水中连续工作，推动污水的流动，保证池底流速（距池底300mm为准）0.3m/s，保证颗粒物不会在池中沉淀与凝结。</w:t>
      </w:r>
    </w:p>
    <w:p w14:paraId="5F2483BF">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2" w:name="_Toc112226529"/>
      <w:bookmarkStart w:id="3" w:name="_Toc112494504"/>
      <w:bookmarkStart w:id="4" w:name="_Toc110613752"/>
      <w:bookmarkStart w:id="5" w:name="_Toc112637199"/>
      <w:bookmarkStart w:id="6" w:name="_Toc112487988"/>
      <w:r>
        <w:rPr>
          <w:rFonts w:hint="eastAsia" w:ascii="方正仿宋_GB2312" w:hAnsi="方正仿宋_GB2312" w:eastAsia="方正仿宋_GB2312" w:cs="方正仿宋_GB2312"/>
          <w:sz w:val="32"/>
          <w:szCs w:val="32"/>
        </w:rPr>
        <w:t>设备主要部件材</w:t>
      </w:r>
      <w:bookmarkEnd w:id="2"/>
      <w:bookmarkEnd w:id="3"/>
      <w:bookmarkEnd w:id="4"/>
      <w:bookmarkEnd w:id="5"/>
      <w:bookmarkEnd w:id="6"/>
      <w:r>
        <w:rPr>
          <w:rFonts w:hint="eastAsia" w:ascii="方正仿宋_GB2312" w:hAnsi="方正仿宋_GB2312" w:eastAsia="方正仿宋_GB2312" w:cs="方正仿宋_GB2312"/>
          <w:sz w:val="32"/>
          <w:szCs w:val="32"/>
        </w:rPr>
        <w:t>质</w:t>
      </w:r>
    </w:p>
    <w:p w14:paraId="28EA8EEC">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所有潜水搅拌器的材料都适合招标方的使用环境，其主要零部件材料如下：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4517"/>
      </w:tblGrid>
      <w:tr w14:paraId="2DE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790860E8">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bookmarkStart w:id="7" w:name="_Toc112637200"/>
            <w:bookmarkStart w:id="8" w:name="_Toc112494505"/>
            <w:bookmarkStart w:id="9" w:name="_Toc110613753"/>
            <w:bookmarkStart w:id="10" w:name="_Toc112226530"/>
            <w:bookmarkStart w:id="11" w:name="_Toc112487989"/>
            <w:r>
              <w:rPr>
                <w:rFonts w:hint="eastAsia" w:ascii="方正仿宋_GB2312" w:hAnsi="方正仿宋_GB2312" w:eastAsia="方正仿宋_GB2312" w:cs="方正仿宋_GB2312"/>
                <w:color w:val="000000"/>
                <w:sz w:val="32"/>
                <w:szCs w:val="32"/>
              </w:rPr>
              <w:t>零部件名称</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B7E10F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材质/品牌</w:t>
            </w:r>
          </w:p>
        </w:tc>
      </w:tr>
      <w:tr w14:paraId="6E81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3A2531B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电机壳体</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171075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pacing w:val="8"/>
                <w:sz w:val="32"/>
                <w:szCs w:val="32"/>
              </w:rPr>
            </w:pPr>
            <w:r>
              <w:rPr>
                <w:rFonts w:hint="eastAsia" w:ascii="方正仿宋_GB2312" w:hAnsi="方正仿宋_GB2312" w:eastAsia="方正仿宋_GB2312" w:cs="方正仿宋_GB2312"/>
                <w:bCs/>
                <w:sz w:val="32"/>
                <w:szCs w:val="32"/>
              </w:rPr>
              <w:t>不锈钢304</w:t>
            </w:r>
          </w:p>
        </w:tc>
      </w:tr>
      <w:tr w14:paraId="7EF7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7B2ABD5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叶轮</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5895B0D9">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pacing w:val="8"/>
                <w:sz w:val="32"/>
                <w:szCs w:val="32"/>
              </w:rPr>
            </w:pPr>
            <w:r>
              <w:rPr>
                <w:rFonts w:hint="eastAsia" w:ascii="方正仿宋_GB2312" w:hAnsi="方正仿宋_GB2312" w:eastAsia="方正仿宋_GB2312" w:cs="方正仿宋_GB2312"/>
                <w:bCs/>
                <w:sz w:val="32"/>
                <w:szCs w:val="32"/>
              </w:rPr>
              <w:t>不锈钢304</w:t>
            </w:r>
          </w:p>
        </w:tc>
      </w:tr>
      <w:tr w14:paraId="325D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56F5EC2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导流罩（可选）</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269C20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不锈钢304</w:t>
            </w:r>
          </w:p>
        </w:tc>
      </w:tr>
      <w:tr w14:paraId="7CDE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21FEBDAE">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轴</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6488EEF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不锈钢420</w:t>
            </w:r>
          </w:p>
        </w:tc>
      </w:tr>
      <w:tr w14:paraId="60A5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11D0C686">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水上安装系统</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69DCCDA4">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不锈钢304</w:t>
            </w:r>
          </w:p>
        </w:tc>
      </w:tr>
      <w:tr w14:paraId="1134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07460CCC">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水下安装系统</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4AD2DB2">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不锈钢304</w:t>
            </w:r>
          </w:p>
        </w:tc>
      </w:tr>
      <w:tr w14:paraId="34D9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238F5B5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机械密封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102C620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耐腐蚀烧结碳化硅</w:t>
            </w:r>
          </w:p>
        </w:tc>
      </w:tr>
      <w:tr w14:paraId="4EA0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1869216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O型圈</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E6132A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丁腈橡胶</w:t>
            </w:r>
          </w:p>
        </w:tc>
      </w:tr>
      <w:tr w14:paraId="11C9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898" w:type="dxa"/>
            <w:tcBorders>
              <w:top w:val="single" w:color="auto" w:sz="4" w:space="0"/>
              <w:left w:val="single" w:color="auto" w:sz="4" w:space="0"/>
              <w:bottom w:val="single" w:color="auto" w:sz="4" w:space="0"/>
              <w:right w:val="single" w:color="auto" w:sz="4" w:space="0"/>
            </w:tcBorders>
            <w:noWrap w:val="0"/>
            <w:vAlign w:val="center"/>
          </w:tcPr>
          <w:p w14:paraId="3BA997F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Cs/>
                <w:spacing w:val="8"/>
                <w:sz w:val="32"/>
                <w:szCs w:val="32"/>
              </w:rPr>
              <w:t>标准紧固件</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027B6CD">
            <w:pPr>
              <w:keepNext w:val="0"/>
              <w:keepLines w:val="0"/>
              <w:pageBreakBefore w:val="0"/>
              <w:widowControl w:val="0"/>
              <w:kinsoku/>
              <w:wordWrap/>
              <w:overflowPunct/>
              <w:topLinePunct w:val="0"/>
              <w:bidi w:val="0"/>
              <w:spacing w:line="360" w:lineRule="auto"/>
              <w:ind w:left="0" w:leftChars="0"/>
              <w:jc w:val="center"/>
              <w:textAlignment w:val="auto"/>
              <w:rPr>
                <w:rFonts w:hint="eastAsia" w:ascii="方正仿宋_GB2312" w:hAnsi="方正仿宋_GB2312" w:eastAsia="方正仿宋_GB2312" w:cs="方正仿宋_GB2312"/>
                <w:bCs/>
                <w:spacing w:val="8"/>
                <w:sz w:val="32"/>
                <w:szCs w:val="32"/>
              </w:rPr>
            </w:pPr>
            <w:r>
              <w:rPr>
                <w:rFonts w:hint="eastAsia" w:ascii="方正仿宋_GB2312" w:hAnsi="方正仿宋_GB2312" w:eastAsia="方正仿宋_GB2312" w:cs="方正仿宋_GB2312"/>
                <w:bCs/>
                <w:sz w:val="32"/>
                <w:szCs w:val="32"/>
              </w:rPr>
              <w:t>不锈钢304</w:t>
            </w:r>
          </w:p>
          <w:p w14:paraId="52664AD0">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方正仿宋_GB2312" w:hAnsi="方正仿宋_GB2312" w:eastAsia="方正仿宋_GB2312" w:cs="方正仿宋_GB2312"/>
                <w:bCs/>
                <w:sz w:val="32"/>
                <w:szCs w:val="32"/>
              </w:rPr>
            </w:pPr>
          </w:p>
        </w:tc>
      </w:tr>
      <w:bookmarkEnd w:id="7"/>
      <w:bookmarkEnd w:id="8"/>
      <w:bookmarkEnd w:id="9"/>
      <w:bookmarkEnd w:id="10"/>
      <w:bookmarkEnd w:id="11"/>
    </w:tbl>
    <w:p w14:paraId="23E74EFE">
      <w:pPr>
        <w:pStyle w:val="7"/>
        <w:keepNext w:val="0"/>
        <w:keepLines w:val="0"/>
        <w:pageBreakBefore w:val="0"/>
        <w:widowControl w:val="0"/>
        <w:numPr>
          <w:ilvl w:val="2"/>
          <w:numId w:val="2"/>
        </w:numPr>
        <w:kinsoku/>
        <w:wordWrap/>
        <w:overflowPunct/>
        <w:topLinePunct w:val="0"/>
        <w:bidi w:val="0"/>
        <w:spacing w:line="360" w:lineRule="auto"/>
        <w:ind w:left="0" w:leftChars="0" w:firstLine="640" w:firstLineChars="200"/>
        <w:textAlignment w:val="auto"/>
        <w:outlineLvl w:val="3"/>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bookmarkStart w:id="12" w:name="_Toc208495407"/>
      <w:bookmarkStart w:id="13" w:name="_Toc15618"/>
      <w:r>
        <w:rPr>
          <w:rFonts w:hint="eastAsia" w:ascii="方正仿宋_GB2312" w:hAnsi="方正仿宋_GB2312" w:eastAsia="方正仿宋_GB2312" w:cs="方正仿宋_GB2312"/>
          <w:sz w:val="32"/>
          <w:szCs w:val="32"/>
        </w:rPr>
        <w:t>潜水泵</w:t>
      </w:r>
      <w:bookmarkEnd w:id="12"/>
      <w:bookmarkEnd w:id="13"/>
    </w:p>
    <w:p w14:paraId="3255B6E8">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供货范围</w:t>
      </w:r>
    </w:p>
    <w:p w14:paraId="0D7B1306">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1）潜水排污泵配备出水弯座、耦合装置、提升用导向杆（导轨）、提升链（索）、水下电缆以及安装和安全运行所必需的附件、运输及卸货、</w:t>
      </w:r>
      <w:r>
        <w:rPr>
          <w:rFonts w:hint="eastAsia" w:ascii="方正仿宋_GB2312" w:hAnsi="方正仿宋_GB2312" w:eastAsia="方正仿宋_GB2312" w:cs="方正仿宋_GB2312"/>
          <w:sz w:val="32"/>
          <w:szCs w:val="32"/>
          <w:lang w:val="en-US" w:eastAsia="zh-CN"/>
        </w:rPr>
        <w:t>指导</w:t>
      </w:r>
      <w:bookmarkStart w:id="38" w:name="_GoBack"/>
      <w:bookmarkEnd w:id="38"/>
      <w:r>
        <w:rPr>
          <w:rFonts w:hint="eastAsia" w:ascii="方正仿宋_GB2312" w:hAnsi="方正仿宋_GB2312" w:eastAsia="方正仿宋_GB2312" w:cs="方正仿宋_GB2312"/>
          <w:sz w:val="32"/>
          <w:szCs w:val="32"/>
        </w:rPr>
        <w:t>设备安装、性能调试。</w:t>
      </w:r>
    </w:p>
    <w:p w14:paraId="3CCB6C29">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2）随机附带维修使用手册、质量证明等资料，同时包含相关技术服务。</w:t>
      </w:r>
    </w:p>
    <w:p w14:paraId="02E35AB8">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产品性能指标</w:t>
      </w:r>
    </w:p>
    <w:p w14:paraId="624ABB52">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性能指标</w:t>
      </w:r>
    </w:p>
    <w:p w14:paraId="1967E965">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潜水排污泵设计为立式、无堵塞离心式叶轮、水泵与电机直联形式，中间通过油腔室隔开。水泵采用潜水式安装，能够在水下持续长期运行、间歇运行和长期停止状态后的恢复运行，安全运行时间至少为25000小时，机组的设计使用寿命不小于25年。潜污泵能自由地通过所要求的固体颗粒。泵运行时的噪音小于80dBA，振动满足ISO10816－3，4区，B级的要求。潜污泵电机能连续和间歇运行，并不对泵带来任何有害影响。泵装置在泵的设计负荷范围内，无震动和无气蚀地平稳运行。</w:t>
      </w:r>
    </w:p>
    <w:p w14:paraId="492E804A">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14" w:name="_Toc26605"/>
      <w:bookmarkStart w:id="15" w:name="_Toc179384633"/>
      <w:bookmarkStart w:id="16" w:name="_Toc4535"/>
      <w:bookmarkStart w:id="17" w:name="_Toc179384627"/>
      <w:bookmarkStart w:id="18" w:name="_Toc30769"/>
      <w:bookmarkStart w:id="19" w:name="_Toc31406"/>
      <w:r>
        <w:rPr>
          <w:rFonts w:hint="eastAsia" w:ascii="方正仿宋_GB2312" w:hAnsi="方正仿宋_GB2312" w:eastAsia="方正仿宋_GB2312" w:cs="方正仿宋_GB2312"/>
          <w:sz w:val="32"/>
          <w:szCs w:val="32"/>
        </w:rPr>
        <w:t>壳体</w:t>
      </w:r>
      <w:bookmarkEnd w:id="14"/>
      <w:bookmarkEnd w:id="15"/>
      <w:bookmarkEnd w:id="16"/>
    </w:p>
    <w:p w14:paraId="7E0F70AF">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泵的蜗壳为整体的铸件，表面光洁无任何铸造缺陷，偏心设计，底部喇叭口吸水和侧向出水。泵的主件材质是</w:t>
      </w:r>
      <w:r>
        <w:rPr>
          <w:rFonts w:hint="eastAsia" w:ascii="方正仿宋_GB2312" w:hAnsi="方正仿宋_GB2312" w:eastAsia="方正仿宋_GB2312" w:cs="方正仿宋_GB2312"/>
          <w:bCs/>
          <w:sz w:val="32"/>
          <w:szCs w:val="32"/>
          <w:lang w:val="en-US" w:eastAsia="zh-CN"/>
        </w:rPr>
        <w:t>HT250</w:t>
      </w:r>
      <w:r>
        <w:rPr>
          <w:rFonts w:hint="eastAsia" w:ascii="方正仿宋_GB2312" w:hAnsi="方正仿宋_GB2312" w:eastAsia="方正仿宋_GB2312" w:cs="方正仿宋_GB2312"/>
          <w:bCs/>
          <w:sz w:val="32"/>
          <w:szCs w:val="32"/>
        </w:rPr>
        <w:t>灰铸铁或更好，其表面平滑、无砂眼或其它铸造缺陷，所有表面作底漆和面漆至少两层防腐涂层处理，涂层厚度300um以上。内表面光滑、无瑕疵，所有过流表面设计成无锐角，以使杂物能通过叶轮而不发生缠绕。蜗壳和叶轮之间有足够大的平滑流道以保证泵送液体中的杂质颗粒顺利通过。</w:t>
      </w:r>
    </w:p>
    <w:p w14:paraId="7C174520">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泵壳设计时考虑能把叶轮从顶部或底部抽出，大型水泵泵壳配备清理手孔和可拆卸的手孔盖。</w:t>
      </w:r>
    </w:p>
    <w:p w14:paraId="17DD67EC">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泵壳有足够的厚度，以承受静水压试验及连续工作时的压力。泵壳在制造厂做静压试验，试验压力大于设计压力的1.5倍（最少不低于0.2Mpa），历时5分钟。在这一试验压力下，泵的任何部分不准有渗漏、冒汗等现象。</w:t>
      </w:r>
    </w:p>
    <w:p w14:paraId="1EA6D1A0">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叶轮</w:t>
      </w:r>
      <w:bookmarkEnd w:id="17"/>
      <w:bookmarkEnd w:id="18"/>
      <w:bookmarkEnd w:id="19"/>
    </w:p>
    <w:p w14:paraId="05C0FDD3">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叶轮采用无堵塞离心叶轮，开式、半开式叶轮型式，叶轮设计为流道平滑无剧烈拐角的无堵塞型，具有良好的过流特性，适用于泵送含有固体杂质和纤维杂质的城市污水和污泥。为保证叶型不变形而影响水力性能，每一只叶轮我公司均采用目前最先进的消失模铸造工艺，避免了传统拔模铸造工艺的变形、表面粗糙等缺点。</w:t>
      </w:r>
    </w:p>
    <w:p w14:paraId="135DD1E9">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泵叶轮进行动平衡，动平衡按G6.3级执行。振动烈变不大于0.45mm/s。</w:t>
      </w:r>
    </w:p>
    <w:p w14:paraId="3BFED003">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20" w:name="_Toc16774"/>
      <w:bookmarkStart w:id="21" w:name="_Toc179384628"/>
      <w:bookmarkStart w:id="22" w:name="_Toc13231"/>
      <w:r>
        <w:rPr>
          <w:rFonts w:hint="eastAsia" w:ascii="方正仿宋_GB2312" w:hAnsi="方正仿宋_GB2312" w:eastAsia="方正仿宋_GB2312" w:cs="方正仿宋_GB2312"/>
          <w:sz w:val="32"/>
          <w:szCs w:val="32"/>
        </w:rPr>
        <w:t>蜗壳/进水室</w:t>
      </w:r>
      <w:bookmarkEnd w:id="20"/>
      <w:bookmarkEnd w:id="21"/>
      <w:bookmarkEnd w:id="22"/>
    </w:p>
    <w:p w14:paraId="236569BD">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水泵的蜗壳、进水室是整件的灰口铸铁或更高等级材质35B级（HT200），偏心设计的足够大的平滑流道以通过进入叶轮的颗粒。</w:t>
      </w:r>
    </w:p>
    <w:p w14:paraId="314BC6CC">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23" w:name="_Toc26637"/>
      <w:bookmarkStart w:id="24" w:name="_Toc16799"/>
      <w:bookmarkStart w:id="25" w:name="_Toc179384630"/>
      <w:r>
        <w:rPr>
          <w:rFonts w:hint="eastAsia" w:ascii="方正仿宋_GB2312" w:hAnsi="方正仿宋_GB2312" w:eastAsia="方正仿宋_GB2312" w:cs="方正仿宋_GB2312"/>
          <w:sz w:val="32"/>
          <w:szCs w:val="32"/>
        </w:rPr>
        <w:t>机械密封</w:t>
      </w:r>
      <w:bookmarkEnd w:id="23"/>
      <w:bookmarkEnd w:id="24"/>
      <w:bookmarkEnd w:id="25"/>
    </w:p>
    <w:p w14:paraId="7F6223D1">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每台泵配有一个上下双重独立的机械轴密封系统。密封在油腔内运行，该油腔能以一稳定的流速对重叠的密封面进行润滑。每个密封的分界面由其自身的弹簧系统连接。密封不需要维护和调整，并且在不影响或失去密封功能的情况下，可以顺时针或逆时针转动。</w:t>
      </w:r>
    </w:p>
    <w:p w14:paraId="66BD7930">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机械密封的设计使用寿命不小于25000小时。</w:t>
      </w:r>
    </w:p>
    <w:p w14:paraId="33E8C02F">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26" w:name="_Toc9820"/>
      <w:bookmarkStart w:id="27" w:name="_Toc22517"/>
      <w:bookmarkStart w:id="28" w:name="_Toc179384631"/>
      <w:r>
        <w:rPr>
          <w:rFonts w:hint="eastAsia" w:ascii="方正仿宋_GB2312" w:hAnsi="方正仿宋_GB2312" w:eastAsia="方正仿宋_GB2312" w:cs="方正仿宋_GB2312"/>
          <w:sz w:val="32"/>
          <w:szCs w:val="32"/>
        </w:rPr>
        <w:t>泵轴与轴承</w:t>
      </w:r>
      <w:bookmarkEnd w:id="26"/>
      <w:bookmarkEnd w:id="27"/>
      <w:bookmarkEnd w:id="28"/>
    </w:p>
    <w:p w14:paraId="384FB1C1">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泵和电机的轴是连续无间断的轴，泵轴是电机轴的延伸。泵轴是碳钢或更高材质制造，并完全与泵送液体隔离。</w:t>
      </w:r>
    </w:p>
    <w:p w14:paraId="2E7A16A7">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29" w:name="_Toc9542"/>
      <w:bookmarkStart w:id="30" w:name="_Toc179384632"/>
      <w:bookmarkStart w:id="31" w:name="_Toc22181"/>
      <w:r>
        <w:rPr>
          <w:rFonts w:hint="eastAsia" w:ascii="方正仿宋_GB2312" w:hAnsi="方正仿宋_GB2312" w:eastAsia="方正仿宋_GB2312" w:cs="方正仿宋_GB2312"/>
          <w:sz w:val="32"/>
          <w:szCs w:val="32"/>
        </w:rPr>
        <w:t>电机</w:t>
      </w:r>
      <w:bookmarkEnd w:id="29"/>
      <w:bookmarkEnd w:id="30"/>
      <w:bookmarkEnd w:id="31"/>
    </w:p>
    <w:p w14:paraId="6F185ED5">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电机是按防水结构设计的适于3相、380V、50HZ的交流电源的鼠笼型异步电动机，防护等级为IP68，绝缘等级不低于F级。电机设计成能连续运转，满足每小时不少于15次的起动要求，而不会引起任何有害影响。电机的允许电压波动为正负10%，电机的设计保证能在不超过40℃的环境下连续工作，其温升不超过80℃。为监控每相绕组上的温度，可在定子进线线圈中装有热敏开关，可以与电机过载保护相连接。电机有足够的额定功率，以保证水泵在运行过程中不过载。</w:t>
      </w:r>
    </w:p>
    <w:p w14:paraId="458DC359">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32" w:name="_Toc179384634"/>
      <w:bookmarkStart w:id="33" w:name="_Toc3272"/>
      <w:bookmarkStart w:id="34" w:name="_Toc21686"/>
      <w:r>
        <w:rPr>
          <w:rFonts w:hint="eastAsia" w:ascii="方正仿宋_GB2312" w:hAnsi="方正仿宋_GB2312" w:eastAsia="方正仿宋_GB2312" w:cs="方正仿宋_GB2312"/>
          <w:sz w:val="32"/>
          <w:szCs w:val="32"/>
        </w:rPr>
        <w:t>电缆进线密封</w:t>
      </w:r>
      <w:bookmarkEnd w:id="32"/>
      <w:bookmarkEnd w:id="33"/>
      <w:bookmarkEnd w:id="34"/>
    </w:p>
    <w:p w14:paraId="111CBEAD">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动力电缆的尺寸符合IEC标准并提供足够的长度以接入接线盒且不需拼接，电缆外护套是低吸收性的防油氯丁橡胶，并且机械柔性能承受电缆进线处的压力，电机和电缆至少能在水下20米处连续使用而不失去其防水性能。</w:t>
      </w:r>
    </w:p>
    <w:p w14:paraId="47A0B908">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电缆进线密封的设计能消除一定的扭矩以形成一个防水的潜水密封。电缆进口处有水密头密封，以防止水从电缆外部或者芯线内部进入电机。</w:t>
      </w:r>
    </w:p>
    <w:p w14:paraId="6380873D">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bookmarkStart w:id="35" w:name="_Toc19170"/>
      <w:bookmarkStart w:id="36" w:name="_Toc179384636"/>
      <w:bookmarkStart w:id="37" w:name="_Toc23385"/>
      <w:r>
        <w:rPr>
          <w:rFonts w:hint="eastAsia" w:ascii="方正仿宋_GB2312" w:hAnsi="方正仿宋_GB2312" w:eastAsia="方正仿宋_GB2312" w:cs="方正仿宋_GB2312"/>
          <w:sz w:val="32"/>
          <w:szCs w:val="32"/>
        </w:rPr>
        <w:t>安装系统</w:t>
      </w:r>
      <w:bookmarkEnd w:id="35"/>
      <w:bookmarkEnd w:id="36"/>
      <w:bookmarkEnd w:id="37"/>
    </w:p>
    <w:p w14:paraId="012E7A90">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立式潜污泵，泵与电机同轴。水泵在从泵井顶部至出水连接之间导杆的导向下，自由滑落并自动的紧密与水泵底座耦合，不需要有人下到污水池中。泵单元与出水连接座之间的密封完全是通过加工过的金属对金属的紧密接触来完成，泵/电机的全部重量由泵的排水弯管承担，泵/电机的任何部分不直接与泵坑底板接触或放在泵坑底板的支座上。</w:t>
      </w:r>
    </w:p>
    <w:p w14:paraId="44DD7A39">
      <w:pPr>
        <w:pStyle w:val="9"/>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设备主要部件材质</w:t>
      </w:r>
    </w:p>
    <w:p w14:paraId="064A154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泵壳体：              铸铁HT250；</w:t>
      </w:r>
    </w:p>
    <w:p w14:paraId="1EA7D2A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叶轮：                铸铁HT250；</w:t>
      </w:r>
    </w:p>
    <w:p w14:paraId="6B778A7D">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主轴：                不锈钢SUS 420；</w:t>
      </w:r>
    </w:p>
    <w:p w14:paraId="39A9F3F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机械密封（内外密封）：耐腐蚀烧结碳化钨/硅；</w:t>
      </w:r>
    </w:p>
    <w:p w14:paraId="06D4CA67">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O-型环：              NBR（丁晴橡胶）；</w:t>
      </w:r>
    </w:p>
    <w:p w14:paraId="0F444C3D">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磨损环：              反应烧结碳化硅</w:t>
      </w:r>
    </w:p>
    <w:p w14:paraId="1BFA8DB8">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磨损环：              锡青铜；</w:t>
      </w:r>
    </w:p>
    <w:p w14:paraId="3020A18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螺栓，螺母，垫圈：    不锈钢304；</w:t>
      </w:r>
    </w:p>
    <w:p w14:paraId="483DAD71">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导轨：                不锈钢304；</w:t>
      </w:r>
    </w:p>
    <w:p w14:paraId="369A2AC4">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吊链：               不锈钢304；</w:t>
      </w:r>
    </w:p>
    <w:p w14:paraId="2089E5B2">
      <w:pPr>
        <w:keepNext w:val="0"/>
        <w:keepLines w:val="0"/>
        <w:pageBreakBefore w:val="0"/>
        <w:widowControl w:val="0"/>
        <w:kinsoku/>
        <w:wordWrap/>
        <w:overflowPunct/>
        <w:topLinePunct w:val="0"/>
        <w:bidi w:val="0"/>
        <w:spacing w:line="360" w:lineRule="auto"/>
        <w:ind w:left="0" w:leftChars="0"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安装紧固件：          ASTM304不锈钢。</w:t>
      </w:r>
    </w:p>
    <w:p w14:paraId="508D4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1" w:fontKey="{2202B45F-BAE5-4608-928D-DF234CD3EA81}"/>
  </w:font>
  <w:font w:name="Calibri">
    <w:panose1 w:val="020F0502020204030204"/>
    <w:charset w:val="00"/>
    <w:family w:val="swiss"/>
    <w:pitch w:val="default"/>
    <w:sig w:usb0="E4002EFF" w:usb1="C200247B" w:usb2="00000009" w:usb3="00000000" w:csb0="200001FF" w:csb1="00000000"/>
    <w:embedRegular r:id="rId2" w:fontKey="{7BED3B54-A649-447A-BEA7-7ECFEC4520E7}"/>
  </w:font>
  <w:font w:name="方正仿宋_GB2312">
    <w:panose1 w:val="02000000000000000000"/>
    <w:charset w:val="86"/>
    <w:family w:val="auto"/>
    <w:pitch w:val="default"/>
    <w:sig w:usb0="A00002BF" w:usb1="184F6CFA" w:usb2="00000012" w:usb3="00000000" w:csb0="00040001" w:csb1="00000000"/>
    <w:embedRegular r:id="rId3" w:fontKey="{70E7D7CA-3160-4CC0-88E0-3B72D396B89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C4234"/>
    <w:multiLevelType w:val="multilevel"/>
    <w:tmpl w:val="526C4234"/>
    <w:lvl w:ilvl="0" w:tentative="0">
      <w:start w:val="1"/>
      <w:numFmt w:val="chineseCountingThousand"/>
      <w:suff w:val="space"/>
      <w:lvlText w:val="%1"/>
      <w:lvlJc w:val="left"/>
      <w:pPr>
        <w:ind w:left="0" w:firstLine="0"/>
      </w:pPr>
      <w:rPr>
        <w:rFonts w:hint="eastAsia"/>
      </w:rPr>
    </w:lvl>
    <w:lvl w:ilvl="1" w:tentative="0">
      <w:start w:val="1"/>
      <w:numFmt w:val="chineseCountingThousand"/>
      <w:suff w:val="space"/>
      <w:lvlText w:val="（%2）"/>
      <w:lvlJc w:val="left"/>
      <w:pPr>
        <w:ind w:left="0" w:firstLine="0"/>
      </w:pPr>
    </w:lvl>
    <w:lvl w:ilvl="2" w:tentative="0">
      <w:start w:val="1"/>
      <w:numFmt w:val="decimal"/>
      <w:suff w:val="space"/>
      <w:lvlText w:val="%3."/>
      <w:lvlJc w:val="left"/>
      <w:pPr>
        <w:ind w:left="0" w:firstLine="0"/>
      </w:pPr>
      <w:rPr>
        <w:rFonts w:hint="eastAsia"/>
        <w:b w:val="0"/>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0" w:firstLine="0"/>
      </w:pPr>
      <w:rPr>
        <w:rFonts w:hint="eastAsia"/>
      </w:rPr>
    </w:lvl>
    <w:lvl w:ilvl="5" w:tentative="0">
      <w:start w:val="1"/>
      <w:numFmt w:val="decimal"/>
      <w:suff w:val="space"/>
      <w:lvlText w:val="（%6）"/>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6" w:tentative="0">
      <w:start w:val="1"/>
      <w:numFmt w:val="decimal"/>
      <w:suff w:val="space"/>
      <w:lvlText w:val="%7）"/>
      <w:lvlJc w:val="left"/>
      <w:pPr>
        <w:ind w:left="0" w:firstLine="0"/>
      </w:pPr>
      <w:rPr>
        <w:rFonts w:hint="eastAsia"/>
      </w:rPr>
    </w:lvl>
    <w:lvl w:ilvl="7" w:tentative="0">
      <w:start w:val="1"/>
      <w:numFmt w:val="upperLetter"/>
      <w:suff w:val="space"/>
      <w:lvlText w:val="%8."/>
      <w:lvlJc w:val="left"/>
      <w:pPr>
        <w:ind w:left="0" w:firstLine="0"/>
      </w:pPr>
      <w:rPr>
        <w:rFonts w:hint="eastAsia"/>
      </w:rPr>
    </w:lvl>
    <w:lvl w:ilvl="8" w:tentative="0">
      <w:start w:val="1"/>
      <w:numFmt w:val="lowerLetter"/>
      <w:suff w:val="space"/>
      <w:lvlText w:val="%9."/>
      <w:lvlJc w:val="left"/>
      <w:pPr>
        <w:ind w:left="0" w:firstLine="0"/>
      </w:pPr>
      <w:rPr>
        <w:rFonts w:hint="eastAsia"/>
      </w:rPr>
    </w:lvl>
  </w:abstractNum>
  <w:abstractNum w:abstractNumId="1">
    <w:nsid w:val="73C238C9"/>
    <w:multiLevelType w:val="multilevel"/>
    <w:tmpl w:val="73C238C9"/>
    <w:lvl w:ilvl="0" w:tentative="0">
      <w:start w:val="1"/>
      <w:numFmt w:val="chineseCountingThousand"/>
      <w:suff w:val="space"/>
      <w:lvlText w:val="%1"/>
      <w:lvlJc w:val="left"/>
      <w:pPr>
        <w:ind w:left="0" w:firstLine="0"/>
      </w:pPr>
      <w:rPr>
        <w:rFonts w:hint="eastAsia"/>
      </w:rPr>
    </w:lvl>
    <w:lvl w:ilvl="1" w:tentative="0">
      <w:start w:val="1"/>
      <w:numFmt w:val="chineseCountingThousand"/>
      <w:suff w:val="space"/>
      <w:lvlText w:val="（%2）"/>
      <w:lvlJc w:val="left"/>
      <w:pPr>
        <w:ind w:left="0" w:firstLine="0"/>
      </w:pPr>
    </w:lvl>
    <w:lvl w:ilvl="2" w:tentative="0">
      <w:start w:val="1"/>
      <w:numFmt w:val="decimal"/>
      <w:pStyle w:val="7"/>
      <w:suff w:val="space"/>
      <w:lvlText w:val="%3."/>
      <w:lvlJc w:val="left"/>
      <w:pPr>
        <w:ind w:left="0" w:firstLine="0"/>
      </w:pPr>
      <w:rPr>
        <w:rFonts w:hint="eastAsia"/>
        <w:b w:val="0"/>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0" w:firstLine="0"/>
      </w:pPr>
      <w:rPr>
        <w:rFonts w:hint="eastAsia"/>
      </w:rPr>
    </w:lvl>
    <w:lvl w:ilvl="5" w:tentative="0">
      <w:start w:val="1"/>
      <w:numFmt w:val="decimal"/>
      <w:suff w:val="space"/>
      <w:lvlText w:val="（%6）"/>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6" w:tentative="0">
      <w:start w:val="1"/>
      <w:numFmt w:val="decimal"/>
      <w:suff w:val="space"/>
      <w:lvlText w:val="%7）"/>
      <w:lvlJc w:val="left"/>
      <w:pPr>
        <w:ind w:left="0" w:firstLine="0"/>
      </w:pPr>
      <w:rPr>
        <w:rFonts w:hint="eastAsia"/>
      </w:rPr>
    </w:lvl>
    <w:lvl w:ilvl="7" w:tentative="0">
      <w:start w:val="1"/>
      <w:numFmt w:val="upperLetter"/>
      <w:suff w:val="space"/>
      <w:lvlText w:val="%8."/>
      <w:lvlJc w:val="left"/>
      <w:pPr>
        <w:ind w:left="0" w:firstLine="0"/>
      </w:pPr>
      <w:rPr>
        <w:rFonts w:hint="eastAsia"/>
      </w:rPr>
    </w:lvl>
    <w:lvl w:ilvl="8" w:tentative="0">
      <w:start w:val="1"/>
      <w:numFmt w:val="lowerLetter"/>
      <w:pStyle w:val="8"/>
      <w:suff w:val="space"/>
      <w:lvlText w:val="%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A1B5D"/>
    <w:rsid w:val="4A0E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8"/>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spacing w:line="240" w:lineRule="auto"/>
    </w:pPr>
    <w:rPr>
      <w:rFonts w:ascii="Arial" w:hAnsi="Arial"/>
      <w:sz w:val="21"/>
    </w:rPr>
  </w:style>
  <w:style w:type="paragraph" w:customStyle="1" w:styleId="7">
    <w:name w:val="标题3"/>
    <w:basedOn w:val="8"/>
    <w:next w:val="9"/>
    <w:qFormat/>
    <w:uiPriority w:val="0"/>
    <w:pPr>
      <w:numPr>
        <w:ilvl w:val="2"/>
        <w:numId w:val="1"/>
      </w:numPr>
    </w:pPr>
    <w:rPr>
      <w:rFonts w:ascii="宋体" w:hAnsi="宋体" w:eastAsia="宋体"/>
    </w:rPr>
  </w:style>
  <w:style w:type="paragraph" w:customStyle="1" w:styleId="8">
    <w:name w:val="b-b3"/>
    <w:basedOn w:val="1"/>
    <w:next w:val="1"/>
    <w:qFormat/>
    <w:uiPriority w:val="0"/>
    <w:pPr>
      <w:numPr>
        <w:ilvl w:val="8"/>
        <w:numId w:val="1"/>
      </w:numPr>
      <w:spacing w:before="80" w:after="80"/>
      <w:outlineLvl w:val="2"/>
    </w:pPr>
    <w:rPr>
      <w:rFonts w:eastAsia="黑体"/>
      <w:sz w:val="28"/>
      <w:szCs w:val="28"/>
    </w:rPr>
  </w:style>
  <w:style w:type="paragraph" w:customStyle="1" w:styleId="9">
    <w:name w:val="+正文"/>
    <w:basedOn w:val="1"/>
    <w:qFormat/>
    <w:uiPriority w:val="0"/>
    <w:pPr>
      <w:spacing w:beforeLines="0" w:afterLines="0" w:line="360" w:lineRule="auto"/>
      <w:ind w:firstLine="200" w:firstLineChars="200"/>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4376</Words>
  <Characters>4708</Characters>
  <Lines>0</Lines>
  <Paragraphs>0</Paragraphs>
  <TotalTime>0</TotalTime>
  <ScaleCrop>false</ScaleCrop>
  <LinksUpToDate>false</LinksUpToDate>
  <CharactersWithSpaces>4854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89546</dc:creator>
  <cp:lastModifiedBy>吴迪</cp:lastModifiedBy>
  <dcterms:modified xsi:type="dcterms:W3CDTF">2025-11-25T03:34:33Z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eyJoZGlkIjoiMjkyMmJiMzdhMDY5Yzc2ZjUyMjFjNTI3NTkwYzdhYzUiLCJ1c2VySWQiOiI2Nzc0MDY1NjYifQ==</vt:lpwstr>
  </property>
  <property fmtid="{D5CDD505-2E9C-101B-9397-08002B2CF9AE}" pid="4" name="ICV">
    <vt:lpwstr>2EAECB0E0C534921911051ADFCDBAF01_12</vt:lpwstr>
  </property>
</Properties>
</file>