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10BF0">
      <w:pPr>
        <w:pStyle w:val="8"/>
        <w:keepNext w:val="0"/>
        <w:keepLines w:val="0"/>
        <w:pageBreakBefore w:val="0"/>
        <w:widowControl w:val="0"/>
        <w:numPr>
          <w:ilvl w:val="2"/>
          <w:numId w:val="0"/>
        </w:numPr>
        <w:kinsoku/>
        <w:wordWrap/>
        <w:overflowPunct/>
        <w:topLinePunct w:val="0"/>
        <w:bidi w:val="0"/>
        <w:spacing w:line="360" w:lineRule="auto"/>
        <w:ind w:leftChars="200"/>
        <w:jc w:val="center"/>
        <w:textAlignment w:val="auto"/>
        <w:outlineLvl w:val="2"/>
        <w:rPr>
          <w:rFonts w:hint="default" w:ascii="方正仿宋_GB2312" w:hAnsi="方正仿宋_GB2312" w:eastAsia="方正仿宋_GB2312" w:cs="方正仿宋_GB2312"/>
          <w:b/>
          <w:bCs/>
          <w:sz w:val="40"/>
          <w:szCs w:val="40"/>
          <w:lang w:val="en-US" w:eastAsia="zh-CN"/>
        </w:rPr>
      </w:pPr>
      <w:r>
        <w:rPr>
          <w:rFonts w:hint="eastAsia" w:ascii="Times New Roman" w:hAnsi="Times New Roman" w:eastAsia="方正仿宋_GB2312" w:cs="Times New Roman"/>
          <w:b/>
          <w:bCs/>
          <w:color w:val="auto"/>
          <w:sz w:val="40"/>
          <w:szCs w:val="40"/>
          <w:lang w:val="en-US" w:eastAsia="zh-CN"/>
        </w:rPr>
        <w:t>加药设备</w:t>
      </w:r>
      <w:r>
        <w:rPr>
          <w:rFonts w:hint="default" w:ascii="Times New Roman" w:hAnsi="Times New Roman" w:eastAsia="方正仿宋_GB2312" w:cs="Times New Roman"/>
          <w:b/>
          <w:bCs/>
          <w:color w:val="auto"/>
          <w:sz w:val="40"/>
          <w:szCs w:val="40"/>
        </w:rPr>
        <w:t>采购清单</w:t>
      </w:r>
      <w:r>
        <w:rPr>
          <w:rFonts w:hint="eastAsia" w:ascii="Times New Roman" w:hAnsi="Times New Roman" w:eastAsia="方正仿宋_GB2312" w:cs="Times New Roman"/>
          <w:b/>
          <w:bCs/>
          <w:color w:val="auto"/>
          <w:sz w:val="40"/>
          <w:szCs w:val="40"/>
          <w:lang w:val="en-US" w:eastAsia="zh-CN"/>
        </w:rPr>
        <w:t>及技术要求</w:t>
      </w:r>
    </w:p>
    <w:p w14:paraId="4B33C3A6">
      <w:pPr>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（一）采购内容</w:t>
      </w:r>
    </w:p>
    <w:p w14:paraId="04392364">
      <w:pPr>
        <w:numPr>
          <w:numId w:val="0"/>
        </w:numPr>
        <w:ind w:firstLine="640" w:firstLineChars="200"/>
        <w:rPr>
          <w:rFonts w:hint="eastAsia" w:ascii="黑体" w:hAnsi="黑体" w:eastAsia="方正仿宋_GB2312" w:cs="黑体"/>
          <w:color w:val="auto"/>
          <w:sz w:val="32"/>
          <w:szCs w:val="32"/>
          <w:lang w:val="en-US" w:eastAsia="zh-CN"/>
        </w:rPr>
      </w:pPr>
      <w:r>
        <w:rPr>
          <w:rFonts w:hint="default" w:ascii="Times New Roman" w:hAnsi="Times New Roman" w:eastAsia="方正仿宋_GB2312" w:cs="Times New Roman"/>
          <w:sz w:val="32"/>
          <w:szCs w:val="32"/>
        </w:rPr>
        <w:t>采购内容：包括但</w:t>
      </w:r>
      <w:r>
        <w:rPr>
          <w:rFonts w:hint="default" w:ascii="Times New Roman" w:hAnsi="Times New Roman" w:eastAsia="方正仿宋_GB2312" w:cs="Times New Roman"/>
          <w:color w:val="auto"/>
          <w:sz w:val="32"/>
          <w:szCs w:val="32"/>
        </w:rPr>
        <w:t>不限于供货范围包括加药计量泵、药剂储罐、液位计、流量标定柱、泵附件：过滤器、安全阀、背压阀、阻尼器、压力表等、配电控制柜、配套表件、阀门、管路、撬装装置、设备间电缆及其他加药系统安装和安全运行所必需的附件</w:t>
      </w:r>
      <w:r>
        <w:rPr>
          <w:rFonts w:hint="eastAsia" w:ascii="Times New Roman" w:hAnsi="Times New Roman" w:eastAsia="方正仿宋_GB2312" w:cs="Times New Roman"/>
          <w:color w:val="auto"/>
          <w:sz w:val="32"/>
          <w:szCs w:val="32"/>
          <w:lang w:eastAsia="zh-CN"/>
        </w:rPr>
        <w:t>，</w:t>
      </w:r>
      <w:r>
        <w:rPr>
          <w:rFonts w:hint="default" w:ascii="Times New Roman" w:hAnsi="Times New Roman" w:eastAsia="方正仿宋_GB2312" w:cs="Times New Roman"/>
          <w:color w:val="auto"/>
          <w:sz w:val="32"/>
          <w:szCs w:val="32"/>
        </w:rPr>
        <w:t>随机应附带备品备件、专用工具、维修使用手册、质量证明等资料，同时包含二次设计、技术服务及</w:t>
      </w:r>
      <w:bookmarkStart w:id="0" w:name="_GoBack"/>
      <w:bookmarkEnd w:id="0"/>
      <w:r>
        <w:rPr>
          <w:rFonts w:hint="default" w:ascii="Times New Roman" w:hAnsi="Times New Roman" w:eastAsia="方正仿宋_GB2312" w:cs="Times New Roman"/>
          <w:color w:val="auto"/>
          <w:sz w:val="32"/>
          <w:szCs w:val="32"/>
        </w:rPr>
        <w:t>指导安装</w:t>
      </w:r>
      <w:r>
        <w:rPr>
          <w:rFonts w:hint="eastAsia" w:ascii="Times New Roman" w:hAnsi="Times New Roman" w:eastAsia="方正仿宋_GB2312" w:cs="Times New Roman"/>
          <w:color w:val="auto"/>
          <w:sz w:val="32"/>
          <w:szCs w:val="32"/>
          <w:lang w:eastAsia="zh-CN"/>
        </w:rPr>
        <w:t>。</w:t>
      </w:r>
    </w:p>
    <w:tbl>
      <w:tblPr>
        <w:tblStyle w:val="5"/>
        <w:tblpPr w:leftFromText="180" w:rightFromText="180" w:vertAnchor="text" w:horzAnchor="page" w:tblpX="1632" w:tblpY="1195"/>
        <w:tblOverlap w:val="never"/>
        <w:tblW w:w="508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0"/>
        <w:gridCol w:w="1057"/>
        <w:gridCol w:w="3096"/>
        <w:gridCol w:w="696"/>
        <w:gridCol w:w="816"/>
        <w:gridCol w:w="493"/>
        <w:gridCol w:w="538"/>
        <w:gridCol w:w="1257"/>
      </w:tblGrid>
      <w:tr w14:paraId="0D776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20807">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23F2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*设备工艺功能名称</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631F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1E33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*功率</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B9A7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*材质</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7E4D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AFD9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8488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*附属设备/材料</w:t>
            </w:r>
          </w:p>
        </w:tc>
      </w:tr>
      <w:tr w14:paraId="19B7F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2D7B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A46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次氯酸钠卸料泵</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EA4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Q=25m3/h,H=12.5m</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B74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6ED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8F2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3FD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C2FBC">
            <w:pPr>
              <w:jc w:val="left"/>
              <w:rPr>
                <w:rFonts w:hint="eastAsia" w:ascii="宋体" w:hAnsi="宋体" w:eastAsia="宋体" w:cs="宋体"/>
                <w:i w:val="0"/>
                <w:iCs w:val="0"/>
                <w:color w:val="000000"/>
                <w:kern w:val="0"/>
                <w:sz w:val="24"/>
                <w:szCs w:val="24"/>
                <w:u w:val="none"/>
                <w:lang w:val="en-US" w:eastAsia="zh-CN" w:bidi="ar"/>
              </w:rPr>
            </w:pPr>
          </w:p>
        </w:tc>
      </w:tr>
      <w:tr w14:paraId="2008C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8415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AC9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次氯酸钠储罐</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15D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V=15m3,Ø=2000mm,H=5m</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44CC6">
            <w:pPr>
              <w:jc w:val="center"/>
              <w:rPr>
                <w:rFonts w:hint="eastAsia" w:ascii="宋体" w:hAnsi="宋体" w:eastAsia="宋体" w:cs="宋体"/>
                <w:i w:val="0"/>
                <w:iCs w:val="0"/>
                <w:color w:val="000000"/>
                <w:sz w:val="24"/>
                <w:szCs w:val="24"/>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1A7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玻璃钢</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FE4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469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7D177">
            <w:pPr>
              <w:jc w:val="center"/>
              <w:rPr>
                <w:rFonts w:hint="eastAsia" w:ascii="宋体" w:hAnsi="宋体" w:eastAsia="宋体" w:cs="宋体"/>
                <w:i w:val="0"/>
                <w:iCs w:val="0"/>
                <w:color w:val="000000"/>
                <w:kern w:val="0"/>
                <w:sz w:val="24"/>
                <w:szCs w:val="24"/>
                <w:u w:val="none"/>
                <w:lang w:val="en-US" w:eastAsia="zh-CN" w:bidi="ar"/>
              </w:rPr>
            </w:pPr>
          </w:p>
        </w:tc>
      </w:tr>
      <w:tr w14:paraId="69BFD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565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3A6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次氯酸钠加药泵</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6FC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Q=120L/h,P=0.3MPa</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A80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0.37</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33B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泵头PVC</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040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518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9AF3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配套Y型过滤器、安全阀、背压阀、阻尼器、压力表,与电磁流量计撬装一体式设计</w:t>
            </w:r>
          </w:p>
        </w:tc>
      </w:tr>
      <w:tr w14:paraId="5CB6C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7E1A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823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电动球阀</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974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活接式,开关型,DN40,PN10</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8AE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0.04</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A86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PVC-U</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2EE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308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F292F">
            <w:pPr>
              <w:jc w:val="left"/>
              <w:rPr>
                <w:rFonts w:hint="eastAsia" w:ascii="宋体" w:hAnsi="宋体" w:eastAsia="宋体" w:cs="宋体"/>
                <w:i w:val="0"/>
                <w:iCs w:val="0"/>
                <w:color w:val="000000"/>
                <w:kern w:val="0"/>
                <w:sz w:val="24"/>
                <w:szCs w:val="24"/>
                <w:u w:val="none"/>
                <w:lang w:val="en-US" w:eastAsia="zh-CN" w:bidi="ar"/>
              </w:rPr>
            </w:pPr>
          </w:p>
        </w:tc>
      </w:tr>
      <w:tr w14:paraId="4E999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338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0CE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乙酸钠卸料泵</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8486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Q=25m3/h,H=12.5m</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661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051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426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803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07C65">
            <w:pPr>
              <w:jc w:val="left"/>
              <w:rPr>
                <w:rFonts w:hint="eastAsia" w:ascii="宋体" w:hAnsi="宋体" w:eastAsia="宋体" w:cs="宋体"/>
                <w:i w:val="0"/>
                <w:iCs w:val="0"/>
                <w:color w:val="000000"/>
                <w:kern w:val="0"/>
                <w:sz w:val="24"/>
                <w:szCs w:val="24"/>
                <w:u w:val="none"/>
                <w:lang w:val="en-US" w:eastAsia="zh-CN" w:bidi="ar"/>
              </w:rPr>
            </w:pPr>
          </w:p>
        </w:tc>
      </w:tr>
      <w:tr w14:paraId="08DA4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758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7EB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乙酸钠储罐</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555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V=20m3,Ø=2700mm,H=4000mm</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BEC31">
            <w:pPr>
              <w:jc w:val="center"/>
              <w:rPr>
                <w:rFonts w:hint="eastAsia" w:ascii="宋体" w:hAnsi="宋体" w:eastAsia="宋体" w:cs="宋体"/>
                <w:i w:val="0"/>
                <w:iCs w:val="0"/>
                <w:color w:val="000000"/>
                <w:sz w:val="24"/>
                <w:szCs w:val="24"/>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3AC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0D3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A64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EFC82">
            <w:pPr>
              <w:jc w:val="left"/>
              <w:rPr>
                <w:rFonts w:hint="eastAsia" w:ascii="宋体" w:hAnsi="宋体" w:eastAsia="宋体" w:cs="宋体"/>
                <w:i w:val="0"/>
                <w:iCs w:val="0"/>
                <w:color w:val="000000"/>
                <w:kern w:val="0"/>
                <w:sz w:val="24"/>
                <w:szCs w:val="24"/>
                <w:u w:val="none"/>
                <w:lang w:val="en-US" w:eastAsia="zh-CN" w:bidi="ar"/>
              </w:rPr>
            </w:pPr>
          </w:p>
        </w:tc>
      </w:tr>
      <w:tr w14:paraId="3CA96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9E9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90E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1#乙酸钠加药泵</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76A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Q=85L/h,P=1.0MPa</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1A6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0.37</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410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泵头PVC</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115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100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AD3F9">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配套Y型过滤器、安全阀、背压阀、阻尼器、压力表,与电磁流量计撬装一体式设计</w:t>
            </w:r>
          </w:p>
        </w:tc>
      </w:tr>
      <w:tr w14:paraId="5B9D2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60B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A6D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2#乙酸钠加药泵</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895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Q=240L/h,P=0.7MPa</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1B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0.37</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E50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泵头PVC</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669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B6F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B329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配套Y型过滤器、安全阀、背压阀、阻尼器、压力表,与电磁流量计撬装一体式设计</w:t>
            </w:r>
          </w:p>
        </w:tc>
      </w:tr>
      <w:tr w14:paraId="7CFA6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CD4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3B7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乙酸钠储罐进液自动阀</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17F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法兰式,开关型,DN80,PN10</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B67CA">
            <w:pPr>
              <w:jc w:val="center"/>
              <w:rPr>
                <w:rFonts w:hint="eastAsia" w:ascii="宋体" w:hAnsi="宋体" w:eastAsia="宋体" w:cs="宋体"/>
                <w:i w:val="0"/>
                <w:iCs w:val="0"/>
                <w:color w:val="000000"/>
                <w:sz w:val="24"/>
                <w:szCs w:val="24"/>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4C2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PVC-U</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4C9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52A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23423">
            <w:pPr>
              <w:jc w:val="left"/>
              <w:rPr>
                <w:rFonts w:hint="eastAsia" w:ascii="宋体" w:hAnsi="宋体" w:eastAsia="宋体" w:cs="宋体"/>
                <w:i w:val="0"/>
                <w:iCs w:val="0"/>
                <w:color w:val="000000"/>
                <w:kern w:val="0"/>
                <w:sz w:val="24"/>
                <w:szCs w:val="24"/>
                <w:u w:val="none"/>
                <w:lang w:val="en-US" w:eastAsia="zh-CN" w:bidi="ar"/>
              </w:rPr>
            </w:pPr>
          </w:p>
        </w:tc>
      </w:tr>
      <w:tr w14:paraId="5DC83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416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B7B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乙酸钠储罐出液自动阀</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1EC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活接式,开关型,DN40,PN10</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F78B7">
            <w:pPr>
              <w:jc w:val="center"/>
              <w:rPr>
                <w:rFonts w:hint="eastAsia" w:ascii="宋体" w:hAnsi="宋体" w:eastAsia="宋体" w:cs="宋体"/>
                <w:i w:val="0"/>
                <w:iCs w:val="0"/>
                <w:color w:val="000000"/>
                <w:sz w:val="24"/>
                <w:szCs w:val="24"/>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F43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PVC-U</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163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5F7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2567F">
            <w:pPr>
              <w:jc w:val="left"/>
              <w:rPr>
                <w:rFonts w:hint="eastAsia" w:ascii="宋体" w:hAnsi="宋体" w:eastAsia="宋体" w:cs="宋体"/>
                <w:i w:val="0"/>
                <w:iCs w:val="0"/>
                <w:color w:val="000000"/>
                <w:kern w:val="0"/>
                <w:sz w:val="24"/>
                <w:szCs w:val="24"/>
                <w:u w:val="none"/>
                <w:lang w:val="en-US" w:eastAsia="zh-CN" w:bidi="ar"/>
              </w:rPr>
            </w:pPr>
          </w:p>
        </w:tc>
      </w:tr>
      <w:tr w14:paraId="20D40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334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60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PAC卸料泵</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30C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Q=25m3/h,H=12.5m</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DB9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482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PP</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19C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B59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6EDD4">
            <w:pPr>
              <w:jc w:val="left"/>
              <w:rPr>
                <w:rFonts w:hint="eastAsia" w:ascii="宋体" w:hAnsi="宋体" w:eastAsia="宋体" w:cs="宋体"/>
                <w:i w:val="0"/>
                <w:iCs w:val="0"/>
                <w:color w:val="000000"/>
                <w:kern w:val="0"/>
                <w:sz w:val="24"/>
                <w:szCs w:val="24"/>
                <w:u w:val="none"/>
                <w:lang w:val="en-US" w:eastAsia="zh-CN" w:bidi="ar"/>
              </w:rPr>
            </w:pPr>
          </w:p>
        </w:tc>
      </w:tr>
      <w:tr w14:paraId="1E9B0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296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FF5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PAC储罐</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5D4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V=20m3,Ø=2700mm,H=4000mm</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6646D">
            <w:pPr>
              <w:jc w:val="center"/>
              <w:rPr>
                <w:rFonts w:hint="eastAsia" w:ascii="宋体" w:hAnsi="宋体" w:eastAsia="宋体" w:cs="宋体"/>
                <w:i w:val="0"/>
                <w:iCs w:val="0"/>
                <w:color w:val="000000"/>
                <w:sz w:val="24"/>
                <w:szCs w:val="24"/>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AE3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D1A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FDD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E0750">
            <w:pPr>
              <w:jc w:val="left"/>
              <w:rPr>
                <w:rFonts w:hint="eastAsia" w:ascii="宋体" w:hAnsi="宋体" w:eastAsia="宋体" w:cs="宋体"/>
                <w:i w:val="0"/>
                <w:iCs w:val="0"/>
                <w:color w:val="000000"/>
                <w:kern w:val="0"/>
                <w:sz w:val="24"/>
                <w:szCs w:val="24"/>
                <w:u w:val="none"/>
                <w:lang w:val="en-US" w:eastAsia="zh-CN" w:bidi="ar"/>
              </w:rPr>
            </w:pPr>
          </w:p>
        </w:tc>
      </w:tr>
      <w:tr w14:paraId="57A93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5C9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83A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1#PAC加药泵</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767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Q=85L/h,P=1.0MPa</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568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0.37</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0EC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泵头PVC</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A6E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1AB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6E3F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配套Y型过滤器、安全阀、背压阀、阻尼器、压力表,与电磁流量计撬装一体式设计</w:t>
            </w:r>
          </w:p>
        </w:tc>
      </w:tr>
      <w:tr w14:paraId="21DB9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1FA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53B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2#PAC加药泵</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3A1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Q=85L/h,P=1.0MPa</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0D2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0.37</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3CE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泵头PVC</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CF1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F88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AC69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配套Y型过滤器、安全阀、背压阀、阻尼器、压力表,与电磁流量计撬装一体式设计</w:t>
            </w:r>
          </w:p>
        </w:tc>
      </w:tr>
      <w:tr w14:paraId="05A7B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458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D3A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PAC储罐进液自动阀</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7A28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法兰式,开关型,DN80,PN10</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24ED3">
            <w:pPr>
              <w:jc w:val="center"/>
              <w:rPr>
                <w:rFonts w:hint="eastAsia" w:ascii="宋体" w:hAnsi="宋体" w:eastAsia="宋体" w:cs="宋体"/>
                <w:i w:val="0"/>
                <w:iCs w:val="0"/>
                <w:color w:val="000000"/>
                <w:sz w:val="24"/>
                <w:szCs w:val="24"/>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15E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PVC-U</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7A7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181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F8960">
            <w:pPr>
              <w:jc w:val="left"/>
              <w:rPr>
                <w:rFonts w:hint="eastAsia" w:ascii="宋体" w:hAnsi="宋体" w:eastAsia="宋体" w:cs="宋体"/>
                <w:i w:val="0"/>
                <w:iCs w:val="0"/>
                <w:color w:val="000000"/>
                <w:kern w:val="0"/>
                <w:sz w:val="24"/>
                <w:szCs w:val="24"/>
                <w:u w:val="none"/>
                <w:lang w:val="en-US" w:eastAsia="zh-CN" w:bidi="ar"/>
              </w:rPr>
            </w:pPr>
          </w:p>
        </w:tc>
      </w:tr>
      <w:tr w14:paraId="28338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352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D67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PAC储罐出液自动阀</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556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活接式,开关型,DN40,PN10</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6AD1D">
            <w:pPr>
              <w:jc w:val="center"/>
              <w:rPr>
                <w:rFonts w:hint="eastAsia" w:ascii="宋体" w:hAnsi="宋体" w:eastAsia="宋体" w:cs="宋体"/>
                <w:i w:val="0"/>
                <w:iCs w:val="0"/>
                <w:color w:val="000000"/>
                <w:sz w:val="24"/>
                <w:szCs w:val="24"/>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A0C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PVC-U</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E37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1B2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15238">
            <w:pPr>
              <w:jc w:val="left"/>
              <w:rPr>
                <w:rFonts w:hint="eastAsia" w:ascii="宋体" w:hAnsi="宋体" w:eastAsia="宋体" w:cs="宋体"/>
                <w:i w:val="0"/>
                <w:iCs w:val="0"/>
                <w:color w:val="000000"/>
                <w:kern w:val="0"/>
                <w:sz w:val="24"/>
                <w:szCs w:val="24"/>
                <w:u w:val="none"/>
                <w:lang w:val="en-US" w:eastAsia="zh-CN" w:bidi="ar"/>
              </w:rPr>
            </w:pPr>
          </w:p>
        </w:tc>
      </w:tr>
      <w:tr w14:paraId="104C6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9E6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D09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PAM加药装置</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4A0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制备能力1000L/h(浓度 0.1~0.2%）</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90D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F12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SS304</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67B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CA2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FF809">
            <w:pPr>
              <w:jc w:val="left"/>
              <w:rPr>
                <w:rFonts w:hint="eastAsia" w:ascii="宋体" w:hAnsi="宋体" w:eastAsia="宋体" w:cs="宋体"/>
                <w:i w:val="0"/>
                <w:iCs w:val="0"/>
                <w:color w:val="000000"/>
                <w:kern w:val="0"/>
                <w:sz w:val="24"/>
                <w:szCs w:val="24"/>
                <w:u w:val="none"/>
                <w:lang w:val="en-US" w:eastAsia="zh-CN" w:bidi="ar"/>
              </w:rPr>
            </w:pPr>
          </w:p>
        </w:tc>
      </w:tr>
      <w:tr w14:paraId="73B79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071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417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PAM加药泵</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B9D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Q=500L/h,H=60m</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59D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0.75</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788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定子丁腈橡胶、转子不锈钢</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637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FD3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18918">
            <w:pPr>
              <w:jc w:val="left"/>
              <w:rPr>
                <w:rFonts w:hint="eastAsia" w:ascii="宋体" w:hAnsi="宋体" w:eastAsia="宋体" w:cs="宋体"/>
                <w:i w:val="0"/>
                <w:iCs w:val="0"/>
                <w:color w:val="000000"/>
                <w:kern w:val="0"/>
                <w:sz w:val="24"/>
                <w:szCs w:val="24"/>
                <w:u w:val="none"/>
                <w:lang w:val="en-US" w:eastAsia="zh-CN" w:bidi="ar"/>
              </w:rPr>
            </w:pPr>
          </w:p>
        </w:tc>
      </w:tr>
      <w:tr w14:paraId="05FDB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BAF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6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93F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废液罐</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061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11"/>
                <w:rFonts w:hint="eastAsia" w:ascii="宋体" w:hAnsi="宋体" w:eastAsia="宋体" w:cs="宋体"/>
                <w:sz w:val="24"/>
                <w:szCs w:val="24"/>
                <w:lang w:val="en-US" w:eastAsia="zh-CN" w:bidi="ar"/>
              </w:rPr>
              <w:t>V=30L,</w:t>
            </w:r>
            <w:r>
              <w:rPr>
                <w:rStyle w:val="12"/>
                <w:rFonts w:hint="eastAsia" w:ascii="宋体" w:hAnsi="宋体" w:eastAsia="宋体" w:cs="宋体"/>
                <w:sz w:val="24"/>
                <w:szCs w:val="24"/>
                <w:lang w:val="en-US" w:eastAsia="zh-CN" w:bidi="ar"/>
              </w:rPr>
              <w:t>∅</w:t>
            </w:r>
            <w:r>
              <w:rPr>
                <w:rStyle w:val="11"/>
                <w:rFonts w:hint="eastAsia" w:ascii="宋体" w:hAnsi="宋体" w:eastAsia="宋体" w:cs="宋体"/>
                <w:sz w:val="24"/>
                <w:szCs w:val="24"/>
                <w:lang w:val="en-US" w:eastAsia="zh-CN" w:bidi="ar"/>
              </w:rPr>
              <w:t>=317mm,H=503mm</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390B2">
            <w:pPr>
              <w:jc w:val="center"/>
              <w:rPr>
                <w:rFonts w:hint="eastAsia" w:ascii="宋体" w:hAnsi="宋体" w:eastAsia="宋体" w:cs="宋体"/>
                <w:i w:val="0"/>
                <w:iCs w:val="0"/>
                <w:color w:val="000000"/>
                <w:sz w:val="24"/>
                <w:szCs w:val="24"/>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D87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PE</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7EF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5E2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C4D0D">
            <w:pPr>
              <w:jc w:val="left"/>
              <w:rPr>
                <w:rFonts w:hint="eastAsia" w:ascii="宋体" w:hAnsi="宋体" w:eastAsia="宋体" w:cs="宋体"/>
                <w:i w:val="0"/>
                <w:iCs w:val="0"/>
                <w:color w:val="000000"/>
                <w:kern w:val="0"/>
                <w:sz w:val="24"/>
                <w:szCs w:val="24"/>
                <w:u w:val="none"/>
                <w:lang w:val="en-US" w:eastAsia="zh-CN" w:bidi="ar"/>
              </w:rPr>
            </w:pPr>
          </w:p>
        </w:tc>
      </w:tr>
    </w:tbl>
    <w:p w14:paraId="7562DEB4">
      <w:pPr>
        <w:numPr>
          <w:ilvl w:val="0"/>
          <w:numId w:val="0"/>
        </w:numPr>
        <w:rPr>
          <w:rFonts w:hint="eastAsia" w:ascii="黑体" w:hAnsi="黑体" w:eastAsia="黑体" w:cs="黑体"/>
          <w:sz w:val="32"/>
          <w:szCs w:val="32"/>
          <w:lang w:val="en-US" w:eastAsia="zh-CN"/>
        </w:rPr>
      </w:pPr>
    </w:p>
    <w:p w14:paraId="6A56A9C6">
      <w:pPr>
        <w:ind w:firstLine="640" w:firstLineChars="200"/>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w:t>
      </w:r>
      <w:r>
        <w:rPr>
          <w:rFonts w:hint="eastAsia" w:ascii="Times New Roman" w:hAnsi="Times New Roman" w:eastAsia="方正仿宋_GB2312" w:cs="Times New Roman"/>
          <w:sz w:val="32"/>
          <w:szCs w:val="32"/>
          <w:lang w:val="en-US" w:eastAsia="zh-CN"/>
        </w:rPr>
        <w:t>二</w:t>
      </w:r>
      <w:r>
        <w:rPr>
          <w:rFonts w:hint="default" w:ascii="Times New Roman" w:hAnsi="Times New Roman" w:eastAsia="方正仿宋_GB2312" w:cs="Times New Roman"/>
          <w:sz w:val="32"/>
          <w:szCs w:val="32"/>
          <w:lang w:val="en-US" w:eastAsia="zh-CN"/>
        </w:rPr>
        <w:t>）</w:t>
      </w:r>
      <w:r>
        <w:rPr>
          <w:rFonts w:hint="eastAsia" w:ascii="Times New Roman" w:hAnsi="Times New Roman" w:eastAsia="方正仿宋_GB2312" w:cs="Times New Roman"/>
          <w:sz w:val="32"/>
          <w:szCs w:val="32"/>
          <w:lang w:val="en-US" w:eastAsia="zh-CN"/>
        </w:rPr>
        <w:t>技术要求</w:t>
      </w:r>
    </w:p>
    <w:p w14:paraId="72715996">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eastAsia" w:ascii="Times New Roman" w:hAnsi="Times New Roman" w:eastAsia="方正仿宋_GB2312" w:cs="Times New Roman"/>
          <w:color w:val="auto"/>
          <w:sz w:val="32"/>
          <w:szCs w:val="32"/>
          <w:lang w:val="en-US" w:eastAsia="zh-CN"/>
        </w:rPr>
        <w:t>2.1</w:t>
      </w:r>
      <w:r>
        <w:rPr>
          <w:rFonts w:hint="default" w:ascii="Times New Roman" w:hAnsi="Times New Roman" w:eastAsia="方正仿宋_GB2312" w:cs="Times New Roman"/>
          <w:color w:val="auto"/>
          <w:sz w:val="32"/>
          <w:szCs w:val="32"/>
          <w:lang w:val="en-US" w:eastAsia="zh-CN"/>
        </w:rPr>
        <w:t>混凝剂</w:t>
      </w:r>
      <w:r>
        <w:rPr>
          <w:rFonts w:hint="eastAsia" w:ascii="Times New Roman" w:hAnsi="Times New Roman" w:eastAsia="方正仿宋_GB2312" w:cs="Times New Roman"/>
          <w:color w:val="auto"/>
          <w:sz w:val="32"/>
          <w:szCs w:val="32"/>
          <w:lang w:val="en-US" w:eastAsia="zh-CN"/>
        </w:rPr>
        <w:t>/次氯酸钠/碳源</w:t>
      </w:r>
      <w:r>
        <w:rPr>
          <w:rFonts w:hint="default" w:ascii="Times New Roman" w:hAnsi="Times New Roman" w:eastAsia="方正仿宋_GB2312" w:cs="Times New Roman"/>
          <w:color w:val="auto"/>
          <w:sz w:val="32"/>
          <w:szCs w:val="32"/>
          <w:lang w:val="en-US" w:eastAsia="zh-CN"/>
        </w:rPr>
        <w:t>加药系统</w:t>
      </w:r>
    </w:p>
    <w:p w14:paraId="6A6AE47C">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供货范围</w:t>
      </w:r>
    </w:p>
    <w:p w14:paraId="03AE6447">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1）加药系统应包含卸料管路、储罐、搅拌器、加药计量泵（配标定柱）、仪表、系统控制柜、配套阀门、管路、设备之间电缆及其他配套附件等完整的加药系统（</w:t>
      </w:r>
      <w:r>
        <w:rPr>
          <w:rFonts w:hint="eastAsia" w:ascii="Times New Roman" w:hAnsi="Times New Roman" w:eastAsia="方正仿宋_GB2312" w:cs="Times New Roman"/>
          <w:color w:val="auto"/>
          <w:sz w:val="32"/>
          <w:szCs w:val="32"/>
          <w:lang w:val="en-US" w:eastAsia="zh-CN"/>
        </w:rPr>
        <w:t>撬装形式，以撬装范围为分界面</w:t>
      </w:r>
      <w:r>
        <w:rPr>
          <w:rFonts w:hint="default" w:ascii="Times New Roman" w:hAnsi="Times New Roman" w:eastAsia="方正仿宋_GB2312" w:cs="Times New Roman"/>
          <w:color w:val="auto"/>
          <w:sz w:val="32"/>
          <w:szCs w:val="32"/>
          <w:lang w:val="en-US" w:eastAsia="zh-CN"/>
        </w:rPr>
        <w:t>），招标方提供水、电接口至相应设备，详细情况参考图纸。</w:t>
      </w:r>
    </w:p>
    <w:p w14:paraId="3F19BA19">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2）随机备品备件、专用工具、维修使用手册。</w:t>
      </w:r>
    </w:p>
    <w:p w14:paraId="3C64605C">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3）二次设计及其他技术服务。</w:t>
      </w:r>
    </w:p>
    <w:p w14:paraId="4BF1811D">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型式及要求</w:t>
      </w:r>
    </w:p>
    <w:p w14:paraId="3CB2D34C">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加药系统由卸料及存储系统、投加系统和控制系统组成。</w:t>
      </w:r>
    </w:p>
    <w:p w14:paraId="2CEF2BAB">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卸料及存储系统</w:t>
      </w:r>
    </w:p>
    <w:p w14:paraId="26E176A1">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1)卸料及存储系统主要由卸料管路、储罐及搅拌器等组成。</w:t>
      </w:r>
    </w:p>
    <w:p w14:paraId="27EE2F9A">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2)现使用</w:t>
      </w:r>
      <w:r>
        <w:rPr>
          <w:rFonts w:hint="eastAsia" w:ascii="Times New Roman" w:hAnsi="Times New Roman" w:eastAsia="方正仿宋_GB2312" w:cs="Times New Roman"/>
          <w:color w:val="auto"/>
          <w:sz w:val="32"/>
          <w:szCs w:val="32"/>
          <w:lang w:val="en-US" w:eastAsia="zh-CN"/>
        </w:rPr>
        <w:t>药剂</w:t>
      </w:r>
      <w:r>
        <w:rPr>
          <w:rFonts w:hint="default" w:ascii="Times New Roman" w:hAnsi="Times New Roman" w:eastAsia="方正仿宋_GB2312" w:cs="Times New Roman"/>
          <w:color w:val="auto"/>
          <w:sz w:val="32"/>
          <w:szCs w:val="32"/>
          <w:lang w:val="en-US" w:eastAsia="zh-CN"/>
        </w:rPr>
        <w:t>多为液体药剂，槽罐车将原料运输至厂内，经卸料管路输送至储罐内存储，再经混凝剂投加泵投加至加药点。卸料管路进料口设置耐腐蚀拉断阀以及快速接头，方便连接卸料软管。</w:t>
      </w:r>
    </w:p>
    <w:p w14:paraId="7FCC93A3">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3)凝剂储罐用于储存药剂，材质为PE或玻璃钢，顶部为封闭式人孔，罐体包括人孔、进料口、投加管、放空管、溢流管及其阀门等，当储罐高于4米时，应配套爬梯及护栏，方便检修及维护工作。配磁翻板液位计，带4~20mA信号输出，可就地显示液位，并具备高低液位报警功能。</w:t>
      </w:r>
    </w:p>
    <w:p w14:paraId="716DB3F7">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投加系统</w:t>
      </w:r>
    </w:p>
    <w:p w14:paraId="017435C8">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投加系统由加药计量泵及其附件、仪表、管路及配件等组成。</w:t>
      </w:r>
    </w:p>
    <w:p w14:paraId="518E18F3">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（1）加药计量泵</w:t>
      </w:r>
    </w:p>
    <w:p w14:paraId="67D0A9B2">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采用电机驱动隔膜计量泵，自动调节频率和冲程，调节范围在10～100%，精度±2％。全封闭风冷电机3P，380V，50Hz，防护等级IP55。计量泵隔膜驱动采用可变偏心机构驱动，运动应平稳无冲击，不得采用弹簧返回式驱动。无故障运行时间不小于20000小时。</w:t>
      </w:r>
    </w:p>
    <w:p w14:paraId="54541290">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泵的材料应能抵卸化学腐蚀作用，隔膜应能适用连续运行。通常或偶然地与泵送化学物质接触的金属零件应为耐腐蚀不锈钢或性能符合要求的其他耐腐蚀材料。</w:t>
      </w:r>
    </w:p>
    <w:p w14:paraId="0B0CA2CE">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（2）主要附件</w:t>
      </w:r>
    </w:p>
    <w:p w14:paraId="4448B7C7">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背压阀(即弹簧负载止回阀)。装于计量泵压力管道上，产生恒定背压，有助于精度计量，防止药液自流或形成虹吸。背压可调膜片式背压阀，阀体材质UPVC，压力调节范围0～3bar，膜片采用PTFE。</w:t>
      </w:r>
    </w:p>
    <w:p w14:paraId="34598BC1">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Y型过滤器。安装于泵的吸口，防止溶液中不溶物引起阻塞，过滤网能清洗方便。透明PVC材质，滤网孔数19孔/cm2。</w:t>
      </w:r>
    </w:p>
    <w:p w14:paraId="497F3077">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安全泄压阀。安装于泵的出口管路上，当管路堵塞或人为误操作而使管道压力异常升高时，释放药液回药池，保护泵的隔膜和管道不被损坏。安全泄压阀阀体材质PVC，压力调节范围0～10bar，膜片采用PTFE。</w:t>
      </w:r>
    </w:p>
    <w:p w14:paraId="4B9DF4EE">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均流器(阻尼缓冲器)。安装于泵的出口管路上，采用PP/PVC外壳，球外囊上室预充压缩空气，预充氮气压力为60％工作压力时，残余脉动±10%以下。</w:t>
      </w:r>
    </w:p>
    <w:p w14:paraId="7436EFA2">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取样阀/排气阀。安装于泵的出口管路上，UPVC材质，用于计量泵通水调试时排气及运行过程中取样。可有效避免药液喷洒造成的设备污染。</w:t>
      </w:r>
    </w:p>
    <w:p w14:paraId="29643A95">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流量标定柱。安装于泵的进口管路，UPVC材质。当计量泵初次投入运行或者运行一段时间后，泵的投加量有可能出现偏差，用标定柱标定泵的流量。</w:t>
      </w:r>
    </w:p>
    <w:p w14:paraId="67736081">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管路、管件采用化工级UPVC材质，压力等级1.0Mpa，为便于日后设备维护保养，应设计合理的活结或者法兰连接。阀门应为活结球阀或蝶阀，规格及数量满足系统功能要求，与管路、管件采用相同压力及材质。</w:t>
      </w:r>
    </w:p>
    <w:p w14:paraId="76752C61">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控制系统</w:t>
      </w:r>
    </w:p>
    <w:p w14:paraId="58EF77DA">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PLC控制系统采用德国西门子高可靠性的PLC。控制柜自带彩色触摸屏，可以实时显示设备的工作状态并可以通过触摸屏调整设备的工作参数。自带以太网接口，可以上传设备的状态信号及接受远程控制信号。</w:t>
      </w:r>
    </w:p>
    <w:p w14:paraId="2B06E2B5">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计量泵及卸料泵等设备自带就地控制箱，当PLC控制系统出现故障时，可以通过手动/自动开关切换到就地控制箱进行手动控制，保证加药系统的正常运行。</w:t>
      </w:r>
    </w:p>
    <w:p w14:paraId="41AFEE51">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主要零部件材质要求</w:t>
      </w:r>
    </w:p>
    <w:p w14:paraId="1DC3B74E">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（1）卸料泵</w:t>
      </w:r>
    </w:p>
    <w:p w14:paraId="0E8194E5">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过流材质：            聚四氟乙烯</w:t>
      </w:r>
      <w:r>
        <w:rPr>
          <w:rFonts w:hint="eastAsia" w:ascii="Times New Roman" w:hAnsi="Times New Roman" w:eastAsia="方正仿宋_GB2312" w:cs="Times New Roman"/>
          <w:color w:val="auto"/>
          <w:sz w:val="32"/>
          <w:szCs w:val="32"/>
          <w:lang w:val="en-US" w:eastAsia="zh-CN"/>
        </w:rPr>
        <w:t>或PP</w:t>
      </w:r>
      <w:r>
        <w:rPr>
          <w:rFonts w:hint="default" w:ascii="Times New Roman" w:hAnsi="Times New Roman" w:eastAsia="方正仿宋_GB2312" w:cs="Times New Roman"/>
          <w:color w:val="auto"/>
          <w:sz w:val="32"/>
          <w:szCs w:val="32"/>
          <w:lang w:val="en-US" w:eastAsia="zh-CN"/>
        </w:rPr>
        <w:t>；</w:t>
      </w:r>
    </w:p>
    <w:p w14:paraId="72F37E5E">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（2）加药泵</w:t>
      </w:r>
    </w:p>
    <w:p w14:paraId="43045D38">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泵壳：                铸铁GG25(加涂层)/铸铝；</w:t>
      </w:r>
    </w:p>
    <w:p w14:paraId="023090E3">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泵头：                PVC；</w:t>
      </w:r>
    </w:p>
    <w:p w14:paraId="63E2606B">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隔膜：                PTFE；</w:t>
      </w:r>
    </w:p>
    <w:p w14:paraId="07494B12">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安装紧固件、地脚螺栓：304不锈钢。</w:t>
      </w:r>
    </w:p>
    <w:p w14:paraId="587A9963">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eastAsia" w:ascii="Times New Roman" w:hAnsi="Times New Roman" w:eastAsia="方正仿宋_GB2312" w:cs="Times New Roman"/>
          <w:color w:val="auto"/>
          <w:sz w:val="32"/>
          <w:szCs w:val="32"/>
          <w:lang w:val="en-US" w:eastAsia="zh-CN"/>
        </w:rPr>
        <w:t xml:space="preserve">2.2  </w:t>
      </w:r>
      <w:r>
        <w:rPr>
          <w:rFonts w:hint="default" w:ascii="Times New Roman" w:hAnsi="Times New Roman" w:eastAsia="方正仿宋_GB2312" w:cs="Times New Roman"/>
          <w:color w:val="auto"/>
          <w:sz w:val="32"/>
          <w:szCs w:val="32"/>
          <w:lang w:val="en-US" w:eastAsia="zh-CN"/>
        </w:rPr>
        <w:t>PAM加药系统</w:t>
      </w:r>
    </w:p>
    <w:p w14:paraId="4FD6EBA8">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供货范围</w:t>
      </w:r>
    </w:p>
    <w:p w14:paraId="5698972F">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1）PAM制备投加系统应包括絮凝剂制备装置及絮凝剂加药泵等。絮凝剂制备和投加装置包括吸料机、粉剂料仓、双螺旋给料机、预溶解装置及带搅拌器的熟化罐、储存罐、控制液位的压力传感器、在线稀释装置和管道阀门、电磁流量计、PLC控制系统、安全、有效及可靠运行所需的附件、紧固件，设备之间电缆及其他配套的附件等完整的加药系统（管路需出墙一米），招标方提供水、电接口至相应设备间，详细情况参考图纸。</w:t>
      </w:r>
    </w:p>
    <w:p w14:paraId="5D80513C">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2）随机备品备件、专用工具、维修使用手册。</w:t>
      </w:r>
    </w:p>
    <w:p w14:paraId="385D4C21">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3）二次设计及其他技术服务。</w:t>
      </w:r>
    </w:p>
    <w:p w14:paraId="2FB8E87E">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型式及要求</w:t>
      </w:r>
    </w:p>
    <w:p w14:paraId="7305CDB4">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PAM制备装置</w:t>
      </w:r>
    </w:p>
    <w:p w14:paraId="3119614A">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絮凝剂制备装置为三槽式粉末自动溶药式，配置搅拌器，装置材质为304不锈钢。絮凝剂类型应采用高分子粉末状或液态絮凝剂，粉剂调配时，采用计量精确的双螺旋给料机和射流混合器，使粉剂预先湿润，以避免集团成块，并以精确的药量进入配有搅拌器的熟化罐中，制成0.25～0.5%的聚丙烯酰胺溶液，然后自动放入不锈钢储存罐，经加药泵和在线稀释装置（包括静态混合器、减压阀、流量计、止回阀、截止阀、电磁阀等）把0.25～0.5%的絮凝剂熟化溶液稀释到0.1～0.15%后，通过不锈钢静态混合器送入投加点。</w:t>
      </w:r>
    </w:p>
    <w:p w14:paraId="7639315E">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干粉投加泵应采用螺杆泵，运行条件应满足PH3～12，常温，可自动流量调节。螺杆泵减速装置的齿轮强度应按ISO、DIN标准设计，服务系数≥2.0，齿轮材料为合金钢渗碳处理，表面硬度不低于HRC58~62，轴承寿命（B10）不小于100000小时。电机防护等级IP55，F级绝缘。</w:t>
      </w:r>
    </w:p>
    <w:p w14:paraId="1364BCA6">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系统设计还应考虑通过选择开关，可以交换采用干粉（加熟化时间不小于1小时）和液态二种聚合物配制方式，投标方应提供根据用药量和溶液浓度确定的投药罐及溶药罐的尺寸和容积。絮凝剂的上料系统必须采用真空吸料，处理能力约为10-15kg/min。粉剂料仓应配有高低位视镜，还应包括料位开关，通过控制面板的报警灯实现粉末的监控。</w:t>
      </w:r>
    </w:p>
    <w:p w14:paraId="6D63AA58">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药剂熟化时间应控制在45～60min左右。</w:t>
      </w:r>
    </w:p>
    <w:p w14:paraId="7B89FE3F">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在线稀释装置的数量应根据设计要求配置，在线稀释装置集成于统一支架上，可以壁挂式安装。</w:t>
      </w:r>
    </w:p>
    <w:p w14:paraId="6099F62C">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系统的仪器仪表应完善齐全、指示准确。管路线路整齐，管路无渗漏。设备操作过程中清洁无粉尘。干粉进料斗的容积不小于100L。</w:t>
      </w:r>
    </w:p>
    <w:p w14:paraId="634F81AB">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凝剂加药泵</w:t>
      </w:r>
    </w:p>
    <w:p w14:paraId="50B5988E">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絮凝剂加药泵应采用偏心单螺杆泵。泵的流量及工作压力应满足系统处理要求，加药泵应设有变频流量调节装置，泵的无故障累积运行时间大于20000h。</w:t>
      </w:r>
    </w:p>
    <w:p w14:paraId="31F0AB62">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定子橡胶应与壳体牢固结合，其工作面不应有接缝、接痕、气孔和裂缝等缺陷。定子工作寿命不低于40000h。</w:t>
      </w:r>
    </w:p>
    <w:p w14:paraId="4B0C7F64">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轴承的温升应不超过环境温度35℃，其极限温度不应超过80℃。</w:t>
      </w:r>
    </w:p>
    <w:p w14:paraId="0D4C9706">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轴承采用机械和填料密封，两种密封装置应能互换，轴封处应设有泄漏回收装置。</w:t>
      </w:r>
    </w:p>
    <w:p w14:paraId="1E10618D">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泵的吸入和排出口的法兰结构尺寸应符合ISO标准。泵在额定工况下工作时，全振幅不得大于0.055mm（55μm）。泵的噪声值应不超过70dB（A）。泵的外壳材料为铸铁，旋转部件材料为316不锈钢或更好材料，螺杆材料为耐蚀硬质合金钢，定子材料为硬质耐磨橡胶，所有连接附件、地脚螺栓材料为不锈钢。承受液体压力的零部件，应按1.5倍的工作压力进行水压试验，压力持续时间不少于10min。在试压过程中不应有渗漏现象。</w:t>
      </w:r>
    </w:p>
    <w:p w14:paraId="0483FCB0">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电机为调速电机，电机额定功率应超过最大预期工作负荷至少10%。电机应具有电流保护功能，电机防护等级为IP55，绝缘等级为F。机组噪声小于75dB（A）。</w:t>
      </w:r>
    </w:p>
    <w:p w14:paraId="2942D65D">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电气控制</w:t>
      </w:r>
    </w:p>
    <w:p w14:paraId="73BFB8D1">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絮凝剂制备系统由PLC系统控制粉末上料、溶药、熟化及投加，整个过程全自动进行，制备药液的浓度可以通过PLC来自动调节。自带以太网接口，同时具备状态上传及接受远程控制运行。系统自带彩色触摸屏，可以显示设备的工作状态并可以调节设备的工作参数，控制系统自带手动/自动转换开关，当PLC系统故障时，可以切换到手动模式，手动控制螺杆泵及搅拌机，保证设备的运行。</w:t>
      </w:r>
    </w:p>
    <w:p w14:paraId="2316541B">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主要零部件材质要求</w:t>
      </w:r>
    </w:p>
    <w:p w14:paraId="075AF604">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（1）PAM制备装置</w:t>
      </w:r>
    </w:p>
    <w:p w14:paraId="3800F4A2">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准备罐：  不锈钢304；</w:t>
      </w:r>
    </w:p>
    <w:p w14:paraId="59221318">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储存罐：  不锈钢304；</w:t>
      </w:r>
    </w:p>
    <w:p w14:paraId="0702C638">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溶解槽：  不锈钢304；</w:t>
      </w:r>
    </w:p>
    <w:p w14:paraId="4C9E24DA">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搅拌机：  不锈钢304；</w:t>
      </w:r>
    </w:p>
    <w:p w14:paraId="05FA5C56">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管道：    PVC工程塑料；</w:t>
      </w:r>
    </w:p>
    <w:p w14:paraId="7CD4DF49">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注水阀门：锡青铜；</w:t>
      </w:r>
    </w:p>
    <w:p w14:paraId="7DD3C0F6">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药液阀门：</w:t>
      </w:r>
      <w:r>
        <w:rPr>
          <w:rFonts w:hint="eastAsia" w:ascii="Times New Roman" w:hAnsi="Times New Roman" w:eastAsia="方正仿宋_GB2312" w:cs="Times New Roman"/>
          <w:color w:val="auto"/>
          <w:sz w:val="32"/>
          <w:szCs w:val="32"/>
          <w:lang w:val="en-US" w:eastAsia="zh-CN"/>
        </w:rPr>
        <w:t>PVC</w:t>
      </w:r>
      <w:r>
        <w:rPr>
          <w:rFonts w:hint="default" w:ascii="Times New Roman" w:hAnsi="Times New Roman" w:eastAsia="方正仿宋_GB2312" w:cs="Times New Roman"/>
          <w:color w:val="auto"/>
          <w:sz w:val="32"/>
          <w:szCs w:val="32"/>
          <w:lang w:val="en-US" w:eastAsia="zh-CN"/>
        </w:rPr>
        <w:t>；</w:t>
      </w:r>
    </w:p>
    <w:p w14:paraId="45F1D293">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 xml:space="preserve">紧固件：  </w:t>
      </w:r>
      <w:r>
        <w:rPr>
          <w:rFonts w:hint="eastAsia" w:ascii="Times New Roman" w:hAnsi="Times New Roman" w:eastAsia="方正仿宋_GB2312" w:cs="Times New Roman"/>
          <w:color w:val="auto"/>
          <w:sz w:val="32"/>
          <w:szCs w:val="32"/>
          <w:lang w:val="en-US" w:eastAsia="zh-CN"/>
        </w:rPr>
        <w:t>3</w:t>
      </w:r>
      <w:r>
        <w:rPr>
          <w:rFonts w:hint="default" w:ascii="Times New Roman" w:hAnsi="Times New Roman" w:eastAsia="方正仿宋_GB2312" w:cs="Times New Roman"/>
          <w:color w:val="auto"/>
          <w:sz w:val="32"/>
          <w:szCs w:val="32"/>
          <w:lang w:val="en-US" w:eastAsia="zh-CN"/>
        </w:rPr>
        <w:t>04不锈钢。</w:t>
      </w:r>
    </w:p>
    <w:p w14:paraId="7861348F">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工作平台：  热浸锌。</w:t>
      </w:r>
    </w:p>
    <w:p w14:paraId="6DEAB6B0">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（2）絮凝剂加药泵</w:t>
      </w:r>
    </w:p>
    <w:p w14:paraId="3A20DF21">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壳体：      GG25铸铁或以上；</w:t>
      </w:r>
    </w:p>
    <w:p w14:paraId="529A5811">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旋转部件：  316不锈钢；</w:t>
      </w:r>
    </w:p>
    <w:p w14:paraId="3FE4224B">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螺杆：      耐蚀硬质合金钢；</w:t>
      </w:r>
    </w:p>
    <w:p w14:paraId="5DD038AD">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定子：      硬质耐磨橡胶；</w:t>
      </w:r>
    </w:p>
    <w:p w14:paraId="03B9443E">
      <w:pPr>
        <w:numPr>
          <w:ilvl w:val="0"/>
          <w:numId w:val="0"/>
        </w:numPr>
        <w:ind w:firstLine="640" w:firstLineChars="200"/>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color w:val="auto"/>
          <w:sz w:val="32"/>
          <w:szCs w:val="32"/>
          <w:lang w:val="en-US" w:eastAsia="zh-CN"/>
        </w:rPr>
        <w:t>安装紧固件：304不锈钢。</w:t>
      </w:r>
    </w:p>
    <w:p w14:paraId="4F73A44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CDEF41-C8FA-412A-A12D-FC9BBFC838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7E85D92-CFB2-497D-8132-39932B16BED9}"/>
  </w:font>
  <w:font w:name="方正仿宋_GB2312">
    <w:panose1 w:val="02000000000000000000"/>
    <w:charset w:val="86"/>
    <w:family w:val="auto"/>
    <w:pitch w:val="default"/>
    <w:sig w:usb0="A00002BF" w:usb1="184F6CFA" w:usb2="00000012" w:usb3="00000000" w:csb0="00040001" w:csb1="00000000"/>
    <w:embedRegular r:id="rId3" w:fontKey="{C80E1EBB-99A4-4649-923C-E43A819B5D6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C238C9"/>
    <w:multiLevelType w:val="multilevel"/>
    <w:tmpl w:val="73C238C9"/>
    <w:lvl w:ilvl="0" w:tentative="0">
      <w:start w:val="1"/>
      <w:numFmt w:val="chineseCountingThousand"/>
      <w:suff w:val="space"/>
      <w:lvlText w:val="%1"/>
      <w:lvlJc w:val="left"/>
      <w:pPr>
        <w:ind w:left="0" w:firstLine="0"/>
      </w:pPr>
      <w:rPr>
        <w:rFonts w:hint="eastAsia"/>
      </w:rPr>
    </w:lvl>
    <w:lvl w:ilvl="1" w:tentative="0">
      <w:start w:val="1"/>
      <w:numFmt w:val="chineseCountingThousand"/>
      <w:suff w:val="space"/>
      <w:lvlText w:val="（%2）"/>
      <w:lvlJc w:val="left"/>
      <w:pPr>
        <w:ind w:left="0" w:firstLine="0"/>
      </w:pPr>
    </w:lvl>
    <w:lvl w:ilvl="2" w:tentative="0">
      <w:start w:val="1"/>
      <w:numFmt w:val="decimal"/>
      <w:pStyle w:val="8"/>
      <w:suff w:val="space"/>
      <w:lvlText w:val="%3."/>
      <w:lvlJc w:val="left"/>
      <w:pPr>
        <w:ind w:left="0" w:firstLine="0"/>
      </w:pPr>
      <w:rPr>
        <w:rFonts w:hint="eastAsia"/>
        <w:b w:val="0"/>
      </w:rPr>
    </w:lvl>
    <w:lvl w:ilvl="3" w:tentative="0">
      <w:start w:val="1"/>
      <w:numFmt w:val="decimal"/>
      <w:suff w:val="space"/>
      <w:lvlText w:val="%3.%4"/>
      <w:lvlJc w:val="left"/>
      <w:pPr>
        <w:ind w:left="0" w:firstLine="0"/>
      </w:pPr>
      <w:rPr>
        <w:rFonts w:hint="eastAsia"/>
      </w:rPr>
    </w:lvl>
    <w:lvl w:ilvl="4" w:tentative="0">
      <w:start w:val="1"/>
      <w:numFmt w:val="decimal"/>
      <w:suff w:val="space"/>
      <w:lvlText w:val="%3.%4.%5"/>
      <w:lvlJc w:val="left"/>
      <w:pPr>
        <w:ind w:left="0" w:firstLine="0"/>
      </w:pPr>
      <w:rPr>
        <w:rFonts w:hint="eastAsia"/>
      </w:rPr>
    </w:lvl>
    <w:lvl w:ilvl="5" w:tentative="0">
      <w:start w:val="1"/>
      <w:numFmt w:val="decimal"/>
      <w:suff w:val="space"/>
      <w:lvlText w:val="（%6）"/>
      <w:lvlJc w:val="left"/>
      <w:pPr>
        <w:ind w:left="0" w:firstLine="0"/>
      </w:pPr>
      <w:rPr>
        <w:rFonts w:hint="eastAsia" w:ascii="Times New Roman" w:hAnsi="Times New Roman" w:cs="Times New Roman"/>
        <w:b w:val="0"/>
        <w:bCs w:val="0"/>
        <w:i w:val="0"/>
        <w:iCs w:val="0"/>
        <w:caps w:val="0"/>
        <w:smallCaps w:val="0"/>
        <w:strike w:val="0"/>
        <w:dstrike w:val="0"/>
        <w:vanish w:val="0"/>
        <w:spacing w:val="0"/>
        <w:position w:val="0"/>
        <w:u w:val="none"/>
        <w:vertAlign w:val="baseline"/>
      </w:rPr>
    </w:lvl>
    <w:lvl w:ilvl="6" w:tentative="0">
      <w:start w:val="1"/>
      <w:numFmt w:val="decimal"/>
      <w:suff w:val="space"/>
      <w:lvlText w:val="%7）"/>
      <w:lvlJc w:val="left"/>
      <w:pPr>
        <w:ind w:left="0" w:firstLine="0"/>
      </w:pPr>
      <w:rPr>
        <w:rFonts w:hint="eastAsia"/>
      </w:rPr>
    </w:lvl>
    <w:lvl w:ilvl="7" w:tentative="0">
      <w:start w:val="1"/>
      <w:numFmt w:val="upperLetter"/>
      <w:suff w:val="space"/>
      <w:lvlText w:val="%8."/>
      <w:lvlJc w:val="left"/>
      <w:pPr>
        <w:ind w:left="0" w:firstLine="0"/>
      </w:pPr>
      <w:rPr>
        <w:rFonts w:hint="eastAsia"/>
      </w:rPr>
    </w:lvl>
    <w:lvl w:ilvl="8" w:tentative="0">
      <w:start w:val="1"/>
      <w:numFmt w:val="lowerLetter"/>
      <w:pStyle w:val="9"/>
      <w:suff w:val="space"/>
      <w:lvlText w:val="%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7A1B5D"/>
    <w:rsid w:val="2DCA50CC"/>
    <w:rsid w:val="4A0E181F"/>
    <w:rsid w:val="612D6C0E"/>
    <w:rsid w:val="77491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envelope return"/>
    <w:basedOn w:val="1"/>
    <w:qFormat/>
    <w:uiPriority w:val="0"/>
    <w:pPr>
      <w:snapToGrid w:val="0"/>
      <w:spacing w:line="240" w:lineRule="auto"/>
    </w:pPr>
    <w:rPr>
      <w:rFonts w:ascii="Arial" w:hAnsi="Arial"/>
      <w:sz w:val="21"/>
    </w:rPr>
  </w:style>
  <w:style w:type="paragraph" w:styleId="4">
    <w:name w:val="Body Text First Indent 2"/>
    <w:basedOn w:val="2"/>
    <w:qFormat/>
    <w:uiPriority w:val="0"/>
    <w:pPr>
      <w:spacing w:line="360" w:lineRule="auto"/>
      <w:ind w:firstLine="420" w:firstLineChars="200"/>
    </w:pPr>
    <w:rPr>
      <w:sz w:val="2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标题3"/>
    <w:basedOn w:val="9"/>
    <w:next w:val="10"/>
    <w:qFormat/>
    <w:uiPriority w:val="0"/>
    <w:pPr>
      <w:numPr>
        <w:ilvl w:val="2"/>
        <w:numId w:val="1"/>
      </w:numPr>
    </w:pPr>
    <w:rPr>
      <w:rFonts w:ascii="宋体" w:hAnsi="宋体" w:eastAsia="宋体"/>
    </w:rPr>
  </w:style>
  <w:style w:type="paragraph" w:customStyle="1" w:styleId="9">
    <w:name w:val="b-b3"/>
    <w:basedOn w:val="1"/>
    <w:next w:val="1"/>
    <w:qFormat/>
    <w:uiPriority w:val="0"/>
    <w:pPr>
      <w:numPr>
        <w:ilvl w:val="8"/>
        <w:numId w:val="1"/>
      </w:numPr>
      <w:spacing w:before="80" w:after="80"/>
      <w:outlineLvl w:val="2"/>
    </w:pPr>
    <w:rPr>
      <w:rFonts w:eastAsia="黑体"/>
      <w:sz w:val="28"/>
      <w:szCs w:val="28"/>
    </w:rPr>
  </w:style>
  <w:style w:type="paragraph" w:customStyle="1" w:styleId="10">
    <w:name w:val="+正文"/>
    <w:basedOn w:val="1"/>
    <w:qFormat/>
    <w:uiPriority w:val="0"/>
    <w:pPr>
      <w:spacing w:beforeLines="0" w:afterLines="0" w:line="360" w:lineRule="auto"/>
      <w:ind w:firstLine="200" w:firstLineChars="200"/>
    </w:pPr>
    <w:rPr>
      <w:szCs w:val="28"/>
    </w:rPr>
  </w:style>
  <w:style w:type="character" w:customStyle="1" w:styleId="11">
    <w:name w:val="font11"/>
    <w:basedOn w:val="7"/>
    <w:qFormat/>
    <w:uiPriority w:val="0"/>
    <w:rPr>
      <w:rFonts w:hint="eastAsia" w:ascii="微软雅黑" w:hAnsi="微软雅黑" w:eastAsia="微软雅黑" w:cs="微软雅黑"/>
      <w:color w:val="000000"/>
      <w:sz w:val="20"/>
      <w:szCs w:val="20"/>
      <w:u w:val="none"/>
    </w:rPr>
  </w:style>
  <w:style w:type="character" w:customStyle="1" w:styleId="12">
    <w:name w:val="font6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1353</Words>
  <Characters>1575</Characters>
  <Lines>0</Lines>
  <Paragraphs>0</Paragraphs>
  <TotalTime>0</TotalTime>
  <ScaleCrop>false</ScaleCrop>
  <LinksUpToDate>false</LinksUpToDate>
  <CharactersWithSpaces>1646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2025-11-25T01:55:00Z</dcterms:created>
  <dc:creator>89546</dc:creator>
  <cp:lastModifiedBy>吴迪</cp:lastModifiedBy>
  <dcterms:modified xsi:type="dcterms:W3CDTF">2025-11-25T05:38:13Z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eyJoZGlkIjoiMjkyMmJiMzdhMDY5Yzc2ZjUyMjFjNTI3NTkwYzdhYzUiLCJ1c2VySWQiOiI2Nzc0MDY1NjYifQ==</vt:lpwstr>
  </property>
  <property fmtid="{D5CDD505-2E9C-101B-9397-08002B2CF9AE}" pid="4" name="ICV">
    <vt:lpwstr>2EAECB0E0C534921911051ADFCDBAF01_12</vt:lpwstr>
  </property>
</Properties>
</file>