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24"/>
          <w:szCs w:val="24"/>
          <w:lang w:val="en-US" w:eastAsia="zh-CN" w:bidi="ar-SA"/>
        </w:rPr>
        <w:t xml:space="preserve">附件1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会同县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招聘社区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专职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录用计划和岗位要求表</w:t>
      </w:r>
    </w:p>
    <w:bookmarkEnd w:id="0"/>
    <w:tbl>
      <w:tblPr>
        <w:tblStyle w:val="5"/>
        <w:tblpPr w:leftFromText="180" w:rightFromText="180" w:vertAnchor="text" w:horzAnchor="page" w:tblpXSpec="center" w:tblpY="237"/>
        <w:tblW w:w="15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00"/>
        <w:gridCol w:w="1095"/>
        <w:gridCol w:w="1362"/>
        <w:gridCol w:w="1307"/>
        <w:gridCol w:w="995"/>
        <w:gridCol w:w="1040"/>
        <w:gridCol w:w="415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tblHeader/>
          <w:jc w:val="center"/>
        </w:trPr>
        <w:tc>
          <w:tcPr>
            <w:tcW w:w="1216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95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招聘人数</w:t>
            </w:r>
          </w:p>
        </w:tc>
        <w:tc>
          <w:tcPr>
            <w:tcW w:w="136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年龄</w:t>
            </w:r>
          </w:p>
        </w:tc>
        <w:tc>
          <w:tcPr>
            <w:tcW w:w="1307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95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040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</w:t>
            </w:r>
          </w:p>
        </w:tc>
        <w:tc>
          <w:tcPr>
            <w:tcW w:w="4158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  <w:tc>
          <w:tcPr>
            <w:tcW w:w="2220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216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highlight w:val="none"/>
                <w:lang w:eastAsia="zh-CN"/>
              </w:rPr>
              <w:t>会同县林城镇人民政府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社区专职工作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（一）</w:t>
            </w: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3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9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158" w:type="dxa"/>
            <w:noWrap/>
            <w:vAlign w:val="center"/>
          </w:tcPr>
          <w:p>
            <w:pPr>
              <w:pStyle w:val="4"/>
              <w:spacing w:before="0" w:beforeAutospacing="0" w:line="240" w:lineRule="auto"/>
              <w:ind w:firstLine="0" w:firstLineChars="0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具有会同县户籍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本人（本人父母或配偶）在会同县有房产的不受户籍限制（符合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一项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即可）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20" w:type="dxa"/>
            <w:noWrap/>
            <w:vAlign w:val="center"/>
          </w:tcPr>
          <w:p>
            <w:pPr>
              <w:pStyle w:val="4"/>
              <w:spacing w:before="0" w:beforeAutospacing="0" w:line="240" w:lineRule="auto"/>
              <w:ind w:firstLine="0" w:firstLineChars="0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社区专职工作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3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9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0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158" w:type="dxa"/>
            <w:noWrap/>
            <w:vAlign w:val="center"/>
          </w:tcPr>
          <w:p>
            <w:pPr>
              <w:pStyle w:val="4"/>
              <w:spacing w:before="0" w:beforeAutospacing="0" w:line="240" w:lineRule="auto"/>
              <w:ind w:firstLine="0" w:firstLineChars="0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具有会同县户籍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本人（本人父母或配偶）在会同县有房产的不受户籍限制（符合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一项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即可）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20" w:type="dxa"/>
            <w:noWrap/>
            <w:vAlign w:val="center"/>
          </w:tcPr>
          <w:p>
            <w:pPr>
              <w:pStyle w:val="4"/>
              <w:spacing w:before="0" w:beforeAutospacing="0" w:line="240" w:lineRule="auto"/>
              <w:ind w:firstLine="0" w:firstLineChars="0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社区专职工作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3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9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0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158" w:type="dxa"/>
            <w:noWrap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line="240" w:lineRule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必须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具有会同县户籍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本人（本人父母或配偶）在会同县有房产的不受户籍限制（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该条件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符合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一项）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line="240" w:lineRule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2.退役军人、任职满1个任期（或聘期）经考核合格且仍在岗的村务专干或获得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社会工作者职业水平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证书的人员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该条件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符合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一项）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line="240" w:lineRule="auto"/>
              <w:rPr>
                <w:rFonts w:hint="default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3.必须同时符合上述1、2项资格条件。</w:t>
            </w:r>
          </w:p>
        </w:tc>
        <w:tc>
          <w:tcPr>
            <w:tcW w:w="2220" w:type="dxa"/>
            <w:noWrap/>
            <w:vAlign w:val="center"/>
          </w:tcPr>
          <w:p>
            <w:pPr>
              <w:pStyle w:val="4"/>
              <w:spacing w:before="0" w:beforeAutospacing="0" w:line="240" w:lineRule="auto"/>
              <w:ind w:firstLine="0" w:firstLineChars="0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村务专干报名时需提供会同县委组织部工作证明；退役军人需提供会同县退役军人事务局服役证明。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24"/>
          <w:lang w:val="en-US" w:eastAsia="zh-CN"/>
        </w:rPr>
        <w:sectPr>
          <w:pgSz w:w="16838" w:h="11906" w:orient="landscape"/>
          <w:pgMar w:top="1179" w:right="1213" w:bottom="1179" w:left="1213" w:header="851" w:footer="992" w:gutter="0"/>
          <w:pgNumType w:fmt="numberInDash"/>
          <w:cols w:space="720" w:num="1"/>
          <w:rtlGutter w:val="0"/>
          <w:docGrid w:type="lines" w:linePitch="44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ODYxOTFiNGQ0ZDhjOTkzNmQ5MDAwODMwZTBjNTgifQ=="/>
  </w:docVars>
  <w:rsids>
    <w:rsidRoot w:val="5A7571E5"/>
    <w:rsid w:val="5A75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spacing w:before="100" w:beforeAutospacing="1"/>
      <w:ind w:firstLine="100" w:firstLineChars="100"/>
    </w:pPr>
    <w:rPr>
      <w:rFonts w:asci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2025-10-31T08:09:00Z</dcterms:created>
  <dc:creator>Administrator</dc:creator>
  <cp:lastModifiedBy>Administrator</cp:lastModifiedBy>
  <dcterms:modified xsi:type="dcterms:W3CDTF">2025-10-31T08:09:42Z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D3F191A3FDAD486985A56C48435502CF</vt:lpwstr>
  </property>
</Properties>
</file>