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C373E">
      <w:pPr>
        <w:jc w:val="both"/>
        <w:rPr>
          <w:rFonts w:hint="eastAsia" w:ascii="黑体" w:hAnsi="黑体" w:eastAsia="黑体" w:cs="黑体"/>
          <w:b w:val="0"/>
          <w:bCs w:val="0"/>
          <w:spacing w:val="-11"/>
          <w:sz w:val="32"/>
          <w:szCs w:val="32"/>
          <w:lang w:eastAsia="zh-CN"/>
        </w:rPr>
      </w:pPr>
      <w:bookmarkStart w:id="0" w:name="_GoBack"/>
      <w:r>
        <w:rPr>
          <w:rFonts w:hint="eastAsia" w:ascii="黑体" w:hAnsi="黑体" w:eastAsia="黑体" w:cs="黑体"/>
          <w:b w:val="0"/>
          <w:bCs w:val="0"/>
          <w:spacing w:val="-11"/>
          <w:sz w:val="32"/>
          <w:szCs w:val="32"/>
          <w:lang w:eastAsia="zh-CN"/>
        </w:rPr>
        <w:t>附件：</w:t>
      </w:r>
    </w:p>
    <w:p w14:paraId="24260A6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eastAsia="方正小标宋简体" w:cs="Times New Roman"/>
          <w:b w:val="0"/>
          <w:bCs w:val="0"/>
          <w:spacing w:val="-11"/>
          <w:sz w:val="40"/>
          <w:szCs w:val="40"/>
          <w:lang w:eastAsia="zh-CN"/>
        </w:rPr>
      </w:pPr>
      <w:r>
        <w:rPr>
          <w:rFonts w:eastAsia="方正小标宋简体" w:cs="Times New Roman"/>
          <w:b w:val="0"/>
          <w:bCs w:val="0"/>
          <w:spacing w:val="-11"/>
          <w:sz w:val="40"/>
          <w:szCs w:val="40"/>
        </w:rPr>
        <w:t>新田县</w:t>
      </w:r>
      <w:r>
        <w:rPr>
          <w:rFonts w:hint="eastAsia" w:eastAsia="方正小标宋简体" w:cs="Times New Roman"/>
          <w:b w:val="0"/>
          <w:bCs w:val="0"/>
          <w:spacing w:val="-11"/>
          <w:sz w:val="40"/>
          <w:szCs w:val="40"/>
          <w:lang w:eastAsia="zh-CN"/>
        </w:rPr>
        <w:t>优化营商环境工作</w:t>
      </w:r>
      <w:r>
        <w:rPr>
          <w:rFonts w:eastAsia="方正小标宋简体" w:cs="Times New Roman"/>
          <w:b w:val="0"/>
          <w:bCs w:val="0"/>
          <w:spacing w:val="-11"/>
          <w:sz w:val="40"/>
          <w:szCs w:val="40"/>
        </w:rPr>
        <w:t>专题询问满意度测评</w:t>
      </w:r>
      <w:r>
        <w:rPr>
          <w:rFonts w:hint="eastAsia" w:eastAsia="方正小标宋简体" w:cs="Times New Roman"/>
          <w:b w:val="0"/>
          <w:bCs w:val="0"/>
          <w:spacing w:val="-11"/>
          <w:sz w:val="40"/>
          <w:szCs w:val="40"/>
          <w:lang w:eastAsia="zh-CN"/>
        </w:rPr>
        <w:t>结果</w:t>
      </w:r>
    </w:p>
    <w:bookmarkEnd w:id="0"/>
    <w:p w14:paraId="551BEAFE">
      <w:pPr>
        <w:jc w:val="center"/>
        <w:rPr>
          <w:rFonts w:hint="eastAsia"/>
          <w:lang w:eastAsia="zh-CN"/>
        </w:rPr>
      </w:pPr>
      <w:r>
        <w:rPr>
          <w:rFonts w:hint="eastAsia" w:ascii="仿宋_GB2312" w:hAnsi="仿宋_GB2312" w:eastAsia="仿宋_GB2312" w:cs="仿宋_GB2312"/>
          <w:spacing w:val="-6"/>
          <w:w w:val="100"/>
          <w:sz w:val="30"/>
          <w:szCs w:val="30"/>
          <w:lang w:val="en-US" w:eastAsia="zh-CN"/>
        </w:rPr>
        <w:t>本次测评发出测评票</w:t>
      </w:r>
      <w:r>
        <w:rPr>
          <w:rFonts w:hint="eastAsia" w:ascii="仿宋_GB2312" w:hAnsi="仿宋_GB2312" w:cs="仿宋_GB2312"/>
          <w:spacing w:val="-6"/>
          <w:w w:val="100"/>
          <w:sz w:val="30"/>
          <w:szCs w:val="30"/>
          <w:lang w:val="en-US" w:eastAsia="zh-CN"/>
        </w:rPr>
        <w:t>53</w:t>
      </w:r>
      <w:r>
        <w:rPr>
          <w:rFonts w:hint="eastAsia" w:ascii="仿宋_GB2312" w:hAnsi="仿宋_GB2312" w:eastAsia="仿宋_GB2312" w:cs="仿宋_GB2312"/>
          <w:spacing w:val="-6"/>
          <w:w w:val="100"/>
          <w:sz w:val="30"/>
          <w:szCs w:val="30"/>
          <w:lang w:val="en-US" w:eastAsia="zh-CN"/>
        </w:rPr>
        <w:t>张，收回测评票53张，其中有效测评票</w:t>
      </w:r>
      <w:r>
        <w:rPr>
          <w:rFonts w:hint="eastAsia" w:ascii="仿宋_GB2312" w:hAnsi="仿宋_GB2312" w:cs="仿宋_GB2312"/>
          <w:spacing w:val="-6"/>
          <w:w w:val="100"/>
          <w:sz w:val="30"/>
          <w:szCs w:val="30"/>
          <w:lang w:val="en-US" w:eastAsia="zh-CN"/>
        </w:rPr>
        <w:t>53</w:t>
      </w:r>
      <w:r>
        <w:rPr>
          <w:rFonts w:hint="eastAsia" w:ascii="仿宋_GB2312" w:hAnsi="仿宋_GB2312" w:eastAsia="仿宋_GB2312" w:cs="仿宋_GB2312"/>
          <w:spacing w:val="-6"/>
          <w:w w:val="100"/>
          <w:sz w:val="30"/>
          <w:szCs w:val="30"/>
          <w:lang w:val="en-US" w:eastAsia="zh-CN"/>
        </w:rPr>
        <w:t>张</w:t>
      </w:r>
      <w:r>
        <w:rPr>
          <w:rFonts w:hint="eastAsia" w:ascii="仿宋_GB2312" w:hAnsi="仿宋_GB2312" w:eastAsia="仿宋_GB2312" w:cs="仿宋_GB2312"/>
          <w:sz w:val="32"/>
          <w:szCs w:val="32"/>
          <w:lang w:val="en-US" w:eastAsia="zh-CN"/>
        </w:rPr>
        <w:t>。</w:t>
      </w:r>
    </w:p>
    <w:tbl>
      <w:tblPr>
        <w:tblStyle w:val="4"/>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3282"/>
        <w:gridCol w:w="1660"/>
        <w:gridCol w:w="1159"/>
        <w:gridCol w:w="1378"/>
        <w:gridCol w:w="1065"/>
        <w:gridCol w:w="944"/>
        <w:gridCol w:w="2"/>
        <w:gridCol w:w="3"/>
      </w:tblGrid>
      <w:tr w14:paraId="0D69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10" w:hRule="atLeast"/>
          <w:tblHeader/>
          <w:jc w:val="center"/>
        </w:trPr>
        <w:tc>
          <w:tcPr>
            <w:tcW w:w="538" w:type="dxa"/>
            <w:vMerge w:val="restart"/>
            <w:noWrap w:val="0"/>
            <w:vAlign w:val="center"/>
          </w:tcPr>
          <w:p w14:paraId="3227E0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楷体_GB2312"/>
                <w:b/>
                <w:color w:val="auto"/>
                <w:sz w:val="28"/>
                <w:szCs w:val="44"/>
              </w:rPr>
            </w:pPr>
            <w:r>
              <w:rPr>
                <w:rFonts w:eastAsia="楷体_GB2312"/>
                <w:b/>
                <w:color w:val="auto"/>
                <w:sz w:val="28"/>
                <w:szCs w:val="44"/>
              </w:rPr>
              <w:t>序</w:t>
            </w:r>
          </w:p>
          <w:p w14:paraId="30DB01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楷体_GB2312"/>
                <w:b/>
                <w:color w:val="auto"/>
                <w:sz w:val="28"/>
                <w:szCs w:val="44"/>
              </w:rPr>
            </w:pPr>
            <w:r>
              <w:rPr>
                <w:rFonts w:eastAsia="楷体_GB2312"/>
                <w:b/>
                <w:color w:val="auto"/>
                <w:sz w:val="28"/>
                <w:szCs w:val="44"/>
              </w:rPr>
              <w:t>号</w:t>
            </w:r>
          </w:p>
        </w:tc>
        <w:tc>
          <w:tcPr>
            <w:tcW w:w="3282" w:type="dxa"/>
            <w:vMerge w:val="restart"/>
            <w:noWrap w:val="0"/>
            <w:vAlign w:val="center"/>
          </w:tcPr>
          <w:p w14:paraId="4056F30E">
            <w:pPr>
              <w:jc w:val="center"/>
              <w:rPr>
                <w:rFonts w:eastAsia="楷体_GB2312"/>
                <w:b/>
                <w:color w:val="auto"/>
                <w:sz w:val="28"/>
                <w:szCs w:val="44"/>
              </w:rPr>
            </w:pPr>
            <w:r>
              <w:rPr>
                <w:rFonts w:eastAsia="楷体_GB2312"/>
                <w:b/>
                <w:color w:val="auto"/>
                <w:sz w:val="28"/>
                <w:szCs w:val="44"/>
              </w:rPr>
              <w:t>询问内容</w:t>
            </w:r>
          </w:p>
        </w:tc>
        <w:tc>
          <w:tcPr>
            <w:tcW w:w="1660" w:type="dxa"/>
            <w:vMerge w:val="restart"/>
            <w:noWrap w:val="0"/>
            <w:vAlign w:val="center"/>
          </w:tcPr>
          <w:p w14:paraId="3F291FFD">
            <w:pPr>
              <w:keepNext w:val="0"/>
              <w:keepLines w:val="0"/>
              <w:pageBreakBefore w:val="0"/>
              <w:kinsoku/>
              <w:wordWrap/>
              <w:overflowPunct/>
              <w:topLinePunct w:val="0"/>
              <w:autoSpaceDE/>
              <w:autoSpaceDN/>
              <w:bidi w:val="0"/>
              <w:spacing w:line="340" w:lineRule="exact"/>
              <w:jc w:val="center"/>
              <w:rPr>
                <w:rFonts w:hint="eastAsia" w:eastAsia="楷体_GB2312"/>
                <w:b/>
                <w:color w:val="auto"/>
                <w:sz w:val="28"/>
                <w:szCs w:val="44"/>
                <w:lang w:val="en-US" w:eastAsia="zh-CN"/>
              </w:rPr>
            </w:pPr>
            <w:r>
              <w:rPr>
                <w:rFonts w:eastAsia="楷体_GB2312"/>
                <w:b/>
                <w:color w:val="auto"/>
                <w:sz w:val="28"/>
                <w:szCs w:val="44"/>
              </w:rPr>
              <w:t>应询</w:t>
            </w:r>
            <w:r>
              <w:rPr>
                <w:rFonts w:hint="eastAsia" w:eastAsia="楷体_GB2312"/>
                <w:b/>
                <w:color w:val="auto"/>
                <w:sz w:val="28"/>
                <w:szCs w:val="44"/>
                <w:lang w:eastAsia="zh-CN"/>
              </w:rPr>
              <w:t>单位</w:t>
            </w:r>
          </w:p>
        </w:tc>
        <w:tc>
          <w:tcPr>
            <w:tcW w:w="3602" w:type="dxa"/>
            <w:gridSpan w:val="3"/>
            <w:noWrap w:val="0"/>
            <w:vAlign w:val="center"/>
          </w:tcPr>
          <w:p w14:paraId="6B52B3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楷体_GB2312"/>
                <w:b/>
                <w:color w:val="auto"/>
                <w:sz w:val="28"/>
                <w:szCs w:val="44"/>
                <w:lang w:val="en-US" w:eastAsia="zh-CN"/>
              </w:rPr>
            </w:pPr>
            <w:r>
              <w:rPr>
                <w:rFonts w:hint="eastAsia" w:eastAsia="楷体_GB2312"/>
                <w:b/>
                <w:color w:val="auto"/>
                <w:sz w:val="28"/>
                <w:szCs w:val="44"/>
                <w:lang w:val="en-US" w:eastAsia="zh-CN"/>
              </w:rPr>
              <w:t>投票情况</w:t>
            </w:r>
          </w:p>
        </w:tc>
        <w:tc>
          <w:tcPr>
            <w:tcW w:w="946" w:type="dxa"/>
            <w:gridSpan w:val="2"/>
            <w:vMerge w:val="restart"/>
            <w:noWrap w:val="0"/>
            <w:vAlign w:val="center"/>
          </w:tcPr>
          <w:p w14:paraId="3B250F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楷体_GB2312"/>
                <w:b/>
                <w:color w:val="auto"/>
                <w:sz w:val="28"/>
                <w:szCs w:val="44"/>
                <w:lang w:val="en-US" w:eastAsia="zh-CN"/>
              </w:rPr>
            </w:pPr>
            <w:r>
              <w:rPr>
                <w:rFonts w:hint="eastAsia" w:eastAsia="楷体_GB2312"/>
                <w:b/>
                <w:color w:val="auto"/>
                <w:sz w:val="28"/>
                <w:szCs w:val="44"/>
                <w:lang w:val="en-US" w:eastAsia="zh-CN"/>
              </w:rPr>
              <w:t>评价意见</w:t>
            </w:r>
          </w:p>
        </w:tc>
      </w:tr>
      <w:tr w14:paraId="23B9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10" w:hRule="atLeast"/>
          <w:tblHeader/>
          <w:jc w:val="center"/>
        </w:trPr>
        <w:tc>
          <w:tcPr>
            <w:tcW w:w="538" w:type="dxa"/>
            <w:vMerge w:val="continue"/>
            <w:noWrap w:val="0"/>
            <w:vAlign w:val="center"/>
          </w:tcPr>
          <w:p w14:paraId="126E122F">
            <w:pPr>
              <w:jc w:val="center"/>
              <w:rPr>
                <w:rFonts w:eastAsia="楷体_GB2312"/>
                <w:b/>
                <w:color w:val="auto"/>
                <w:sz w:val="28"/>
                <w:szCs w:val="44"/>
              </w:rPr>
            </w:pPr>
          </w:p>
        </w:tc>
        <w:tc>
          <w:tcPr>
            <w:tcW w:w="3282" w:type="dxa"/>
            <w:vMerge w:val="continue"/>
            <w:noWrap w:val="0"/>
            <w:vAlign w:val="top"/>
          </w:tcPr>
          <w:p w14:paraId="57CE6F65">
            <w:pPr>
              <w:rPr>
                <w:rFonts w:eastAsia="楷体_GB2312"/>
                <w:b/>
                <w:color w:val="auto"/>
                <w:sz w:val="28"/>
                <w:szCs w:val="44"/>
              </w:rPr>
            </w:pPr>
          </w:p>
        </w:tc>
        <w:tc>
          <w:tcPr>
            <w:tcW w:w="1660" w:type="dxa"/>
            <w:vMerge w:val="continue"/>
            <w:noWrap w:val="0"/>
            <w:vAlign w:val="top"/>
          </w:tcPr>
          <w:p w14:paraId="4A6A5A0A">
            <w:pPr>
              <w:keepNext w:val="0"/>
              <w:keepLines w:val="0"/>
              <w:pageBreakBefore w:val="0"/>
              <w:kinsoku/>
              <w:wordWrap/>
              <w:overflowPunct/>
              <w:topLinePunct w:val="0"/>
              <w:autoSpaceDE/>
              <w:autoSpaceDN/>
              <w:bidi w:val="0"/>
              <w:spacing w:line="340" w:lineRule="exact"/>
              <w:rPr>
                <w:rFonts w:eastAsia="楷体_GB2312"/>
                <w:b/>
                <w:color w:val="auto"/>
                <w:sz w:val="28"/>
                <w:szCs w:val="44"/>
              </w:rPr>
            </w:pPr>
          </w:p>
        </w:tc>
        <w:tc>
          <w:tcPr>
            <w:tcW w:w="1159" w:type="dxa"/>
            <w:noWrap w:val="0"/>
            <w:vAlign w:val="center"/>
          </w:tcPr>
          <w:p w14:paraId="6BA82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楷体_GB2312"/>
                <w:b/>
                <w:color w:val="auto"/>
                <w:sz w:val="28"/>
                <w:szCs w:val="44"/>
                <w:lang w:val="en-US" w:eastAsia="zh-CN"/>
              </w:rPr>
            </w:pPr>
            <w:r>
              <w:rPr>
                <w:rFonts w:eastAsia="楷体_GB2312"/>
                <w:b/>
                <w:color w:val="auto"/>
                <w:sz w:val="28"/>
                <w:szCs w:val="44"/>
              </w:rPr>
              <w:t>满意</w:t>
            </w:r>
            <w:r>
              <w:rPr>
                <w:rFonts w:hint="eastAsia" w:eastAsia="楷体_GB2312"/>
                <w:b/>
                <w:color w:val="auto"/>
                <w:sz w:val="28"/>
                <w:szCs w:val="44"/>
                <w:lang w:val="en-US" w:eastAsia="zh-CN"/>
              </w:rPr>
              <w:t>票</w:t>
            </w:r>
          </w:p>
        </w:tc>
        <w:tc>
          <w:tcPr>
            <w:tcW w:w="1378" w:type="dxa"/>
            <w:noWrap w:val="0"/>
            <w:vAlign w:val="center"/>
          </w:tcPr>
          <w:p w14:paraId="5C8FAF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楷体_GB2312"/>
                <w:b/>
                <w:color w:val="auto"/>
                <w:sz w:val="28"/>
                <w:szCs w:val="44"/>
              </w:rPr>
            </w:pPr>
            <w:r>
              <w:rPr>
                <w:rFonts w:eastAsia="楷体_GB2312"/>
                <w:b/>
                <w:color w:val="auto"/>
                <w:sz w:val="28"/>
                <w:szCs w:val="44"/>
              </w:rPr>
              <w:t>不满意</w:t>
            </w:r>
            <w:r>
              <w:rPr>
                <w:rFonts w:hint="eastAsia" w:eastAsia="楷体_GB2312"/>
                <w:b/>
                <w:color w:val="auto"/>
                <w:sz w:val="28"/>
                <w:szCs w:val="44"/>
                <w:lang w:val="en-US" w:eastAsia="zh-CN"/>
              </w:rPr>
              <w:t>票</w:t>
            </w:r>
          </w:p>
        </w:tc>
        <w:tc>
          <w:tcPr>
            <w:tcW w:w="1065" w:type="dxa"/>
            <w:noWrap w:val="0"/>
            <w:vAlign w:val="center"/>
          </w:tcPr>
          <w:p w14:paraId="2A63C8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楷体_GB2312"/>
                <w:b/>
                <w:color w:val="auto"/>
                <w:sz w:val="28"/>
                <w:szCs w:val="44"/>
                <w:lang w:val="en-US" w:eastAsia="zh-CN"/>
              </w:rPr>
            </w:pPr>
            <w:r>
              <w:rPr>
                <w:rFonts w:hint="eastAsia" w:eastAsia="楷体_GB2312"/>
                <w:b/>
                <w:color w:val="auto"/>
                <w:sz w:val="28"/>
                <w:szCs w:val="44"/>
                <w:lang w:val="en-US" w:eastAsia="zh-CN"/>
              </w:rPr>
              <w:t>弃权票</w:t>
            </w:r>
          </w:p>
        </w:tc>
        <w:tc>
          <w:tcPr>
            <w:tcW w:w="946" w:type="dxa"/>
            <w:gridSpan w:val="2"/>
            <w:vMerge w:val="continue"/>
            <w:noWrap w:val="0"/>
            <w:vAlign w:val="center"/>
          </w:tcPr>
          <w:p w14:paraId="3758D6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楷体_GB2312"/>
                <w:b/>
                <w:color w:val="auto"/>
                <w:sz w:val="28"/>
                <w:szCs w:val="44"/>
                <w:lang w:val="en-US" w:eastAsia="zh-CN"/>
              </w:rPr>
            </w:pPr>
          </w:p>
        </w:tc>
      </w:tr>
      <w:tr w14:paraId="3503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952" w:hRule="atLeast"/>
          <w:jc w:val="center"/>
        </w:trPr>
        <w:tc>
          <w:tcPr>
            <w:tcW w:w="538" w:type="dxa"/>
            <w:noWrap w:val="0"/>
            <w:vAlign w:val="center"/>
          </w:tcPr>
          <w:p w14:paraId="14FFE6B4">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w:t>
            </w:r>
          </w:p>
        </w:tc>
        <w:tc>
          <w:tcPr>
            <w:tcW w:w="3282" w:type="dxa"/>
            <w:noWrap w:val="0"/>
            <w:vAlign w:val="center"/>
          </w:tcPr>
          <w:p w14:paraId="1BBE31D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采取哪些措施推进落实“四张清单”工作，并以此带动打造更好的营商环境？</w:t>
            </w:r>
          </w:p>
        </w:tc>
        <w:tc>
          <w:tcPr>
            <w:tcW w:w="1660" w:type="dxa"/>
            <w:noWrap w:val="0"/>
            <w:vAlign w:val="center"/>
          </w:tcPr>
          <w:p w14:paraId="3A3D36A5">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县数据局</w:t>
            </w:r>
          </w:p>
        </w:tc>
        <w:tc>
          <w:tcPr>
            <w:tcW w:w="1159" w:type="dxa"/>
            <w:noWrap w:val="0"/>
            <w:vAlign w:val="center"/>
          </w:tcPr>
          <w:p w14:paraId="6C132FC9">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2EAAB4C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56BB550A">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6" w:type="dxa"/>
            <w:gridSpan w:val="2"/>
            <w:noWrap w:val="0"/>
            <w:vAlign w:val="center"/>
          </w:tcPr>
          <w:p w14:paraId="4B5F70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53E8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2" w:hRule="atLeast"/>
          <w:jc w:val="center"/>
        </w:trPr>
        <w:tc>
          <w:tcPr>
            <w:tcW w:w="538" w:type="dxa"/>
            <w:noWrap w:val="0"/>
            <w:vAlign w:val="center"/>
          </w:tcPr>
          <w:p w14:paraId="47B561FC">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2</w:t>
            </w:r>
          </w:p>
        </w:tc>
        <w:tc>
          <w:tcPr>
            <w:tcW w:w="3282" w:type="dxa"/>
            <w:noWrap w:val="0"/>
            <w:vAlign w:val="center"/>
          </w:tcPr>
          <w:p w14:paraId="3A8F83E3">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怎样规范工程建设立项审批，避免退件现象？</w:t>
            </w:r>
          </w:p>
        </w:tc>
        <w:tc>
          <w:tcPr>
            <w:tcW w:w="1660" w:type="dxa"/>
            <w:noWrap w:val="0"/>
            <w:vAlign w:val="center"/>
          </w:tcPr>
          <w:p w14:paraId="1BE1ED68">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县发改局</w:t>
            </w:r>
          </w:p>
        </w:tc>
        <w:tc>
          <w:tcPr>
            <w:tcW w:w="1159" w:type="dxa"/>
            <w:noWrap w:val="0"/>
            <w:vAlign w:val="center"/>
          </w:tcPr>
          <w:p w14:paraId="52CC7885">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3B5BC85E">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64A7FDC3">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6" w:type="dxa"/>
            <w:gridSpan w:val="2"/>
            <w:noWrap w:val="0"/>
            <w:vAlign w:val="center"/>
          </w:tcPr>
          <w:p w14:paraId="572590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3D2C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60" w:hRule="atLeast"/>
          <w:jc w:val="center"/>
        </w:trPr>
        <w:tc>
          <w:tcPr>
            <w:tcW w:w="538" w:type="dxa"/>
            <w:noWrap w:val="0"/>
            <w:vAlign w:val="center"/>
          </w:tcPr>
          <w:p w14:paraId="19E9316D">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3</w:t>
            </w:r>
          </w:p>
        </w:tc>
        <w:tc>
          <w:tcPr>
            <w:tcW w:w="3282" w:type="dxa"/>
            <w:noWrap w:val="0"/>
            <w:vAlign w:val="center"/>
          </w:tcPr>
          <w:p w14:paraId="08ABC49C">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作为我县“双随机一公开”监管的牵头单位，如何全面落实“双随机一公开”监管，提高联合执法比重？</w:t>
            </w:r>
          </w:p>
        </w:tc>
        <w:tc>
          <w:tcPr>
            <w:tcW w:w="1660" w:type="dxa"/>
            <w:noWrap w:val="0"/>
            <w:vAlign w:val="center"/>
          </w:tcPr>
          <w:p w14:paraId="1E5916B9">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县市场监督</w:t>
            </w:r>
          </w:p>
          <w:p w14:paraId="24837FEA">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管理局</w:t>
            </w:r>
          </w:p>
        </w:tc>
        <w:tc>
          <w:tcPr>
            <w:tcW w:w="1159" w:type="dxa"/>
            <w:noWrap w:val="0"/>
            <w:vAlign w:val="center"/>
          </w:tcPr>
          <w:p w14:paraId="27753A79">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66949368">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3E25A275">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6" w:type="dxa"/>
            <w:gridSpan w:val="2"/>
            <w:noWrap w:val="0"/>
            <w:vAlign w:val="center"/>
          </w:tcPr>
          <w:p w14:paraId="535265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1B54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88" w:hRule="atLeast"/>
          <w:jc w:val="center"/>
        </w:trPr>
        <w:tc>
          <w:tcPr>
            <w:tcW w:w="538" w:type="dxa"/>
            <w:noWrap w:val="0"/>
            <w:vAlign w:val="center"/>
          </w:tcPr>
          <w:p w14:paraId="3BA615C8">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4</w:t>
            </w:r>
          </w:p>
        </w:tc>
        <w:tc>
          <w:tcPr>
            <w:tcW w:w="3282" w:type="dxa"/>
            <w:noWrap w:val="0"/>
            <w:vAlign w:val="center"/>
          </w:tcPr>
          <w:p w14:paraId="18FD337A">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作为建设工程审批制度改革的牵头单位，在工程建设审批改革上有什么新举措，如何提升审批效率？</w:t>
            </w:r>
          </w:p>
        </w:tc>
        <w:tc>
          <w:tcPr>
            <w:tcW w:w="1660" w:type="dxa"/>
            <w:noWrap w:val="0"/>
            <w:vAlign w:val="center"/>
          </w:tcPr>
          <w:p w14:paraId="31FB9AAF">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县住建局</w:t>
            </w:r>
          </w:p>
        </w:tc>
        <w:tc>
          <w:tcPr>
            <w:tcW w:w="1159" w:type="dxa"/>
            <w:noWrap w:val="0"/>
            <w:vAlign w:val="center"/>
          </w:tcPr>
          <w:p w14:paraId="29D9728C">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6C92D984">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42A4625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6" w:type="dxa"/>
            <w:gridSpan w:val="2"/>
            <w:noWrap w:val="0"/>
            <w:vAlign w:val="center"/>
          </w:tcPr>
          <w:p w14:paraId="2429FD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5BBF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926" w:hRule="atLeast"/>
          <w:jc w:val="center"/>
        </w:trPr>
        <w:tc>
          <w:tcPr>
            <w:tcW w:w="538" w:type="dxa"/>
            <w:noWrap w:val="0"/>
            <w:vAlign w:val="center"/>
          </w:tcPr>
          <w:p w14:paraId="140EF930">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5</w:t>
            </w:r>
          </w:p>
        </w:tc>
        <w:tc>
          <w:tcPr>
            <w:tcW w:w="3282" w:type="dxa"/>
            <w:noWrap w:val="0"/>
            <w:vAlign w:val="center"/>
          </w:tcPr>
          <w:p w14:paraId="2DE9F16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如何解决我县未设立县级融资担保公司，影响中小企业融资能力的问题？</w:t>
            </w:r>
          </w:p>
        </w:tc>
        <w:tc>
          <w:tcPr>
            <w:tcW w:w="1660" w:type="dxa"/>
            <w:noWrap w:val="0"/>
            <w:vAlign w:val="center"/>
          </w:tcPr>
          <w:p w14:paraId="617507BB">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县财政局</w:t>
            </w:r>
          </w:p>
        </w:tc>
        <w:tc>
          <w:tcPr>
            <w:tcW w:w="1159" w:type="dxa"/>
            <w:noWrap w:val="0"/>
            <w:vAlign w:val="center"/>
          </w:tcPr>
          <w:p w14:paraId="7ACE18B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0A667A87">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4B33F76B">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6" w:type="dxa"/>
            <w:gridSpan w:val="2"/>
            <w:noWrap w:val="0"/>
            <w:vAlign w:val="center"/>
          </w:tcPr>
          <w:p w14:paraId="65C7F5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4A6D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794" w:hRule="atLeast"/>
          <w:jc w:val="center"/>
        </w:trPr>
        <w:tc>
          <w:tcPr>
            <w:tcW w:w="538" w:type="dxa"/>
            <w:noWrap w:val="0"/>
            <w:vAlign w:val="center"/>
          </w:tcPr>
          <w:p w14:paraId="42F24FE3">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6</w:t>
            </w:r>
          </w:p>
        </w:tc>
        <w:tc>
          <w:tcPr>
            <w:tcW w:w="3282" w:type="dxa"/>
            <w:noWrap w:val="0"/>
            <w:vAlign w:val="center"/>
          </w:tcPr>
          <w:p w14:paraId="0A0FDE8A">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采取什么措施加强对临时市场及周边秩序的整治？</w:t>
            </w:r>
          </w:p>
        </w:tc>
        <w:tc>
          <w:tcPr>
            <w:tcW w:w="1660" w:type="dxa"/>
            <w:noWrap w:val="0"/>
            <w:vAlign w:val="center"/>
          </w:tcPr>
          <w:p w14:paraId="1D274B8D">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县城管局</w:t>
            </w:r>
          </w:p>
        </w:tc>
        <w:tc>
          <w:tcPr>
            <w:tcW w:w="1159" w:type="dxa"/>
            <w:noWrap w:val="0"/>
            <w:vAlign w:val="center"/>
          </w:tcPr>
          <w:p w14:paraId="273CC26E">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3D088276">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55CC2AD5">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6" w:type="dxa"/>
            <w:gridSpan w:val="2"/>
            <w:noWrap w:val="0"/>
            <w:vAlign w:val="center"/>
          </w:tcPr>
          <w:p w14:paraId="4B5505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37BB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050" w:hRule="atLeast"/>
          <w:jc w:val="center"/>
        </w:trPr>
        <w:tc>
          <w:tcPr>
            <w:tcW w:w="538" w:type="dxa"/>
            <w:noWrap w:val="0"/>
            <w:vAlign w:val="center"/>
          </w:tcPr>
          <w:p w14:paraId="4F5593FA">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7</w:t>
            </w:r>
          </w:p>
        </w:tc>
        <w:tc>
          <w:tcPr>
            <w:tcW w:w="3282" w:type="dxa"/>
            <w:noWrap w:val="0"/>
            <w:vAlign w:val="center"/>
          </w:tcPr>
          <w:p w14:paraId="77EF3BA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采取哪些措施带动文旅行业相关企业的发展壮大？</w:t>
            </w:r>
          </w:p>
        </w:tc>
        <w:tc>
          <w:tcPr>
            <w:tcW w:w="1660" w:type="dxa"/>
            <w:noWrap w:val="0"/>
            <w:vAlign w:val="center"/>
          </w:tcPr>
          <w:p w14:paraId="66ACC28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县文旅广体局</w:t>
            </w:r>
          </w:p>
        </w:tc>
        <w:tc>
          <w:tcPr>
            <w:tcW w:w="1159" w:type="dxa"/>
            <w:noWrap w:val="0"/>
            <w:vAlign w:val="center"/>
          </w:tcPr>
          <w:p w14:paraId="7DB2FA2A">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4BD8E129">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278F3279">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6" w:type="dxa"/>
            <w:gridSpan w:val="2"/>
            <w:noWrap w:val="0"/>
            <w:vAlign w:val="center"/>
          </w:tcPr>
          <w:p w14:paraId="42CFC1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580A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47" w:hRule="atLeast"/>
          <w:jc w:val="center"/>
        </w:trPr>
        <w:tc>
          <w:tcPr>
            <w:tcW w:w="538" w:type="dxa"/>
            <w:noWrap w:val="0"/>
            <w:vAlign w:val="center"/>
          </w:tcPr>
          <w:p w14:paraId="1250D64B">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8</w:t>
            </w:r>
          </w:p>
        </w:tc>
        <w:tc>
          <w:tcPr>
            <w:tcW w:w="3282" w:type="dxa"/>
            <w:noWrap w:val="0"/>
            <w:vAlign w:val="center"/>
          </w:tcPr>
          <w:p w14:paraId="7A5834AC">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在规范社会组织管理，指导社会组织发挥行业优势服务我县经济社会发展方面有哪些举措？</w:t>
            </w:r>
          </w:p>
        </w:tc>
        <w:tc>
          <w:tcPr>
            <w:tcW w:w="1660" w:type="dxa"/>
            <w:noWrap w:val="0"/>
            <w:vAlign w:val="center"/>
          </w:tcPr>
          <w:p w14:paraId="72687085">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县民政局</w:t>
            </w:r>
          </w:p>
        </w:tc>
        <w:tc>
          <w:tcPr>
            <w:tcW w:w="1159" w:type="dxa"/>
            <w:noWrap w:val="0"/>
            <w:vAlign w:val="center"/>
          </w:tcPr>
          <w:p w14:paraId="781EF122">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5B18DCB4">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21B4EDE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6" w:type="dxa"/>
            <w:gridSpan w:val="2"/>
            <w:noWrap w:val="0"/>
            <w:vAlign w:val="center"/>
          </w:tcPr>
          <w:p w14:paraId="282D7E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6685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077" w:hRule="atLeast"/>
          <w:jc w:val="center"/>
        </w:trPr>
        <w:tc>
          <w:tcPr>
            <w:tcW w:w="538" w:type="dxa"/>
            <w:noWrap w:val="0"/>
            <w:vAlign w:val="center"/>
          </w:tcPr>
          <w:p w14:paraId="4B3FDF3A">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9</w:t>
            </w:r>
          </w:p>
        </w:tc>
        <w:tc>
          <w:tcPr>
            <w:tcW w:w="3282" w:type="dxa"/>
            <w:noWrap w:val="0"/>
            <w:vAlign w:val="center"/>
          </w:tcPr>
          <w:p w14:paraId="404A1B8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采取哪些措施加强对医疗行业监管，营造良好的医德医风，避免出现医疗腐败？</w:t>
            </w:r>
          </w:p>
        </w:tc>
        <w:tc>
          <w:tcPr>
            <w:tcW w:w="1660" w:type="dxa"/>
            <w:noWrap w:val="0"/>
            <w:vAlign w:val="center"/>
          </w:tcPr>
          <w:p w14:paraId="58278CA4">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县卫健局</w:t>
            </w:r>
          </w:p>
        </w:tc>
        <w:tc>
          <w:tcPr>
            <w:tcW w:w="1159" w:type="dxa"/>
            <w:noWrap w:val="0"/>
            <w:vAlign w:val="center"/>
          </w:tcPr>
          <w:p w14:paraId="7EA8CF6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721EAFDF">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3311199C">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6" w:type="dxa"/>
            <w:gridSpan w:val="2"/>
            <w:noWrap w:val="0"/>
            <w:vAlign w:val="center"/>
          </w:tcPr>
          <w:p w14:paraId="71E26A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3F44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020" w:hRule="atLeast"/>
          <w:jc w:val="center"/>
        </w:trPr>
        <w:tc>
          <w:tcPr>
            <w:tcW w:w="538" w:type="dxa"/>
            <w:noWrap w:val="0"/>
            <w:vAlign w:val="center"/>
          </w:tcPr>
          <w:p w14:paraId="1F9B8498">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10</w:t>
            </w:r>
          </w:p>
        </w:tc>
        <w:tc>
          <w:tcPr>
            <w:tcW w:w="3282" w:type="dxa"/>
            <w:noWrap w:val="0"/>
            <w:vAlign w:val="center"/>
          </w:tcPr>
          <w:p w14:paraId="5D60999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采取哪些措施保证建筑领域农民工按时足额领取工资？</w:t>
            </w:r>
          </w:p>
        </w:tc>
        <w:tc>
          <w:tcPr>
            <w:tcW w:w="1660" w:type="dxa"/>
            <w:noWrap w:val="0"/>
            <w:vAlign w:val="center"/>
          </w:tcPr>
          <w:p w14:paraId="6119C99E">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县人社局</w:t>
            </w:r>
          </w:p>
        </w:tc>
        <w:tc>
          <w:tcPr>
            <w:tcW w:w="1159" w:type="dxa"/>
            <w:noWrap w:val="0"/>
            <w:vAlign w:val="center"/>
          </w:tcPr>
          <w:p w14:paraId="20585184">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5D43B9C2">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316100F0">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6" w:type="dxa"/>
            <w:gridSpan w:val="2"/>
            <w:noWrap w:val="0"/>
            <w:vAlign w:val="center"/>
          </w:tcPr>
          <w:p w14:paraId="4689956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5247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020" w:hRule="atLeast"/>
          <w:jc w:val="center"/>
        </w:trPr>
        <w:tc>
          <w:tcPr>
            <w:tcW w:w="538" w:type="dxa"/>
            <w:noWrap w:val="0"/>
            <w:vAlign w:val="center"/>
          </w:tcPr>
          <w:p w14:paraId="66B0CEF4">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11</w:t>
            </w:r>
          </w:p>
        </w:tc>
        <w:tc>
          <w:tcPr>
            <w:tcW w:w="3282" w:type="dxa"/>
            <w:noWrap w:val="0"/>
            <w:vAlign w:val="center"/>
          </w:tcPr>
          <w:p w14:paraId="6558C58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如何加强“双随机一公开”监管、数字化监管及与其他部门的联合执法？</w:t>
            </w:r>
          </w:p>
        </w:tc>
        <w:tc>
          <w:tcPr>
            <w:tcW w:w="1660" w:type="dxa"/>
            <w:noWrap w:val="0"/>
            <w:vAlign w:val="center"/>
          </w:tcPr>
          <w:p w14:paraId="08C28CBD">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县应急管理局</w:t>
            </w:r>
          </w:p>
        </w:tc>
        <w:tc>
          <w:tcPr>
            <w:tcW w:w="1159" w:type="dxa"/>
            <w:noWrap w:val="0"/>
            <w:vAlign w:val="center"/>
          </w:tcPr>
          <w:p w14:paraId="740C70D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0DF4B9BA">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43ED84F1">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6" w:type="dxa"/>
            <w:gridSpan w:val="2"/>
            <w:noWrap w:val="0"/>
            <w:vAlign w:val="center"/>
          </w:tcPr>
          <w:p w14:paraId="05C5EB3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3C86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794" w:hRule="atLeast"/>
          <w:jc w:val="center"/>
        </w:trPr>
        <w:tc>
          <w:tcPr>
            <w:tcW w:w="538" w:type="dxa"/>
            <w:noWrap w:val="0"/>
            <w:vAlign w:val="center"/>
          </w:tcPr>
          <w:p w14:paraId="240AAD83">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12</w:t>
            </w:r>
          </w:p>
        </w:tc>
        <w:tc>
          <w:tcPr>
            <w:tcW w:w="3282" w:type="dxa"/>
            <w:noWrap w:val="0"/>
            <w:vAlign w:val="center"/>
          </w:tcPr>
          <w:p w14:paraId="14504B5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面对新形势，如何优化营商环境做好招商引资工作？</w:t>
            </w:r>
          </w:p>
        </w:tc>
        <w:tc>
          <w:tcPr>
            <w:tcW w:w="1660" w:type="dxa"/>
            <w:noWrap w:val="0"/>
            <w:vAlign w:val="center"/>
          </w:tcPr>
          <w:p w14:paraId="7579F32A">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产业开发区</w:t>
            </w:r>
          </w:p>
        </w:tc>
        <w:tc>
          <w:tcPr>
            <w:tcW w:w="1159" w:type="dxa"/>
            <w:noWrap w:val="0"/>
            <w:vAlign w:val="center"/>
          </w:tcPr>
          <w:p w14:paraId="7CD44146">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3AE72360">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25009B4F">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6" w:type="dxa"/>
            <w:gridSpan w:val="2"/>
            <w:noWrap w:val="0"/>
            <w:vAlign w:val="center"/>
          </w:tcPr>
          <w:p w14:paraId="3E4CB3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4CCA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850" w:hRule="atLeast"/>
          <w:jc w:val="center"/>
        </w:trPr>
        <w:tc>
          <w:tcPr>
            <w:tcW w:w="538" w:type="dxa"/>
            <w:noWrap w:val="0"/>
            <w:vAlign w:val="center"/>
          </w:tcPr>
          <w:p w14:paraId="58E5065F">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1</w:t>
            </w:r>
            <w:r>
              <w:rPr>
                <w:rFonts w:hint="eastAsia" w:ascii="仿宋_GB2312" w:hAnsi="仿宋_GB2312" w:eastAsia="仿宋_GB2312" w:cs="仿宋_GB2312"/>
                <w:b w:val="0"/>
                <w:bCs/>
                <w:sz w:val="24"/>
                <w:szCs w:val="24"/>
                <w:lang w:val="en-US" w:eastAsia="zh-CN"/>
              </w:rPr>
              <w:t>3</w:t>
            </w:r>
          </w:p>
        </w:tc>
        <w:tc>
          <w:tcPr>
            <w:tcW w:w="3282" w:type="dxa"/>
            <w:noWrap w:val="0"/>
            <w:vAlign w:val="center"/>
          </w:tcPr>
          <w:p w14:paraId="53B8EB8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采取什么措施提升追赃挽损能力，维护群众和企业利益？</w:t>
            </w:r>
          </w:p>
        </w:tc>
        <w:tc>
          <w:tcPr>
            <w:tcW w:w="1660" w:type="dxa"/>
            <w:noWrap w:val="0"/>
            <w:vAlign w:val="center"/>
          </w:tcPr>
          <w:p w14:paraId="18C4986D">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县公安局</w:t>
            </w:r>
          </w:p>
        </w:tc>
        <w:tc>
          <w:tcPr>
            <w:tcW w:w="1159" w:type="dxa"/>
            <w:noWrap w:val="0"/>
            <w:vAlign w:val="center"/>
          </w:tcPr>
          <w:p w14:paraId="447101C5">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1378" w:type="dxa"/>
            <w:noWrap w:val="0"/>
            <w:vAlign w:val="center"/>
          </w:tcPr>
          <w:p w14:paraId="4A046934">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0499593F">
            <w:pPr>
              <w:keepNext w:val="0"/>
              <w:keepLines w:val="0"/>
              <w:widowControl/>
              <w:suppressLineNumbers w:val="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4" w:type="dxa"/>
            <w:noWrap w:val="0"/>
            <w:vAlign w:val="center"/>
          </w:tcPr>
          <w:p w14:paraId="05BAB2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3428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850" w:hRule="atLeast"/>
          <w:jc w:val="center"/>
        </w:trPr>
        <w:tc>
          <w:tcPr>
            <w:tcW w:w="538" w:type="dxa"/>
            <w:noWrap w:val="0"/>
            <w:vAlign w:val="center"/>
          </w:tcPr>
          <w:p w14:paraId="4860E23B">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14</w:t>
            </w:r>
          </w:p>
        </w:tc>
        <w:tc>
          <w:tcPr>
            <w:tcW w:w="3282" w:type="dxa"/>
            <w:noWrap w:val="0"/>
            <w:vAlign w:val="center"/>
          </w:tcPr>
          <w:p w14:paraId="4EC671BC">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如何规范生态环保执法，提升数字化执法水平？</w:t>
            </w:r>
          </w:p>
        </w:tc>
        <w:tc>
          <w:tcPr>
            <w:tcW w:w="1660" w:type="dxa"/>
            <w:noWrap w:val="0"/>
            <w:vAlign w:val="center"/>
          </w:tcPr>
          <w:p w14:paraId="18056FC1">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市生态环境局新田分局</w:t>
            </w:r>
          </w:p>
        </w:tc>
        <w:tc>
          <w:tcPr>
            <w:tcW w:w="1159" w:type="dxa"/>
            <w:noWrap w:val="0"/>
            <w:vAlign w:val="center"/>
          </w:tcPr>
          <w:p w14:paraId="6FF760BF">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52</w:t>
            </w:r>
          </w:p>
        </w:tc>
        <w:tc>
          <w:tcPr>
            <w:tcW w:w="1378" w:type="dxa"/>
            <w:noWrap w:val="0"/>
            <w:vAlign w:val="center"/>
          </w:tcPr>
          <w:p w14:paraId="2DEF3D4D">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065" w:type="dxa"/>
            <w:noWrap w:val="0"/>
            <w:vAlign w:val="center"/>
          </w:tcPr>
          <w:p w14:paraId="084610B8">
            <w:pPr>
              <w:keepNext w:val="0"/>
              <w:keepLines w:val="0"/>
              <w:widowControl/>
              <w:suppressLineNumbers w:val="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4" w:type="dxa"/>
            <w:noWrap w:val="0"/>
            <w:vAlign w:val="center"/>
          </w:tcPr>
          <w:p w14:paraId="4D9961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7B13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850" w:hRule="atLeast"/>
          <w:jc w:val="center"/>
        </w:trPr>
        <w:tc>
          <w:tcPr>
            <w:tcW w:w="538" w:type="dxa"/>
            <w:noWrap w:val="0"/>
            <w:vAlign w:val="center"/>
          </w:tcPr>
          <w:p w14:paraId="4B3DD98C">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15</w:t>
            </w:r>
          </w:p>
        </w:tc>
        <w:tc>
          <w:tcPr>
            <w:tcW w:w="3282" w:type="dxa"/>
            <w:noWrap w:val="0"/>
            <w:vAlign w:val="center"/>
          </w:tcPr>
          <w:p w14:paraId="6878D8E3">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采取哪些措施提高贷款到期接续融资可得性，降低企业的融资成本？</w:t>
            </w:r>
          </w:p>
        </w:tc>
        <w:tc>
          <w:tcPr>
            <w:tcW w:w="1660" w:type="dxa"/>
            <w:noWrap w:val="0"/>
            <w:vAlign w:val="center"/>
          </w:tcPr>
          <w:p w14:paraId="27C9F262">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国家金融监管总局新田监管支局</w:t>
            </w:r>
          </w:p>
        </w:tc>
        <w:tc>
          <w:tcPr>
            <w:tcW w:w="1159" w:type="dxa"/>
            <w:noWrap w:val="0"/>
            <w:vAlign w:val="center"/>
          </w:tcPr>
          <w:p w14:paraId="611230E6">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52</w:t>
            </w:r>
          </w:p>
        </w:tc>
        <w:tc>
          <w:tcPr>
            <w:tcW w:w="1378" w:type="dxa"/>
            <w:noWrap w:val="0"/>
            <w:vAlign w:val="center"/>
          </w:tcPr>
          <w:p w14:paraId="213FBE60">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164BC7FF">
            <w:pPr>
              <w:keepNext w:val="0"/>
              <w:keepLines w:val="0"/>
              <w:widowControl/>
              <w:suppressLineNumbers w:val="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944" w:type="dxa"/>
            <w:noWrap w:val="0"/>
            <w:vAlign w:val="center"/>
          </w:tcPr>
          <w:p w14:paraId="76DAEC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7410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964" w:hRule="atLeast"/>
          <w:jc w:val="center"/>
        </w:trPr>
        <w:tc>
          <w:tcPr>
            <w:tcW w:w="538" w:type="dxa"/>
            <w:noWrap w:val="0"/>
            <w:vAlign w:val="center"/>
          </w:tcPr>
          <w:p w14:paraId="79B200FA">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16</w:t>
            </w:r>
          </w:p>
        </w:tc>
        <w:tc>
          <w:tcPr>
            <w:tcW w:w="3282" w:type="dxa"/>
            <w:noWrap w:val="0"/>
            <w:vAlign w:val="center"/>
          </w:tcPr>
          <w:p w14:paraId="524224FF">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采取哪些措施解决我县企业融资难问题，为中小企业发展提供坚实的金融保障？</w:t>
            </w:r>
          </w:p>
        </w:tc>
        <w:tc>
          <w:tcPr>
            <w:tcW w:w="1660" w:type="dxa"/>
            <w:noWrap w:val="0"/>
            <w:vAlign w:val="center"/>
          </w:tcPr>
          <w:p w14:paraId="596939FF">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县政府办</w:t>
            </w:r>
          </w:p>
          <w:p w14:paraId="768EC690">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（县金融办）</w:t>
            </w:r>
          </w:p>
        </w:tc>
        <w:tc>
          <w:tcPr>
            <w:tcW w:w="1159" w:type="dxa"/>
            <w:noWrap w:val="0"/>
            <w:vAlign w:val="center"/>
          </w:tcPr>
          <w:p w14:paraId="3581106F">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51</w:t>
            </w:r>
          </w:p>
        </w:tc>
        <w:tc>
          <w:tcPr>
            <w:tcW w:w="1378" w:type="dxa"/>
            <w:noWrap w:val="0"/>
            <w:vAlign w:val="center"/>
          </w:tcPr>
          <w:p w14:paraId="5EF81F95">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065" w:type="dxa"/>
            <w:noWrap w:val="0"/>
            <w:vAlign w:val="center"/>
          </w:tcPr>
          <w:p w14:paraId="14AE508C">
            <w:pPr>
              <w:keepNext w:val="0"/>
              <w:keepLines w:val="0"/>
              <w:widowControl/>
              <w:suppressLineNumbers w:val="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4" w:type="dxa"/>
            <w:noWrap w:val="0"/>
            <w:vAlign w:val="center"/>
          </w:tcPr>
          <w:p w14:paraId="210715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4D16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964" w:hRule="atLeast"/>
          <w:jc w:val="center"/>
        </w:trPr>
        <w:tc>
          <w:tcPr>
            <w:tcW w:w="538" w:type="dxa"/>
            <w:noWrap w:val="0"/>
            <w:vAlign w:val="center"/>
          </w:tcPr>
          <w:p w14:paraId="03B7D155">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17</w:t>
            </w:r>
          </w:p>
        </w:tc>
        <w:tc>
          <w:tcPr>
            <w:tcW w:w="3282" w:type="dxa"/>
            <w:noWrap w:val="0"/>
            <w:vAlign w:val="center"/>
          </w:tcPr>
          <w:p w14:paraId="2E78BA4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采取哪些措施提高不动产登记服务质量，提升群众满意度？</w:t>
            </w:r>
          </w:p>
        </w:tc>
        <w:tc>
          <w:tcPr>
            <w:tcW w:w="1660" w:type="dxa"/>
            <w:noWrap w:val="0"/>
            <w:vAlign w:val="center"/>
          </w:tcPr>
          <w:p w14:paraId="2BE8BB60">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县自然</w:t>
            </w:r>
          </w:p>
          <w:p w14:paraId="3923BDE8">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资源局</w:t>
            </w:r>
          </w:p>
        </w:tc>
        <w:tc>
          <w:tcPr>
            <w:tcW w:w="1159" w:type="dxa"/>
            <w:noWrap w:val="0"/>
            <w:vAlign w:val="center"/>
          </w:tcPr>
          <w:p w14:paraId="0A99534A">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51</w:t>
            </w:r>
          </w:p>
        </w:tc>
        <w:tc>
          <w:tcPr>
            <w:tcW w:w="1378" w:type="dxa"/>
            <w:noWrap w:val="0"/>
            <w:vAlign w:val="center"/>
          </w:tcPr>
          <w:p w14:paraId="609580AD">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065" w:type="dxa"/>
            <w:noWrap w:val="0"/>
            <w:vAlign w:val="center"/>
          </w:tcPr>
          <w:p w14:paraId="543CD417">
            <w:pPr>
              <w:keepNext w:val="0"/>
              <w:keepLines w:val="0"/>
              <w:widowControl/>
              <w:suppressLineNumbers w:val="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944" w:type="dxa"/>
            <w:noWrap w:val="0"/>
            <w:vAlign w:val="center"/>
          </w:tcPr>
          <w:p w14:paraId="7FB04F6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6A9C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1304" w:hRule="atLeast"/>
          <w:jc w:val="center"/>
        </w:trPr>
        <w:tc>
          <w:tcPr>
            <w:tcW w:w="538" w:type="dxa"/>
            <w:noWrap w:val="0"/>
            <w:vAlign w:val="center"/>
          </w:tcPr>
          <w:p w14:paraId="54E40AFB">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18</w:t>
            </w:r>
          </w:p>
        </w:tc>
        <w:tc>
          <w:tcPr>
            <w:tcW w:w="3282" w:type="dxa"/>
            <w:noWrap w:val="0"/>
            <w:vAlign w:val="center"/>
          </w:tcPr>
          <w:p w14:paraId="5511297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在解决家电下乡和以旧换新政策补贴资金拨付到位时间太长的问题方面，有什么实质性的举措？</w:t>
            </w:r>
          </w:p>
        </w:tc>
        <w:tc>
          <w:tcPr>
            <w:tcW w:w="1660" w:type="dxa"/>
            <w:noWrap w:val="0"/>
            <w:vAlign w:val="center"/>
          </w:tcPr>
          <w:p w14:paraId="6FA1CE14">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县科商</w:t>
            </w:r>
          </w:p>
          <w:p w14:paraId="0AD9040F">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工信局</w:t>
            </w:r>
          </w:p>
        </w:tc>
        <w:tc>
          <w:tcPr>
            <w:tcW w:w="1159" w:type="dxa"/>
            <w:noWrap w:val="0"/>
            <w:vAlign w:val="center"/>
          </w:tcPr>
          <w:p w14:paraId="21F2A28E">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51</w:t>
            </w:r>
          </w:p>
        </w:tc>
        <w:tc>
          <w:tcPr>
            <w:tcW w:w="1378" w:type="dxa"/>
            <w:noWrap w:val="0"/>
            <w:vAlign w:val="center"/>
          </w:tcPr>
          <w:p w14:paraId="7D281275">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1065" w:type="dxa"/>
            <w:noWrap w:val="0"/>
            <w:vAlign w:val="center"/>
          </w:tcPr>
          <w:p w14:paraId="6A8758AB">
            <w:pPr>
              <w:keepNext w:val="0"/>
              <w:keepLines w:val="0"/>
              <w:widowControl/>
              <w:suppressLineNumbers w:val="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944" w:type="dxa"/>
            <w:noWrap w:val="0"/>
            <w:vAlign w:val="center"/>
          </w:tcPr>
          <w:p w14:paraId="41D842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24E8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850" w:hRule="atLeast"/>
          <w:jc w:val="center"/>
        </w:trPr>
        <w:tc>
          <w:tcPr>
            <w:tcW w:w="538" w:type="dxa"/>
            <w:noWrap w:val="0"/>
            <w:vAlign w:val="center"/>
          </w:tcPr>
          <w:p w14:paraId="30FA1FEA">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19</w:t>
            </w:r>
          </w:p>
        </w:tc>
        <w:tc>
          <w:tcPr>
            <w:tcW w:w="3282" w:type="dxa"/>
            <w:noWrap w:val="0"/>
            <w:vAlign w:val="center"/>
          </w:tcPr>
          <w:p w14:paraId="58371BC1">
            <w:pPr>
              <w:keepNext w:val="0"/>
              <w:keepLines w:val="0"/>
              <w:pageBreakBefore w:val="0"/>
              <w:widowControl/>
              <w:suppressLineNumbers w:val="0"/>
              <w:kinsoku/>
              <w:wordWrap/>
              <w:overflowPunct/>
              <w:topLinePunct w:val="0"/>
              <w:autoSpaceDE/>
              <w:autoSpaceDN/>
              <w:bidi w:val="0"/>
              <w:spacing w:line="280" w:lineRule="exact"/>
              <w:jc w:val="left"/>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采取哪些措施规范小区物业管理？</w:t>
            </w:r>
          </w:p>
        </w:tc>
        <w:tc>
          <w:tcPr>
            <w:tcW w:w="1660" w:type="dxa"/>
            <w:noWrap w:val="0"/>
            <w:vAlign w:val="center"/>
          </w:tcPr>
          <w:p w14:paraId="5F7C6627">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县住房保障服务中心</w:t>
            </w:r>
          </w:p>
        </w:tc>
        <w:tc>
          <w:tcPr>
            <w:tcW w:w="1159" w:type="dxa"/>
            <w:noWrap w:val="0"/>
            <w:vAlign w:val="center"/>
          </w:tcPr>
          <w:p w14:paraId="44E648A1">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51</w:t>
            </w:r>
          </w:p>
        </w:tc>
        <w:tc>
          <w:tcPr>
            <w:tcW w:w="1378" w:type="dxa"/>
            <w:noWrap w:val="0"/>
            <w:vAlign w:val="center"/>
          </w:tcPr>
          <w:p w14:paraId="05D23BC2">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1065" w:type="dxa"/>
            <w:noWrap w:val="0"/>
            <w:vAlign w:val="center"/>
          </w:tcPr>
          <w:p w14:paraId="789F1F6A">
            <w:pPr>
              <w:keepNext w:val="0"/>
              <w:keepLines w:val="0"/>
              <w:widowControl/>
              <w:suppressLineNumbers w:val="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944" w:type="dxa"/>
            <w:noWrap w:val="0"/>
            <w:vAlign w:val="center"/>
          </w:tcPr>
          <w:p w14:paraId="072689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0D7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1902" w:hRule="atLeast"/>
          <w:jc w:val="center"/>
        </w:trPr>
        <w:tc>
          <w:tcPr>
            <w:tcW w:w="538" w:type="dxa"/>
            <w:noWrap w:val="0"/>
            <w:vAlign w:val="center"/>
          </w:tcPr>
          <w:p w14:paraId="1EA4FCCB">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20</w:t>
            </w:r>
          </w:p>
        </w:tc>
        <w:tc>
          <w:tcPr>
            <w:tcW w:w="3282" w:type="dxa"/>
            <w:noWrap w:val="0"/>
            <w:vAlign w:val="center"/>
          </w:tcPr>
          <w:p w14:paraId="7E3574D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Style w:val="6"/>
                <w:rFonts w:hAnsi="宋体"/>
                <w:lang w:val="en-US" w:eastAsia="zh-CN" w:bidi="ar"/>
              </w:rPr>
              <w:t>采取哪些措施解决部分单位未制定涉企检查计划、未全面落实扫码入企制度、未公布行政执法事项清单和免罚事项清单的问题，规范全县行政执法的监督？</w:t>
            </w:r>
          </w:p>
        </w:tc>
        <w:tc>
          <w:tcPr>
            <w:tcW w:w="1660" w:type="dxa"/>
            <w:noWrap w:val="0"/>
            <w:vAlign w:val="center"/>
          </w:tcPr>
          <w:p w14:paraId="01B27E5D">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县司法局</w:t>
            </w:r>
          </w:p>
        </w:tc>
        <w:tc>
          <w:tcPr>
            <w:tcW w:w="1159" w:type="dxa"/>
            <w:noWrap w:val="0"/>
            <w:vAlign w:val="center"/>
          </w:tcPr>
          <w:p w14:paraId="7D489F9E">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378" w:type="dxa"/>
            <w:noWrap w:val="0"/>
            <w:vAlign w:val="center"/>
          </w:tcPr>
          <w:p w14:paraId="0A03D5B3">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1065" w:type="dxa"/>
            <w:noWrap w:val="0"/>
            <w:vAlign w:val="center"/>
          </w:tcPr>
          <w:p w14:paraId="3834A469">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4" w:type="dxa"/>
            <w:noWrap w:val="0"/>
            <w:vAlign w:val="center"/>
          </w:tcPr>
          <w:p w14:paraId="28D6422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60F3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1273" w:hRule="atLeast"/>
          <w:jc w:val="center"/>
        </w:trPr>
        <w:tc>
          <w:tcPr>
            <w:tcW w:w="538" w:type="dxa"/>
            <w:noWrap w:val="0"/>
            <w:vAlign w:val="center"/>
          </w:tcPr>
          <w:p w14:paraId="1BDBF6FA">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21</w:t>
            </w:r>
          </w:p>
        </w:tc>
        <w:tc>
          <w:tcPr>
            <w:tcW w:w="3282" w:type="dxa"/>
            <w:noWrap w:val="0"/>
            <w:vAlign w:val="center"/>
          </w:tcPr>
          <w:p w14:paraId="3D17BE6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是否制定切实可行的办法化解学校欠款问题，今后如何避免拖欠企业账款的现象发生？</w:t>
            </w:r>
          </w:p>
        </w:tc>
        <w:tc>
          <w:tcPr>
            <w:tcW w:w="1660" w:type="dxa"/>
            <w:noWrap w:val="0"/>
            <w:vAlign w:val="center"/>
          </w:tcPr>
          <w:p w14:paraId="522DA248">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县教育局</w:t>
            </w:r>
          </w:p>
        </w:tc>
        <w:tc>
          <w:tcPr>
            <w:tcW w:w="1159" w:type="dxa"/>
            <w:noWrap w:val="0"/>
            <w:vAlign w:val="center"/>
          </w:tcPr>
          <w:p w14:paraId="262C08B9">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378" w:type="dxa"/>
            <w:noWrap w:val="0"/>
            <w:vAlign w:val="center"/>
          </w:tcPr>
          <w:p w14:paraId="1CDD90D1">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1065" w:type="dxa"/>
            <w:noWrap w:val="0"/>
            <w:vAlign w:val="center"/>
          </w:tcPr>
          <w:p w14:paraId="2847331E">
            <w:pPr>
              <w:keepNext w:val="0"/>
              <w:keepLines w:val="0"/>
              <w:widowControl/>
              <w:suppressLineNumbers w:val="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4" w:type="dxa"/>
            <w:noWrap w:val="0"/>
            <w:vAlign w:val="center"/>
          </w:tcPr>
          <w:p w14:paraId="7378FF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0E33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1020" w:hRule="atLeast"/>
          <w:jc w:val="center"/>
        </w:trPr>
        <w:tc>
          <w:tcPr>
            <w:tcW w:w="538" w:type="dxa"/>
            <w:noWrap w:val="0"/>
            <w:vAlign w:val="center"/>
          </w:tcPr>
          <w:p w14:paraId="7BF57731">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22</w:t>
            </w:r>
          </w:p>
        </w:tc>
        <w:tc>
          <w:tcPr>
            <w:tcW w:w="3282" w:type="dxa"/>
            <w:noWrap w:val="0"/>
            <w:vAlign w:val="center"/>
          </w:tcPr>
          <w:p w14:paraId="585D8B5D">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eastAsia="楷体_GB2312" w:cs="Times New Roman"/>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如何解决县医保局拖欠民营医院医保报销款，影响民营医院正常运行的问题？</w:t>
            </w:r>
          </w:p>
        </w:tc>
        <w:tc>
          <w:tcPr>
            <w:tcW w:w="1660" w:type="dxa"/>
            <w:noWrap w:val="0"/>
            <w:vAlign w:val="center"/>
          </w:tcPr>
          <w:p w14:paraId="516C3BA7">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县医疗</w:t>
            </w:r>
          </w:p>
          <w:p w14:paraId="591C5D35">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保障局</w:t>
            </w:r>
          </w:p>
        </w:tc>
        <w:tc>
          <w:tcPr>
            <w:tcW w:w="1159" w:type="dxa"/>
            <w:noWrap w:val="0"/>
            <w:vAlign w:val="center"/>
          </w:tcPr>
          <w:p w14:paraId="0F545735">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378" w:type="dxa"/>
            <w:noWrap w:val="0"/>
            <w:vAlign w:val="center"/>
          </w:tcPr>
          <w:p w14:paraId="41AC311C">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1065" w:type="dxa"/>
            <w:noWrap w:val="0"/>
            <w:vAlign w:val="center"/>
          </w:tcPr>
          <w:p w14:paraId="5DB307C7">
            <w:pPr>
              <w:keepNext w:val="0"/>
              <w:keepLines w:val="0"/>
              <w:widowControl/>
              <w:suppressLineNumbers w:val="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4" w:type="dxa"/>
            <w:noWrap w:val="0"/>
            <w:vAlign w:val="center"/>
          </w:tcPr>
          <w:p w14:paraId="13D57F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338D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1020" w:hRule="atLeast"/>
          <w:jc w:val="center"/>
        </w:trPr>
        <w:tc>
          <w:tcPr>
            <w:tcW w:w="538" w:type="dxa"/>
            <w:noWrap w:val="0"/>
            <w:vAlign w:val="center"/>
          </w:tcPr>
          <w:p w14:paraId="346B23DA">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23</w:t>
            </w:r>
          </w:p>
        </w:tc>
        <w:tc>
          <w:tcPr>
            <w:tcW w:w="3282" w:type="dxa"/>
            <w:noWrap w:val="0"/>
            <w:vAlign w:val="center"/>
          </w:tcPr>
          <w:p w14:paraId="68354459">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如何延伸检察服务，为促进企业健康发展提供坚强的检察保障？</w:t>
            </w:r>
          </w:p>
        </w:tc>
        <w:tc>
          <w:tcPr>
            <w:tcW w:w="1660" w:type="dxa"/>
            <w:noWrap w:val="0"/>
            <w:vAlign w:val="center"/>
          </w:tcPr>
          <w:p w14:paraId="7462016E">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县人民</w:t>
            </w:r>
          </w:p>
          <w:p w14:paraId="1F9233F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检察院</w:t>
            </w:r>
          </w:p>
        </w:tc>
        <w:tc>
          <w:tcPr>
            <w:tcW w:w="1159" w:type="dxa"/>
            <w:noWrap w:val="0"/>
            <w:vAlign w:val="center"/>
          </w:tcPr>
          <w:p w14:paraId="6841A890">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378" w:type="dxa"/>
            <w:noWrap w:val="0"/>
            <w:vAlign w:val="center"/>
          </w:tcPr>
          <w:p w14:paraId="397E66C5">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065" w:type="dxa"/>
            <w:noWrap w:val="0"/>
            <w:vAlign w:val="center"/>
          </w:tcPr>
          <w:p w14:paraId="1A574549">
            <w:pPr>
              <w:keepNext w:val="0"/>
              <w:keepLines w:val="0"/>
              <w:widowControl/>
              <w:suppressLineNumbers w:val="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944" w:type="dxa"/>
            <w:noWrap w:val="0"/>
            <w:vAlign w:val="center"/>
          </w:tcPr>
          <w:p w14:paraId="41D44D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4219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850" w:hRule="atLeast"/>
          <w:jc w:val="center"/>
        </w:trPr>
        <w:tc>
          <w:tcPr>
            <w:tcW w:w="538" w:type="dxa"/>
            <w:noWrap w:val="0"/>
            <w:vAlign w:val="center"/>
          </w:tcPr>
          <w:p w14:paraId="27622844">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24</w:t>
            </w:r>
          </w:p>
        </w:tc>
        <w:tc>
          <w:tcPr>
            <w:tcW w:w="3282" w:type="dxa"/>
            <w:noWrap w:val="0"/>
            <w:vAlign w:val="center"/>
          </w:tcPr>
          <w:p w14:paraId="015CDCEA">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采取哪些综合措施解决执行难的问题？</w:t>
            </w:r>
          </w:p>
        </w:tc>
        <w:tc>
          <w:tcPr>
            <w:tcW w:w="1660" w:type="dxa"/>
            <w:noWrap w:val="0"/>
            <w:vAlign w:val="center"/>
          </w:tcPr>
          <w:p w14:paraId="12DBDE61">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县人民法院</w:t>
            </w:r>
          </w:p>
        </w:tc>
        <w:tc>
          <w:tcPr>
            <w:tcW w:w="1159" w:type="dxa"/>
            <w:noWrap w:val="0"/>
            <w:vAlign w:val="center"/>
          </w:tcPr>
          <w:p w14:paraId="7636A9E5">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378" w:type="dxa"/>
            <w:noWrap w:val="0"/>
            <w:vAlign w:val="center"/>
          </w:tcPr>
          <w:p w14:paraId="2812C226">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065" w:type="dxa"/>
            <w:noWrap w:val="0"/>
            <w:vAlign w:val="center"/>
          </w:tcPr>
          <w:p w14:paraId="405E0D3E">
            <w:pPr>
              <w:keepNext w:val="0"/>
              <w:keepLines w:val="0"/>
              <w:widowControl/>
              <w:suppressLineNumbers w:val="0"/>
              <w:jc w:val="center"/>
              <w:textAlignment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944" w:type="dxa"/>
            <w:noWrap w:val="0"/>
            <w:vAlign w:val="center"/>
          </w:tcPr>
          <w:p w14:paraId="4FFD946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38D3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850" w:hRule="atLeast"/>
          <w:jc w:val="center"/>
        </w:trPr>
        <w:tc>
          <w:tcPr>
            <w:tcW w:w="538" w:type="dxa"/>
            <w:noWrap w:val="0"/>
            <w:vAlign w:val="center"/>
          </w:tcPr>
          <w:p w14:paraId="02A39CA9">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25</w:t>
            </w:r>
          </w:p>
        </w:tc>
        <w:tc>
          <w:tcPr>
            <w:tcW w:w="3282" w:type="dxa"/>
            <w:noWrap w:val="0"/>
            <w:vAlign w:val="center"/>
          </w:tcPr>
          <w:p w14:paraId="063A335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ascii="Times New Roman" w:hAnsi="Times New Roman" w:eastAsia="楷体_GB2312" w:cs="Times New Roman"/>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如何提高服务企业的能力，促进民营经济健康发展？</w:t>
            </w:r>
          </w:p>
        </w:tc>
        <w:tc>
          <w:tcPr>
            <w:tcW w:w="1660" w:type="dxa"/>
            <w:noWrap w:val="0"/>
            <w:vAlign w:val="center"/>
          </w:tcPr>
          <w:p w14:paraId="231700B9">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县工商联</w:t>
            </w:r>
          </w:p>
        </w:tc>
        <w:tc>
          <w:tcPr>
            <w:tcW w:w="1159" w:type="dxa"/>
            <w:noWrap w:val="0"/>
            <w:vAlign w:val="center"/>
          </w:tcPr>
          <w:p w14:paraId="05F0B3C4">
            <w:pPr>
              <w:keepNext w:val="0"/>
              <w:keepLines w:val="0"/>
              <w:widowControl/>
              <w:suppressLineNumbers w:val="0"/>
              <w:jc w:val="center"/>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378" w:type="dxa"/>
            <w:noWrap w:val="0"/>
            <w:vAlign w:val="center"/>
          </w:tcPr>
          <w:p w14:paraId="4C258F5D">
            <w:pPr>
              <w:keepNext w:val="0"/>
              <w:keepLines w:val="0"/>
              <w:widowControl/>
              <w:suppressLineNumbers w:val="0"/>
              <w:jc w:val="center"/>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065" w:type="dxa"/>
            <w:noWrap w:val="0"/>
            <w:vAlign w:val="center"/>
          </w:tcPr>
          <w:p w14:paraId="74A5A044">
            <w:pPr>
              <w:keepNext w:val="0"/>
              <w:keepLines w:val="0"/>
              <w:widowControl/>
              <w:suppressLineNumbers w:val="0"/>
              <w:jc w:val="center"/>
              <w:textAlignment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944" w:type="dxa"/>
            <w:noWrap w:val="0"/>
            <w:vAlign w:val="center"/>
          </w:tcPr>
          <w:p w14:paraId="5DDABC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1FA4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8" w:type="dxa"/>
            <w:noWrap w:val="0"/>
            <w:vAlign w:val="center"/>
          </w:tcPr>
          <w:p w14:paraId="3FD2541F">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2</w:t>
            </w:r>
            <w:r>
              <w:rPr>
                <w:rFonts w:hint="eastAsia" w:ascii="仿宋_GB2312" w:hAnsi="仿宋_GB2312" w:eastAsia="仿宋_GB2312" w:cs="仿宋_GB2312"/>
                <w:b w:val="0"/>
                <w:bCs/>
                <w:sz w:val="24"/>
                <w:szCs w:val="24"/>
                <w:lang w:val="en-US" w:eastAsia="zh-CN"/>
              </w:rPr>
              <w:t>6</w:t>
            </w:r>
          </w:p>
        </w:tc>
        <w:tc>
          <w:tcPr>
            <w:tcW w:w="3282" w:type="dxa"/>
            <w:noWrap w:val="0"/>
            <w:vAlign w:val="center"/>
          </w:tcPr>
          <w:p w14:paraId="13E115FB">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采取哪些措施将水价惠企政策落到实处？</w:t>
            </w:r>
          </w:p>
        </w:tc>
        <w:tc>
          <w:tcPr>
            <w:tcW w:w="1660" w:type="dxa"/>
            <w:noWrap w:val="0"/>
            <w:vAlign w:val="center"/>
          </w:tcPr>
          <w:p w14:paraId="1FB44128">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县自来水公司</w:t>
            </w:r>
          </w:p>
        </w:tc>
        <w:tc>
          <w:tcPr>
            <w:tcW w:w="1159" w:type="dxa"/>
            <w:noWrap w:val="0"/>
            <w:vAlign w:val="center"/>
          </w:tcPr>
          <w:p w14:paraId="1B624A78">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50</w:t>
            </w:r>
          </w:p>
        </w:tc>
        <w:tc>
          <w:tcPr>
            <w:tcW w:w="1378" w:type="dxa"/>
            <w:noWrap w:val="0"/>
            <w:vAlign w:val="center"/>
          </w:tcPr>
          <w:p w14:paraId="385E85DF">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1065" w:type="dxa"/>
            <w:noWrap w:val="0"/>
            <w:vAlign w:val="center"/>
          </w:tcPr>
          <w:p w14:paraId="1D09C065">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949" w:type="dxa"/>
            <w:gridSpan w:val="3"/>
            <w:noWrap w:val="0"/>
            <w:vAlign w:val="center"/>
          </w:tcPr>
          <w:p w14:paraId="539ECC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6EF8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1017" w:hRule="atLeast"/>
          <w:jc w:val="center"/>
        </w:trPr>
        <w:tc>
          <w:tcPr>
            <w:tcW w:w="538" w:type="dxa"/>
            <w:noWrap w:val="0"/>
            <w:vAlign w:val="center"/>
          </w:tcPr>
          <w:p w14:paraId="46CB561F">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27</w:t>
            </w:r>
          </w:p>
        </w:tc>
        <w:tc>
          <w:tcPr>
            <w:tcW w:w="3282" w:type="dxa"/>
            <w:noWrap w:val="0"/>
            <w:vAlign w:val="center"/>
          </w:tcPr>
          <w:p w14:paraId="21514605">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采取哪些措施提升办税缴费便捷度和税后服务质量，营造税企和谐氛围？</w:t>
            </w:r>
          </w:p>
        </w:tc>
        <w:tc>
          <w:tcPr>
            <w:tcW w:w="1660" w:type="dxa"/>
            <w:noWrap w:val="0"/>
            <w:vAlign w:val="center"/>
          </w:tcPr>
          <w:p w14:paraId="3D9B422A">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县税务局</w:t>
            </w:r>
          </w:p>
        </w:tc>
        <w:tc>
          <w:tcPr>
            <w:tcW w:w="1159" w:type="dxa"/>
            <w:noWrap w:val="0"/>
            <w:vAlign w:val="center"/>
          </w:tcPr>
          <w:p w14:paraId="50504466">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49</w:t>
            </w:r>
          </w:p>
        </w:tc>
        <w:tc>
          <w:tcPr>
            <w:tcW w:w="1378" w:type="dxa"/>
            <w:noWrap w:val="0"/>
            <w:vAlign w:val="center"/>
          </w:tcPr>
          <w:p w14:paraId="31A4B0C6">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1065" w:type="dxa"/>
            <w:noWrap w:val="0"/>
            <w:vAlign w:val="center"/>
          </w:tcPr>
          <w:p w14:paraId="7E8FB484">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4" w:type="dxa"/>
            <w:noWrap w:val="0"/>
            <w:vAlign w:val="center"/>
          </w:tcPr>
          <w:p w14:paraId="1794FE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7759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850" w:hRule="atLeast"/>
          <w:jc w:val="center"/>
        </w:trPr>
        <w:tc>
          <w:tcPr>
            <w:tcW w:w="538" w:type="dxa"/>
            <w:noWrap w:val="0"/>
            <w:vAlign w:val="center"/>
          </w:tcPr>
          <w:p w14:paraId="2A86A32F">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28</w:t>
            </w:r>
          </w:p>
        </w:tc>
        <w:tc>
          <w:tcPr>
            <w:tcW w:w="3282" w:type="dxa"/>
            <w:noWrap w:val="0"/>
            <w:vAlign w:val="center"/>
          </w:tcPr>
          <w:p w14:paraId="331B687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采取哪些措施推动我县物流业发展，降低物流费用？</w:t>
            </w:r>
          </w:p>
        </w:tc>
        <w:tc>
          <w:tcPr>
            <w:tcW w:w="1660" w:type="dxa"/>
            <w:noWrap w:val="0"/>
            <w:vAlign w:val="center"/>
          </w:tcPr>
          <w:p w14:paraId="0739DE03">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县交通运输局</w:t>
            </w:r>
          </w:p>
        </w:tc>
        <w:tc>
          <w:tcPr>
            <w:tcW w:w="1159" w:type="dxa"/>
            <w:noWrap w:val="0"/>
            <w:vAlign w:val="center"/>
          </w:tcPr>
          <w:p w14:paraId="013165C6">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48</w:t>
            </w:r>
          </w:p>
        </w:tc>
        <w:tc>
          <w:tcPr>
            <w:tcW w:w="1378" w:type="dxa"/>
            <w:noWrap w:val="0"/>
            <w:vAlign w:val="center"/>
          </w:tcPr>
          <w:p w14:paraId="02839E7E">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1065" w:type="dxa"/>
            <w:noWrap w:val="0"/>
            <w:vAlign w:val="center"/>
          </w:tcPr>
          <w:p w14:paraId="7F9FFE9B">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4" w:type="dxa"/>
            <w:noWrap w:val="0"/>
            <w:vAlign w:val="center"/>
          </w:tcPr>
          <w:p w14:paraId="560E19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3F2C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1020" w:hRule="atLeast"/>
          <w:jc w:val="center"/>
        </w:trPr>
        <w:tc>
          <w:tcPr>
            <w:tcW w:w="538" w:type="dxa"/>
            <w:noWrap w:val="0"/>
            <w:vAlign w:val="center"/>
          </w:tcPr>
          <w:p w14:paraId="379BDBF9">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29</w:t>
            </w:r>
          </w:p>
        </w:tc>
        <w:tc>
          <w:tcPr>
            <w:tcW w:w="3282" w:type="dxa"/>
            <w:noWrap w:val="0"/>
            <w:vAlign w:val="center"/>
          </w:tcPr>
          <w:p w14:paraId="4CC3750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如何解决水利项目建设中企业编制水土保持方案成本高的问题？</w:t>
            </w:r>
          </w:p>
        </w:tc>
        <w:tc>
          <w:tcPr>
            <w:tcW w:w="1660" w:type="dxa"/>
            <w:noWrap w:val="0"/>
            <w:vAlign w:val="center"/>
          </w:tcPr>
          <w:p w14:paraId="0E99DEE3">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县水利局</w:t>
            </w:r>
          </w:p>
        </w:tc>
        <w:tc>
          <w:tcPr>
            <w:tcW w:w="1159" w:type="dxa"/>
            <w:noWrap w:val="0"/>
            <w:vAlign w:val="center"/>
          </w:tcPr>
          <w:p w14:paraId="4EB8A33D">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48</w:t>
            </w:r>
          </w:p>
        </w:tc>
        <w:tc>
          <w:tcPr>
            <w:tcW w:w="1378" w:type="dxa"/>
            <w:noWrap w:val="0"/>
            <w:vAlign w:val="center"/>
          </w:tcPr>
          <w:p w14:paraId="37052D94">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1065" w:type="dxa"/>
            <w:noWrap w:val="0"/>
            <w:vAlign w:val="center"/>
          </w:tcPr>
          <w:p w14:paraId="3974CC2A">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0</w:t>
            </w:r>
          </w:p>
        </w:tc>
        <w:tc>
          <w:tcPr>
            <w:tcW w:w="944" w:type="dxa"/>
            <w:noWrap w:val="0"/>
            <w:vAlign w:val="center"/>
          </w:tcPr>
          <w:p w14:paraId="5CBF54D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335A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1267" w:hRule="atLeast"/>
          <w:jc w:val="center"/>
        </w:trPr>
        <w:tc>
          <w:tcPr>
            <w:tcW w:w="538" w:type="dxa"/>
            <w:noWrap w:val="0"/>
            <w:vAlign w:val="center"/>
          </w:tcPr>
          <w:p w14:paraId="294BF880">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30</w:t>
            </w:r>
          </w:p>
        </w:tc>
        <w:tc>
          <w:tcPr>
            <w:tcW w:w="3282" w:type="dxa"/>
            <w:noWrap w:val="0"/>
            <w:vAlign w:val="center"/>
          </w:tcPr>
          <w:p w14:paraId="79E3CD58">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对新田大豆“五月黄”、陶岭“三味辣椒”等本地特色品种的种子保护、种植推广等采取哪些帮扶措施？</w:t>
            </w:r>
          </w:p>
        </w:tc>
        <w:tc>
          <w:tcPr>
            <w:tcW w:w="1660" w:type="dxa"/>
            <w:noWrap w:val="0"/>
            <w:vAlign w:val="center"/>
          </w:tcPr>
          <w:p w14:paraId="7A9B0585">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县农业农村局</w:t>
            </w:r>
          </w:p>
        </w:tc>
        <w:tc>
          <w:tcPr>
            <w:tcW w:w="1159" w:type="dxa"/>
            <w:noWrap w:val="0"/>
            <w:vAlign w:val="center"/>
          </w:tcPr>
          <w:p w14:paraId="16AF7C92">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48</w:t>
            </w:r>
          </w:p>
        </w:tc>
        <w:tc>
          <w:tcPr>
            <w:tcW w:w="1378" w:type="dxa"/>
            <w:noWrap w:val="0"/>
            <w:vAlign w:val="center"/>
          </w:tcPr>
          <w:p w14:paraId="4F6BF7C1">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1065" w:type="dxa"/>
            <w:noWrap w:val="0"/>
            <w:vAlign w:val="center"/>
          </w:tcPr>
          <w:p w14:paraId="7AB782DC">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944" w:type="dxa"/>
            <w:noWrap w:val="0"/>
            <w:vAlign w:val="center"/>
          </w:tcPr>
          <w:p w14:paraId="40791D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r w14:paraId="6886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 w:type="dxa"/>
          <w:trHeight w:val="1069" w:hRule="atLeast"/>
          <w:jc w:val="center"/>
        </w:trPr>
        <w:tc>
          <w:tcPr>
            <w:tcW w:w="538" w:type="dxa"/>
            <w:noWrap w:val="0"/>
            <w:vAlign w:val="center"/>
          </w:tcPr>
          <w:p w14:paraId="6F126F87">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31</w:t>
            </w:r>
          </w:p>
        </w:tc>
        <w:tc>
          <w:tcPr>
            <w:tcW w:w="3282" w:type="dxa"/>
            <w:noWrap w:val="0"/>
            <w:vAlign w:val="center"/>
          </w:tcPr>
          <w:p w14:paraId="54D4759C">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eastAsia" w:eastAsia="楷体_GB2312" w:cs="Times New Roman"/>
                <w:sz w:val="24"/>
                <w:szCs w:val="24"/>
                <w:lang w:eastAsia="zh-CN"/>
              </w:rPr>
            </w:pPr>
            <w:r>
              <w:rPr>
                <w:rFonts w:hint="eastAsia" w:ascii="仿宋_GB2312" w:hAnsi="宋体" w:eastAsia="仿宋_GB2312" w:cs="仿宋_GB2312"/>
                <w:i w:val="0"/>
                <w:iCs w:val="0"/>
                <w:color w:val="000000"/>
                <w:kern w:val="0"/>
                <w:sz w:val="24"/>
                <w:szCs w:val="24"/>
                <w:u w:val="none"/>
                <w:lang w:val="en-US" w:eastAsia="zh-CN" w:bidi="ar"/>
              </w:rPr>
              <w:t>如何解决我县停电次数多、高压办电时间长、电力工程造价偏高的问题？</w:t>
            </w:r>
          </w:p>
        </w:tc>
        <w:tc>
          <w:tcPr>
            <w:tcW w:w="1660" w:type="dxa"/>
            <w:noWrap w:val="0"/>
            <w:vAlign w:val="center"/>
          </w:tcPr>
          <w:p w14:paraId="2FA67286">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国网新田供电公司</w:t>
            </w:r>
          </w:p>
        </w:tc>
        <w:tc>
          <w:tcPr>
            <w:tcW w:w="1159" w:type="dxa"/>
            <w:noWrap w:val="0"/>
            <w:vAlign w:val="center"/>
          </w:tcPr>
          <w:p w14:paraId="4DFAC5E2">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47</w:t>
            </w:r>
          </w:p>
        </w:tc>
        <w:tc>
          <w:tcPr>
            <w:tcW w:w="1378" w:type="dxa"/>
            <w:noWrap w:val="0"/>
            <w:vAlign w:val="center"/>
          </w:tcPr>
          <w:p w14:paraId="0CCD4B33">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1065" w:type="dxa"/>
            <w:noWrap w:val="0"/>
            <w:vAlign w:val="center"/>
          </w:tcPr>
          <w:p w14:paraId="53E5B73B">
            <w:pPr>
              <w:keepNext w:val="0"/>
              <w:keepLines w:val="0"/>
              <w:widowControl/>
              <w:suppressLineNumbers w:val="0"/>
              <w:jc w:val="center"/>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944" w:type="dxa"/>
            <w:noWrap w:val="0"/>
            <w:vAlign w:val="center"/>
          </w:tcPr>
          <w:p w14:paraId="58CC24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满意</w:t>
            </w:r>
          </w:p>
        </w:tc>
      </w:tr>
    </w:tbl>
    <w:p w14:paraId="14F2E7CB"/>
    <w:sectPr>
      <w:footerReference r:id="rId3" w:type="default"/>
      <w:pgSz w:w="11906" w:h="16838"/>
      <w:pgMar w:top="2098" w:right="1417"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3C7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8A137D">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A8A137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911C7"/>
    <w:rsid w:val="32391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eastAsia="宋体" w:cs="Times New Roman"/>
      <w:szCs w:val="22"/>
    </w:rPr>
  </w:style>
  <w:style w:type="paragraph" w:styleId="3">
    <w:name w:val="footer"/>
    <w:basedOn w:val="1"/>
    <w:uiPriority w:val="0"/>
    <w:pPr>
      <w:tabs>
        <w:tab w:val="center" w:pos="4153"/>
        <w:tab w:val="right" w:pos="8306"/>
      </w:tabs>
      <w:snapToGrid w:val="0"/>
      <w:jc w:val="left"/>
    </w:pPr>
    <w:rPr>
      <w:sz w:val="18"/>
    </w:rPr>
  </w:style>
  <w:style w:type="character" w:customStyle="1" w:styleId="6">
    <w:name w:val="font1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2025-10-30T07:33:00Z</dcterms:created>
  <dc:creator>风听荷语</dc:creator>
  <cp:lastModifiedBy>风听荷语</cp:lastModifiedBy>
  <dcterms:modified xsi:type="dcterms:W3CDTF">2025-10-30T07:33:50Z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E563D3B01AD447319D8DAEEFB8BB6308_11</vt:lpwstr>
  </property>
  <property fmtid="{D5CDD505-2E9C-101B-9397-08002B2CF9AE}" pid="4" name="KSOTemplateDocerSaveRecord">
    <vt:lpwstr>eyJoZGlkIjoiN2UyOTc2NDJmZTAwOTE5NWEwZDE5MTQ2MWE5YTBjMTYiLCJ1c2VySWQiOiIzNTk5OTM1NTAifQ==</vt:lpwstr>
  </property>
</Properties>
</file>