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72748">
      <w:pPr>
        <w:spacing w:before="87" w:line="239" w:lineRule="auto"/>
        <w:ind w:left="2664"/>
        <w:rPr>
          <w:rFonts w:ascii="FZXiaoBiaoSong-B05S" w:hAnsi="FZXiaoBiaoSong-B05S" w:eastAsia="FZXiaoBiaoSong-B05S" w:cs="FZXiaoBiaoSong-B05S"/>
          <w:spacing w:val="9"/>
          <w:sz w:val="35"/>
          <w:szCs w:val="35"/>
          <w:lang w:eastAsia="zh-CN"/>
        </w:rPr>
      </w:pPr>
      <w:r>
        <w:rPr>
          <w:rFonts w:ascii="FZXiaoBiaoSong-B05S" w:hAnsi="FZXiaoBiaoSong-B05S" w:eastAsia="FZXiaoBiaoSong-B05S" w:cs="FZXiaoBiaoSong-B05S"/>
          <w:spacing w:val="9"/>
          <w:sz w:val="35"/>
          <w:szCs w:val="35"/>
          <w:lang w:eastAsia="zh-CN"/>
        </w:rPr>
        <w:t>郴州新闻奖参评作品推荐表</w:t>
      </w:r>
    </w:p>
    <w:p w14:paraId="43E188D7">
      <w:pPr>
        <w:spacing w:before="87" w:line="239" w:lineRule="auto"/>
        <w:ind w:left="2664"/>
        <w:rPr>
          <w:rFonts w:ascii="FZXiaoBiaoSong-B05S" w:hAnsi="FZXiaoBiaoSong-B05S" w:eastAsia="FZXiaoBiaoSong-B05S" w:cs="FZXiaoBiaoSong-B05S"/>
          <w:spacing w:val="9"/>
          <w:sz w:val="35"/>
          <w:szCs w:val="35"/>
          <w:lang w:eastAsia="zh-CN"/>
        </w:rPr>
      </w:pPr>
    </w:p>
    <w:tbl>
      <w:tblPr>
        <w:tblStyle w:val="7"/>
        <w:tblW w:w="96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3171"/>
        <w:gridCol w:w="510"/>
        <w:gridCol w:w="949"/>
        <w:gridCol w:w="42"/>
        <w:gridCol w:w="853"/>
        <w:gridCol w:w="2552"/>
      </w:tblGrid>
      <w:tr w14:paraId="6D94A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63" w:type="dxa"/>
            <w:vMerge w:val="restart"/>
            <w:tcBorders>
              <w:bottom w:val="nil"/>
            </w:tcBorders>
            <w:vAlign w:val="center"/>
          </w:tcPr>
          <w:p w14:paraId="141581E0">
            <w:pPr>
              <w:pStyle w:val="8"/>
              <w:spacing w:line="313" w:lineRule="auto"/>
              <w:jc w:val="center"/>
              <w:rPr>
                <w:lang w:eastAsia="zh-CN"/>
              </w:rPr>
            </w:pPr>
          </w:p>
          <w:p w14:paraId="22FB0B46">
            <w:pPr>
              <w:pStyle w:val="8"/>
              <w:spacing w:line="313" w:lineRule="auto"/>
              <w:jc w:val="center"/>
              <w:rPr>
                <w:lang w:eastAsia="zh-CN"/>
              </w:rPr>
            </w:pPr>
          </w:p>
          <w:p w14:paraId="0E2C8F33">
            <w:pPr>
              <w:spacing w:before="66" w:line="23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作品标题</w:t>
            </w:r>
          </w:p>
        </w:tc>
        <w:tc>
          <w:tcPr>
            <w:tcW w:w="4630" w:type="dxa"/>
            <w:gridSpan w:val="3"/>
            <w:vMerge w:val="restart"/>
            <w:tcBorders>
              <w:bottom w:val="nil"/>
            </w:tcBorders>
            <w:vAlign w:val="center"/>
          </w:tcPr>
          <w:p w14:paraId="2E14529A">
            <w:pPr>
              <w:spacing w:before="65" w:line="239" w:lineRule="auto"/>
              <w:ind w:right="105"/>
              <w:jc w:val="center"/>
              <w:rPr>
                <w:lang w:eastAsia="zh-CN"/>
              </w:rPr>
            </w:pPr>
          </w:p>
          <w:p w14:paraId="5F834454">
            <w:pPr>
              <w:spacing w:before="65" w:line="239" w:lineRule="auto"/>
              <w:ind w:right="105"/>
              <w:jc w:val="center"/>
              <w:rPr>
                <w:lang w:eastAsia="zh-CN"/>
              </w:rPr>
            </w:pPr>
          </w:p>
          <w:p w14:paraId="7130191F">
            <w:pPr>
              <w:spacing w:before="65" w:line="239" w:lineRule="auto"/>
              <w:ind w:right="105"/>
              <w:jc w:val="center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《“水上法庭”走进东江湖 巡回审判筑牢生态司法屏障》</w:t>
            </w:r>
          </w:p>
        </w:tc>
        <w:tc>
          <w:tcPr>
            <w:tcW w:w="895" w:type="dxa"/>
            <w:gridSpan w:val="2"/>
            <w:vAlign w:val="center"/>
          </w:tcPr>
          <w:p w14:paraId="5EB4FFA3">
            <w:pPr>
              <w:spacing w:before="205"/>
              <w:ind w:left="105" w:leftChars="50" w:right="234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eastAsia="Arial"/>
              </w:rPr>
              <w:pict>
                <v:shape id="_x0000_s1026" o:spid="_x0000_s1026" o:spt="202" type="#_x0000_t202" style="position:absolute;left:0pt;margin-left:41.15pt;margin-top:-10.65pt;height:15.1pt;width:7.4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inset="0mm,0mm,0mm,0mm">
                    <w:txbxContent>
                      <w:p w14:paraId="535D0D3E">
                        <w:pPr>
                          <w:pStyle w:val="8"/>
                          <w:tabs>
                            <w:tab w:val="left" w:pos="128"/>
                          </w:tabs>
                          <w:spacing w:before="20"/>
                          <w:ind w:left="20"/>
                        </w:pP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z w:val="20"/>
                <w:szCs w:val="20"/>
              </w:rPr>
              <w:t>参评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项目</w:t>
            </w:r>
          </w:p>
        </w:tc>
        <w:tc>
          <w:tcPr>
            <w:tcW w:w="2552" w:type="dxa"/>
            <w:vAlign w:val="center"/>
          </w:tcPr>
          <w:p w14:paraId="31DA0FF3">
            <w:pPr>
              <w:spacing w:before="204"/>
              <w:ind w:left="122" w:right="91" w:firstLine="4"/>
              <w:jc w:val="center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z w:val="20"/>
                <w:szCs w:val="20"/>
                <w:lang w:eastAsia="zh-CN"/>
              </w:rPr>
              <w:t>电视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消息</w:t>
            </w:r>
          </w:p>
        </w:tc>
      </w:tr>
      <w:tr w14:paraId="3552A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563" w:type="dxa"/>
            <w:vMerge w:val="continue"/>
            <w:tcBorders>
              <w:top w:val="nil"/>
              <w:bottom w:val="nil"/>
            </w:tcBorders>
            <w:vAlign w:val="center"/>
          </w:tcPr>
          <w:p w14:paraId="14443B3F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4630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21735078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5D621F54">
            <w:pPr>
              <w:spacing w:before="65" w:line="232" w:lineRule="auto"/>
              <w:ind w:firstLine="204" w:firstLineChars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体裁</w:t>
            </w:r>
          </w:p>
        </w:tc>
        <w:tc>
          <w:tcPr>
            <w:tcW w:w="2552" w:type="dxa"/>
            <w:vAlign w:val="center"/>
          </w:tcPr>
          <w:p w14:paraId="4BB9D634">
            <w:pPr>
              <w:spacing w:before="269" w:line="239" w:lineRule="auto"/>
              <w:ind w:left="157" w:right="90" w:hanging="36"/>
              <w:jc w:val="center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短</w:t>
            </w:r>
            <w:r>
              <w:rPr>
                <w:rFonts w:ascii="仿宋" w:hAnsi="仿宋" w:eastAsia="仿宋" w:cs="仿宋"/>
                <w:sz w:val="20"/>
                <w:szCs w:val="20"/>
                <w:lang w:eastAsia="zh-CN"/>
              </w:rPr>
              <w:t>消息</w:t>
            </w:r>
          </w:p>
        </w:tc>
      </w:tr>
      <w:tr w14:paraId="54907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563" w:type="dxa"/>
            <w:vMerge w:val="continue"/>
            <w:tcBorders>
              <w:top w:val="nil"/>
            </w:tcBorders>
            <w:vAlign w:val="center"/>
          </w:tcPr>
          <w:p w14:paraId="4CC2D847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4630" w:type="dxa"/>
            <w:gridSpan w:val="3"/>
            <w:vMerge w:val="continue"/>
            <w:tcBorders>
              <w:top w:val="nil"/>
            </w:tcBorders>
            <w:vAlign w:val="center"/>
          </w:tcPr>
          <w:p w14:paraId="13D2D321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588F769C">
            <w:pPr>
              <w:spacing w:before="62" w:line="230" w:lineRule="auto"/>
              <w:ind w:left="2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语种</w:t>
            </w:r>
          </w:p>
        </w:tc>
        <w:tc>
          <w:tcPr>
            <w:tcW w:w="2552" w:type="dxa"/>
            <w:vAlign w:val="center"/>
          </w:tcPr>
          <w:p w14:paraId="00C30274">
            <w:pPr>
              <w:spacing w:before="61" w:line="230" w:lineRule="auto"/>
              <w:ind w:left="124"/>
              <w:jc w:val="center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汉语</w:t>
            </w:r>
          </w:p>
        </w:tc>
      </w:tr>
      <w:tr w14:paraId="357C8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63" w:type="dxa"/>
            <w:vAlign w:val="center"/>
          </w:tcPr>
          <w:p w14:paraId="0A1FAD27">
            <w:pPr>
              <w:spacing w:before="65" w:line="23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作者</w:t>
            </w:r>
          </w:p>
          <w:p w14:paraId="68245480">
            <w:pPr>
              <w:spacing w:before="10" w:line="233" w:lineRule="auto"/>
              <w:ind w:left="167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（主创人员）</w:t>
            </w:r>
          </w:p>
        </w:tc>
        <w:tc>
          <w:tcPr>
            <w:tcW w:w="3171" w:type="dxa"/>
            <w:vAlign w:val="center"/>
          </w:tcPr>
          <w:p w14:paraId="28A511F0">
            <w:pPr>
              <w:spacing w:before="94"/>
              <w:ind w:right="13"/>
              <w:jc w:val="center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  <w:lang w:eastAsia="zh-CN"/>
              </w:rPr>
              <w:t>王瑞琴</w:t>
            </w:r>
          </w:p>
        </w:tc>
        <w:tc>
          <w:tcPr>
            <w:tcW w:w="1459" w:type="dxa"/>
            <w:gridSpan w:val="2"/>
            <w:vAlign w:val="center"/>
          </w:tcPr>
          <w:p w14:paraId="359168FA">
            <w:pPr>
              <w:spacing w:before="65" w:line="229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编辑</w:t>
            </w:r>
          </w:p>
        </w:tc>
        <w:tc>
          <w:tcPr>
            <w:tcW w:w="3447" w:type="dxa"/>
            <w:gridSpan w:val="3"/>
            <w:vAlign w:val="center"/>
          </w:tcPr>
          <w:p w14:paraId="0511FC8F">
            <w:pPr>
              <w:spacing w:before="224"/>
              <w:ind w:left="120" w:right="107"/>
              <w:jc w:val="center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z w:val="20"/>
                <w:szCs w:val="20"/>
                <w:lang w:eastAsia="zh-CN"/>
              </w:rPr>
              <w:t>彭强、李科、杨波</w:t>
            </w:r>
          </w:p>
        </w:tc>
      </w:tr>
      <w:tr w14:paraId="5B0F8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563" w:type="dxa"/>
            <w:vAlign w:val="center"/>
          </w:tcPr>
          <w:p w14:paraId="054ABFD4">
            <w:pPr>
              <w:spacing w:before="65" w:line="23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刊播单位</w:t>
            </w:r>
          </w:p>
        </w:tc>
        <w:tc>
          <w:tcPr>
            <w:tcW w:w="3171" w:type="dxa"/>
            <w:vAlign w:val="center"/>
          </w:tcPr>
          <w:p w14:paraId="105C4843">
            <w:pPr>
              <w:spacing w:before="93" w:line="241" w:lineRule="auto"/>
              <w:ind w:left="118" w:right="33" w:firstLine="1"/>
              <w:jc w:val="center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  <w:lang w:eastAsia="zh-CN"/>
              </w:rPr>
              <w:t>资兴市融媒体中心</w:t>
            </w:r>
          </w:p>
        </w:tc>
        <w:tc>
          <w:tcPr>
            <w:tcW w:w="1459" w:type="dxa"/>
            <w:gridSpan w:val="2"/>
            <w:vAlign w:val="center"/>
          </w:tcPr>
          <w:p w14:paraId="64C7DD95">
            <w:pPr>
              <w:spacing w:before="65" w:line="232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首发日期</w:t>
            </w:r>
          </w:p>
        </w:tc>
        <w:tc>
          <w:tcPr>
            <w:tcW w:w="3447" w:type="dxa"/>
            <w:gridSpan w:val="3"/>
            <w:vAlign w:val="center"/>
          </w:tcPr>
          <w:p w14:paraId="12564DB6">
            <w:pPr>
              <w:spacing w:before="223" w:line="242" w:lineRule="auto"/>
              <w:ind w:right="108"/>
              <w:jc w:val="center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2025年6月11日</w:t>
            </w:r>
          </w:p>
        </w:tc>
      </w:tr>
      <w:tr w14:paraId="3697D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563" w:type="dxa"/>
            <w:vAlign w:val="center"/>
          </w:tcPr>
          <w:p w14:paraId="0384CE74">
            <w:pPr>
              <w:spacing w:before="65" w:line="231" w:lineRule="auto"/>
              <w:jc w:val="center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  <w:lang w:eastAsia="zh-CN"/>
              </w:rPr>
              <w:t>刊播版面</w:t>
            </w:r>
          </w:p>
          <w:p w14:paraId="3F530DA2">
            <w:pPr>
              <w:spacing w:before="10"/>
              <w:ind w:left="582" w:right="255" w:hanging="309"/>
              <w:jc w:val="center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  <w:lang w:eastAsia="zh-CN"/>
              </w:rPr>
              <w:t>（名称和版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  <w:lang w:eastAsia="zh-CN"/>
              </w:rPr>
              <w:t>次）</w:t>
            </w:r>
          </w:p>
        </w:tc>
        <w:tc>
          <w:tcPr>
            <w:tcW w:w="3171" w:type="dxa"/>
            <w:vAlign w:val="center"/>
          </w:tcPr>
          <w:p w14:paraId="05F88B94">
            <w:pPr>
              <w:spacing w:before="65" w:line="239" w:lineRule="auto"/>
              <w:ind w:right="104"/>
              <w:jc w:val="center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资兴发布</w:t>
            </w:r>
          </w:p>
          <w:p w14:paraId="7405B5CE">
            <w:pPr>
              <w:spacing w:before="65" w:line="239" w:lineRule="auto"/>
              <w:ind w:right="104"/>
              <w:jc w:val="center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资兴新闻网 资兴新闻</w:t>
            </w:r>
          </w:p>
        </w:tc>
        <w:tc>
          <w:tcPr>
            <w:tcW w:w="1459" w:type="dxa"/>
            <w:gridSpan w:val="2"/>
            <w:vAlign w:val="center"/>
          </w:tcPr>
          <w:p w14:paraId="6AB69208">
            <w:pPr>
              <w:spacing w:before="65" w:line="23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作品字数</w:t>
            </w:r>
          </w:p>
          <w:p w14:paraId="2B186B0E">
            <w:pPr>
              <w:spacing w:before="10" w:line="232" w:lineRule="auto"/>
              <w:ind w:left="327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（时长）</w:t>
            </w:r>
          </w:p>
        </w:tc>
        <w:tc>
          <w:tcPr>
            <w:tcW w:w="3447" w:type="dxa"/>
            <w:gridSpan w:val="3"/>
            <w:vAlign w:val="center"/>
          </w:tcPr>
          <w:p w14:paraId="3906B94C">
            <w:pPr>
              <w:spacing w:before="157" w:line="238" w:lineRule="auto"/>
              <w:ind w:left="120" w:right="106"/>
              <w:jc w:val="center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1分53秒</w:t>
            </w:r>
          </w:p>
        </w:tc>
      </w:tr>
      <w:tr w14:paraId="1E45D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63" w:type="dxa"/>
            <w:vAlign w:val="center"/>
          </w:tcPr>
          <w:p w14:paraId="03CA79E2">
            <w:pPr>
              <w:spacing w:before="106" w:line="230" w:lineRule="auto"/>
              <w:ind w:left="25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4"/>
                <w:sz w:val="20"/>
                <w:szCs w:val="20"/>
              </w:rPr>
              <w:t>作品网址链接</w:t>
            </w:r>
          </w:p>
        </w:tc>
        <w:tc>
          <w:tcPr>
            <w:tcW w:w="8077" w:type="dxa"/>
            <w:gridSpan w:val="6"/>
            <w:vAlign w:val="center"/>
          </w:tcPr>
          <w:p w14:paraId="5D2AF389">
            <w:pPr>
              <w:pStyle w:val="8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"https://www.zixingxinwen.com/content/646949/74/15004371.html"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6"/>
                <w:rFonts w:hint="eastAsia"/>
              </w:rPr>
              <w:t>https://www.zixingxinwen.com/content/646949/74/15004371.html</w:t>
            </w:r>
            <w:r>
              <w:rPr>
                <w:rFonts w:hint="eastAsia"/>
              </w:rPr>
              <w:fldChar w:fldCharType="end"/>
            </w:r>
          </w:p>
        </w:tc>
      </w:tr>
      <w:tr w14:paraId="45EFB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63" w:type="dxa"/>
          </w:tcPr>
          <w:p w14:paraId="570AC692">
            <w:pPr>
              <w:spacing w:before="46" w:line="232" w:lineRule="auto"/>
              <w:ind w:left="3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采编过程</w:t>
            </w:r>
          </w:p>
          <w:p w14:paraId="2818FBB5">
            <w:pPr>
              <w:spacing w:before="10" w:line="225" w:lineRule="auto"/>
              <w:ind w:left="3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作品简介</w:t>
            </w:r>
          </w:p>
        </w:tc>
        <w:tc>
          <w:tcPr>
            <w:tcW w:w="8077" w:type="dxa"/>
            <w:gridSpan w:val="6"/>
          </w:tcPr>
          <w:p w14:paraId="30378C55">
            <w:pPr>
              <w:ind w:firstLine="400" w:firstLineChars="2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一次偶然的机会，记者关注到资兴市法院以“水上法庭”这一创新司法形式，推进东江湖生态保护工作，新闻敏锐性告诉记者，这是一个“小切口、大背景”的好题材，针对这个题材，记者展开思考：东江湖作为重要饮用水源地和生态保护区，生态保护意义重大、使命光荣，而“水上法庭”巡回审判这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个实践，不正是资兴市深入学习贯彻习近平生态文明思想的集中体现吗？因此，这个题材肯定属于可遇而不可求，独具典型意义和新闻价值。</w:t>
            </w:r>
          </w:p>
          <w:p w14:paraId="5BD6C9D0">
            <w:pPr>
              <w:ind w:firstLine="400" w:firstLineChars="2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访中，记者实地跟随法院工作人员参与东江湖“水上法庭”庭审。在现场，不仅记录庭审流程等基础信息，更注重挖掘司法部门如何体现“人与自然和谐共生”理念，如法官在审理涉渔业资源案件时，既依法惩处破坏生态的行为，又向当事人和周边渔民阐释生态环境保护的重要性，必须以最严格制度、最严密法治保护生态环境。</w:t>
            </w:r>
          </w:p>
        </w:tc>
      </w:tr>
      <w:tr w14:paraId="4985A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563" w:type="dxa"/>
          </w:tcPr>
          <w:p w14:paraId="5A2F984D">
            <w:pPr>
              <w:pStyle w:val="8"/>
              <w:spacing w:line="384" w:lineRule="auto"/>
              <w:rPr>
                <w:lang w:eastAsia="zh-CN"/>
              </w:rPr>
            </w:pPr>
          </w:p>
          <w:p w14:paraId="1BACC7F9">
            <w:pPr>
              <w:spacing w:before="65" w:line="232" w:lineRule="auto"/>
              <w:ind w:left="3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社会效果</w:t>
            </w:r>
          </w:p>
        </w:tc>
        <w:tc>
          <w:tcPr>
            <w:tcW w:w="8077" w:type="dxa"/>
            <w:gridSpan w:val="6"/>
          </w:tcPr>
          <w:p w14:paraId="6305A930">
            <w:pPr>
              <w:spacing w:before="65" w:line="249" w:lineRule="auto"/>
              <w:ind w:right="41" w:firstLine="400" w:firstLineChars="2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稿件经湖南卫视、资兴新闻等媒体平台刊播后，产生广泛传播，引起强烈反响，进一步增强了民众对生态环境保护法律法规的敬畏之心，形成了“守护绿水青山，共享生态福祉”的良好社会氛围。同时，稿件还为当地及其他地区提供了生态司法保护的典型范例，引发乐社会各界对生态环境保护与司法创新协同推进的思考与探讨。</w:t>
            </w:r>
          </w:p>
        </w:tc>
      </w:tr>
      <w:tr w14:paraId="2F8CD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1563" w:type="dxa"/>
          </w:tcPr>
          <w:p w14:paraId="7CF88035">
            <w:pPr>
              <w:pStyle w:val="8"/>
              <w:spacing w:line="317" w:lineRule="auto"/>
              <w:rPr>
                <w:lang w:eastAsia="zh-CN"/>
              </w:rPr>
            </w:pPr>
          </w:p>
          <w:p w14:paraId="03916042">
            <w:pPr>
              <w:spacing w:before="65" w:line="232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推荐理由</w:t>
            </w:r>
          </w:p>
        </w:tc>
        <w:tc>
          <w:tcPr>
            <w:tcW w:w="8077" w:type="dxa"/>
            <w:gridSpan w:val="6"/>
          </w:tcPr>
          <w:p w14:paraId="4119C6BA">
            <w:pPr>
              <w:spacing w:line="241" w:lineRule="auto"/>
              <w:ind w:left="116" w:right="103" w:firstLine="447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该作品以“小切口”展现“大主题”，跳出传统司法报道的单一视角，以“水上法庭”为小切口，创新性嫁接“生态保护”大主题，将个案审理与区域生态治理深度绑定，让“司法护绿”的立意既有突破又具深度，实现了题材价值的升级。选取涉渔业资源典型案例，通过法庭调查、调解、宣判等环节的细节呈现，清晰阐释“破坏生态需担责”的法治原则，让“生态司法”从抽象概念变为具象实践，具有较强的示范引导意义。</w:t>
            </w:r>
          </w:p>
          <w:p w14:paraId="4ADC1784">
            <w:pPr>
              <w:spacing w:line="213" w:lineRule="auto"/>
              <w:ind w:left="961"/>
              <w:rPr>
                <w:rFonts w:ascii="仿宋" w:hAnsi="仿宋" w:eastAsia="仿宋" w:cs="仿宋"/>
                <w:spacing w:val="9"/>
                <w:sz w:val="20"/>
                <w:szCs w:val="20"/>
                <w:lang w:eastAsia="zh-CN"/>
              </w:rPr>
            </w:pPr>
          </w:p>
          <w:p w14:paraId="1CFFF069">
            <w:pPr>
              <w:spacing w:line="213" w:lineRule="auto"/>
              <w:ind w:left="961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  <w:lang w:eastAsia="zh-CN"/>
              </w:rPr>
              <w:t>签名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  <w:lang w:eastAsia="zh-CN"/>
              </w:rPr>
              <w:t>：（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  <w:lang w:eastAsia="zh-CN"/>
              </w:rPr>
              <w:t>盖单位公章）</w:t>
            </w:r>
          </w:p>
          <w:p w14:paraId="59028637">
            <w:pPr>
              <w:spacing w:line="275" w:lineRule="exact"/>
              <w:ind w:left="4305" w:leftChars="2050" w:firstLine="99" w:firstLineChars="5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  <w:lang w:eastAsia="zh-CN"/>
              </w:rPr>
              <w:t>2025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  <w:lang w:eastAsia="zh-CN"/>
              </w:rPr>
              <w:t>日</w:t>
            </w:r>
          </w:p>
        </w:tc>
      </w:tr>
      <w:tr w14:paraId="67A5C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563" w:type="dxa"/>
          </w:tcPr>
          <w:p w14:paraId="6590DB28">
            <w:pPr>
              <w:pStyle w:val="8"/>
              <w:spacing w:line="280" w:lineRule="auto"/>
              <w:rPr>
                <w:lang w:eastAsia="zh-CN"/>
              </w:rPr>
            </w:pPr>
          </w:p>
          <w:p w14:paraId="501C9B61">
            <w:pPr>
              <w:pStyle w:val="8"/>
              <w:spacing w:line="280" w:lineRule="auto"/>
              <w:rPr>
                <w:lang w:eastAsia="zh-CN"/>
              </w:rPr>
            </w:pPr>
          </w:p>
          <w:p w14:paraId="51E7B659">
            <w:pPr>
              <w:spacing w:before="65" w:line="232" w:lineRule="auto"/>
              <w:ind w:left="3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报送意见</w:t>
            </w:r>
          </w:p>
        </w:tc>
        <w:tc>
          <w:tcPr>
            <w:tcW w:w="8077" w:type="dxa"/>
            <w:gridSpan w:val="6"/>
          </w:tcPr>
          <w:p w14:paraId="7A84BB1A">
            <w:pPr>
              <w:spacing w:before="262" w:line="211" w:lineRule="auto"/>
              <w:ind w:firstLine="981" w:firstLineChars="450"/>
              <w:rPr>
                <w:rFonts w:ascii="仿宋" w:hAnsi="仿宋" w:eastAsia="仿宋" w:cs="仿宋"/>
                <w:spacing w:val="9"/>
                <w:sz w:val="20"/>
                <w:szCs w:val="20"/>
                <w:lang w:eastAsia="zh-CN"/>
              </w:rPr>
            </w:pPr>
          </w:p>
          <w:p w14:paraId="1651E0EA">
            <w:pPr>
              <w:spacing w:before="262" w:line="211" w:lineRule="auto"/>
              <w:ind w:firstLine="981" w:firstLineChars="45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  <w:lang w:eastAsia="zh-CN"/>
              </w:rPr>
              <w:t>签名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  <w:lang w:eastAsia="zh-CN"/>
              </w:rPr>
              <w:t>：（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  <w:lang w:eastAsia="zh-CN"/>
              </w:rPr>
              <w:t>盖单位公章）</w:t>
            </w:r>
          </w:p>
          <w:p w14:paraId="49E43451">
            <w:pPr>
              <w:spacing w:line="235" w:lineRule="auto"/>
              <w:ind w:left="4412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eastAsia="zh-CN"/>
              </w:rPr>
              <w:t>2025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  <w:lang w:eastAsia="zh-CN"/>
              </w:rPr>
              <w:t>日</w:t>
            </w:r>
          </w:p>
        </w:tc>
      </w:tr>
      <w:tr w14:paraId="21FFF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63" w:type="dxa"/>
            <w:vAlign w:val="center"/>
          </w:tcPr>
          <w:p w14:paraId="3A5E2445">
            <w:pPr>
              <w:spacing w:before="124" w:line="230" w:lineRule="auto"/>
              <w:ind w:left="124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联系人（作者）</w:t>
            </w:r>
          </w:p>
        </w:tc>
        <w:tc>
          <w:tcPr>
            <w:tcW w:w="3681" w:type="dxa"/>
            <w:gridSpan w:val="2"/>
            <w:vAlign w:val="center"/>
          </w:tcPr>
          <w:p w14:paraId="7FAA8A24">
            <w:pPr>
              <w:pStyle w:val="8"/>
              <w:jc w:val="center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王瑞琴</w:t>
            </w:r>
          </w:p>
        </w:tc>
        <w:tc>
          <w:tcPr>
            <w:tcW w:w="991" w:type="dxa"/>
            <w:gridSpan w:val="2"/>
            <w:vAlign w:val="center"/>
          </w:tcPr>
          <w:p w14:paraId="72B2E93D">
            <w:pPr>
              <w:spacing w:before="125" w:line="232" w:lineRule="auto"/>
              <w:ind w:left="121"/>
              <w:jc w:val="center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手机</w:t>
            </w:r>
          </w:p>
        </w:tc>
        <w:tc>
          <w:tcPr>
            <w:tcW w:w="3405" w:type="dxa"/>
            <w:gridSpan w:val="2"/>
            <w:vAlign w:val="center"/>
          </w:tcPr>
          <w:p w14:paraId="3145F2A7">
            <w:pPr>
              <w:pStyle w:val="8"/>
              <w:jc w:val="center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18890109792</w:t>
            </w:r>
          </w:p>
        </w:tc>
      </w:tr>
      <w:tr w14:paraId="74538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63" w:type="dxa"/>
            <w:vAlign w:val="center"/>
          </w:tcPr>
          <w:p w14:paraId="344D17E8">
            <w:pPr>
              <w:spacing w:before="141" w:line="230" w:lineRule="auto"/>
              <w:ind w:left="122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地址（作者）</w:t>
            </w:r>
          </w:p>
        </w:tc>
        <w:tc>
          <w:tcPr>
            <w:tcW w:w="3681" w:type="dxa"/>
            <w:gridSpan w:val="2"/>
            <w:vAlign w:val="center"/>
          </w:tcPr>
          <w:p w14:paraId="6AD7754B">
            <w:pPr>
              <w:spacing w:before="65" w:line="249" w:lineRule="auto"/>
              <w:ind w:right="41"/>
              <w:jc w:val="center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资兴市融媒体中心</w:t>
            </w:r>
          </w:p>
        </w:tc>
        <w:tc>
          <w:tcPr>
            <w:tcW w:w="991" w:type="dxa"/>
            <w:gridSpan w:val="2"/>
            <w:vAlign w:val="center"/>
          </w:tcPr>
          <w:p w14:paraId="05863B02">
            <w:pPr>
              <w:spacing w:before="65" w:line="249" w:lineRule="auto"/>
              <w:ind w:right="41" w:firstLine="400" w:firstLineChars="200"/>
              <w:jc w:val="center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邮编</w:t>
            </w:r>
          </w:p>
        </w:tc>
        <w:tc>
          <w:tcPr>
            <w:tcW w:w="3405" w:type="dxa"/>
            <w:gridSpan w:val="2"/>
            <w:vAlign w:val="center"/>
          </w:tcPr>
          <w:p w14:paraId="04C46D88">
            <w:pPr>
              <w:spacing w:before="65" w:line="249" w:lineRule="auto"/>
              <w:ind w:right="41" w:firstLine="400" w:firstLineChars="200"/>
              <w:jc w:val="center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423400</w:t>
            </w:r>
          </w:p>
        </w:tc>
      </w:tr>
    </w:tbl>
    <w:p w14:paraId="7D828A3F">
      <w:pPr>
        <w:rPr>
          <w:lang w:eastAsia="zh-CN"/>
        </w:rPr>
        <w:sectPr>
          <w:headerReference r:id="rId3" w:type="default"/>
          <w:footerReference r:id="rId4" w:type="default"/>
          <w:pgSz w:w="11906" w:h="16838"/>
          <w:pgMar w:top="2029" w:right="1129" w:bottom="1374" w:left="1130" w:header="1567" w:footer="1176" w:gutter="0"/>
          <w:cols w:space="720" w:num="1"/>
        </w:sectPr>
      </w:pPr>
    </w:p>
    <w:p w14:paraId="5E365AC2"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FZXiaoBiaoSong-B05S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CB137">
    <w:pPr>
      <w:spacing w:line="188" w:lineRule="exact"/>
      <w:ind w:left="8253"/>
      <w:rPr>
        <w:rFonts w:ascii="微软雅黑" w:hAnsi="微软雅黑" w:eastAsia="微软雅黑" w:cs="微软雅黑"/>
        <w:sz w:val="17"/>
        <w:szCs w:val="17"/>
      </w:rPr>
    </w:pPr>
    <w:r>
      <w:rPr>
        <w:rFonts w:ascii="微软雅黑" w:hAnsi="微软雅黑" w:eastAsia="微软雅黑" w:cs="微软雅黑"/>
        <w:spacing w:val="-1"/>
        <w:position w:val="-4"/>
        <w:sz w:val="17"/>
        <w:szCs w:val="17"/>
      </w:rPr>
      <w:t xml:space="preserve">—  </w:t>
    </w:r>
    <w:r>
      <w:rPr>
        <w:rFonts w:ascii="宋体" w:hAnsi="宋体" w:eastAsia="宋体" w:cs="宋体"/>
        <w:spacing w:val="-1"/>
        <w:position w:val="-4"/>
        <w:sz w:val="17"/>
        <w:szCs w:val="17"/>
      </w:rPr>
      <w:t>13</w:t>
    </w:r>
    <w:r>
      <w:rPr>
        <w:rFonts w:ascii="微软雅黑" w:hAnsi="微软雅黑" w:eastAsia="微软雅黑" w:cs="微软雅黑"/>
        <w:spacing w:val="-1"/>
        <w:position w:val="-4"/>
        <w:sz w:val="17"/>
        <w:szCs w:val="17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416E8">
    <w:pPr>
      <w:spacing w:before="33" w:line="394" w:lineRule="exact"/>
      <w:rPr>
        <w:rFonts w:ascii="Times New Roman" w:hAnsi="Times New Roman" w:eastAsia="Times New Roman" w:cs="Times New Roman"/>
        <w:sz w:val="29"/>
        <w:szCs w:val="2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4E3A"/>
    <w:rsid w:val="00020355"/>
    <w:rsid w:val="0002452D"/>
    <w:rsid w:val="00051649"/>
    <w:rsid w:val="00206EDB"/>
    <w:rsid w:val="00291F2A"/>
    <w:rsid w:val="003F2366"/>
    <w:rsid w:val="00480948"/>
    <w:rsid w:val="006C392E"/>
    <w:rsid w:val="00712FE8"/>
    <w:rsid w:val="009C0200"/>
    <w:rsid w:val="00BB1A51"/>
    <w:rsid w:val="00CB1F8C"/>
    <w:rsid w:val="00DA04F1"/>
    <w:rsid w:val="00E04E3A"/>
    <w:rsid w:val="00EF3FED"/>
    <w:rsid w:val="2A7921C9"/>
    <w:rsid w:val="3AD83E2D"/>
    <w:rsid w:val="3E1E7A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eastAsia="Arial"/>
    </w:rPr>
  </w:style>
  <w:style w:type="character" w:customStyle="1" w:styleId="9">
    <w:name w:val="页眉 Char"/>
    <w:basedOn w:val="5"/>
    <w:link w:val="3"/>
    <w:semiHidden/>
    <w:uiPriority w:val="99"/>
    <w:rPr>
      <w:rFonts w:ascii="Arial" w:hAnsi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Arial" w:hAnsi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896</Words>
  <Characters>981</Characters>
  <Lines>8</Lines>
  <Paragraphs>2</Paragraphs>
  <TotalTime>7</TotalTime>
  <ScaleCrop>false</ScaleCrop>
  <LinksUpToDate>false</LinksUpToDate>
  <CharactersWithSpaces>987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2025-10-22T07:43:00Z</dcterms:created>
  <dc:creator>Windows 用户</dc:creator>
  <cp:lastModifiedBy>微信用户</cp:lastModifiedBy>
  <dcterms:modified xsi:type="dcterms:W3CDTF">2025-10-22T07:55:30Z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eyJoZGlkIjoiYmViNWQxNzJhZmI2M2IxOWJkZmRlZWY2ODUzOGVmNzAiLCJ1c2VySWQiOiIxMjA1NDI4Mjc3In0=</vt:lpwstr>
  </property>
  <property fmtid="{D5CDD505-2E9C-101B-9397-08002B2CF9AE}" pid="3" name="KSOProductBuildVer">
    <vt:lpwstr>2052-12.1.0.23125</vt:lpwstr>
  </property>
  <property fmtid="{D5CDD505-2E9C-101B-9397-08002B2CF9AE}" pid="4" name="ICV">
    <vt:lpwstr>1F73EA5F1AA64307BFDD47234B2B0896_12</vt:lpwstr>
  </property>
</Properties>
</file>