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155C">
      <w:pPr>
        <w:keepNext w:val="0"/>
        <w:keepLines w:val="0"/>
        <w:widowControl w:val="0"/>
        <w:suppressLineNumbers w:val="0"/>
        <w:spacing w:before="0" w:beforeAutospacing="0" w:after="0" w:afterAutospacing="0" w:line="640" w:lineRule="exact"/>
        <w:ind w:left="0" w:right="0"/>
        <w:jc w:val="center"/>
        <w:rPr>
          <w:rFonts w:hint="eastAsia" w:ascii="方正小标宋简体" w:hAnsi="方正小标宋简体" w:eastAsia="方正小标宋简体" w:cs="方正小标宋简体"/>
          <w:sz w:val="44"/>
          <w:szCs w:val="44"/>
          <w:lang w:val="en-US"/>
        </w:rPr>
      </w:pPr>
      <w:bookmarkStart w:id="0" w:name="_GoBack"/>
      <w:bookmarkEnd w:id="0"/>
    </w:p>
    <w:p w14:paraId="1CD27934">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14:paraId="61310BD0">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p>
    <w:p w14:paraId="08C2A3EF">
      <w:pPr>
        <w:keepNext w:val="0"/>
        <w:keepLines w:val="0"/>
        <w:widowControl w:val="0"/>
        <w:suppressLineNumbers w:val="0"/>
        <w:spacing w:before="0" w:beforeAutospacing="0" w:after="0" w:afterAutospacing="0" w:line="640" w:lineRule="exact"/>
        <w:ind w:left="0" w:right="0"/>
        <w:jc w:val="center"/>
        <w:rPr>
          <w:rFonts w:hint="eastAsia" w:ascii="方正小标宋简体" w:hAnsi="方正小标宋简体" w:eastAsia="方正小标宋简体" w:cs="方正小标宋简体"/>
          <w:bCs/>
          <w:sz w:val="44"/>
          <w:szCs w:val="44"/>
          <w:lang w:val="en-US"/>
        </w:rPr>
      </w:pPr>
      <w:bookmarkStart w:id="1" w:name="_GoBack"/>
      <w:r>
        <w:rPr>
          <w:rFonts w:hint="eastAsia" w:ascii="方正小标宋简体" w:hAnsi="方正小标宋简体" w:eastAsia="方正小标宋简体" w:cs="方正小标宋简体"/>
          <w:kern w:val="2"/>
          <w:sz w:val="44"/>
          <w:szCs w:val="44"/>
          <w:lang w:val="en-US" w:eastAsia="zh-CN" w:bidi="ar"/>
        </w:rPr>
        <w:t>2024年度部门整体支出绩效自评报告</w:t>
      </w:r>
      <w:bookmarkEnd w:id="1"/>
    </w:p>
    <w:p w14:paraId="4AD6A50C">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eastAsia="仿宋_GB2312" w:cs="仿宋_GB2312"/>
          <w:sz w:val="32"/>
          <w:szCs w:val="32"/>
          <w:lang w:val="en-US"/>
        </w:rPr>
      </w:pPr>
    </w:p>
    <w:p w14:paraId="3118B7EA">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省财政厅：</w:t>
      </w:r>
    </w:p>
    <w:p w14:paraId="78314A6A">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根据《湖南省财政厅关于开展2024年度省级预算部门绩效自评和部门评价的通知》（湘财绩〔2024〕2号）要求，我校（院）高度重视，认真组织开展了2024年度整体支出绩效情况自评，现将有关情况报告如下。</w:t>
      </w:r>
    </w:p>
    <w:p w14:paraId="3628EF00">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一、部门基本情况</w:t>
      </w:r>
    </w:p>
    <w:p w14:paraId="237DA33B">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（一）部门职能职责</w:t>
      </w:r>
    </w:p>
    <w:p w14:paraId="1E895132">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根据《中国共产党党校(行政学院)工作条例》和我省有关文件规定，校（院）履行以下工作职责：</w:t>
      </w:r>
    </w:p>
    <w:p w14:paraId="1A1575FC">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1.培训各级党政领导干部、公务员、国有企业领导人员、事业单位领导人员、年轻干部、理论宣传骨干、高层次人才、基层干部、党员,开展党校（行政学院）系统师资培训。</w:t>
      </w:r>
    </w:p>
    <w:p w14:paraId="6370B99B">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2.加强马克思主义基本理论研究，重点研究宣传习近平新时代中国特色社会主义思想。</w:t>
      </w:r>
    </w:p>
    <w:p w14:paraId="447101B3">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3.承办党委和政府以及相关部门举办的专题研讨班。</w:t>
      </w:r>
    </w:p>
    <w:p w14:paraId="327393F6">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4.开展重大理论和现实问题研究，承担党委和政府决策咨询服务。</w:t>
      </w:r>
    </w:p>
    <w:p w14:paraId="05E51F8E">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5.以培养马克思主义理论人才为主要目标，在国家批准的学科和专业学位类别内开展学位研究生教育。</w:t>
      </w:r>
    </w:p>
    <w:p w14:paraId="382256B8">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6.开展同国（境）内外有关机构和组织的合作与交流。</w:t>
      </w:r>
    </w:p>
    <w:p w14:paraId="1C9DA251">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7.参与党委关于党校（行政学院）工作政策以及干部培训计划的制定工作。</w:t>
      </w:r>
    </w:p>
    <w:p w14:paraId="5395BBE2">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8.负责湖南省团校、湖南省妇女干部学校、湖南省民族干部学校的干部培训工作。</w:t>
      </w:r>
    </w:p>
    <w:p w14:paraId="7817E246">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9.负责管理湖南韶山干部学院。</w:t>
      </w:r>
    </w:p>
    <w:p w14:paraId="7ABFB3A9">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10.承担对下级党校（行政学院）的业务指导。</w:t>
      </w:r>
    </w:p>
    <w:p w14:paraId="32998F29">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11.完成党委和政府交办的其他任务。</w:t>
      </w:r>
    </w:p>
    <w:p w14:paraId="6AA8A505">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（二）机构设置情况</w:t>
      </w:r>
    </w:p>
    <w:p w14:paraId="6D9CE2D6">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我校（院）内设部室33个，所属二级预算单位1个。</w:t>
      </w:r>
    </w:p>
    <w:p w14:paraId="3663E4F7">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内设部室分别是：办公室、研究室、教务部、科研与决策咨询部、进修培训部、公务员培训部（公务员应急管理培训部）、综合培训部、研究生部、马克思主义学院、哲学教研部、经济学教研部、法学教研部、科学社会主义教研部（政治学教研部）、科技与生态文明教研部、公共管理教研部、党史党建教研部、纪检监察教研部、青年与社会建设教研部、妇女理论教研部、文史教研部、湖南经济社会发展研究中心、机关党委、组织人事部、行政财务部、总务部、保卫部（综合治理办）、业务指导与信息化部、离退休人员工作办公室、期刊社、图书馆、领导力培训中心（国际交流中心）、后勤服务中心。</w:t>
      </w:r>
    </w:p>
    <w:p w14:paraId="38CBB6C7">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所属二级预算单位是湖南韶山干部学院。</w:t>
      </w:r>
    </w:p>
    <w:p w14:paraId="308C921B">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（三）人员编制情况</w:t>
      </w:r>
    </w:p>
    <w:p w14:paraId="3C9D0D2C">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 w:eastAsia="仿宋_GB2312" w:cs="仿宋_GB2312"/>
          <w:color w:val="FF0000"/>
          <w:sz w:val="32"/>
          <w:szCs w:val="32"/>
          <w:lang w:val="en-US"/>
        </w:rPr>
      </w:pPr>
      <w:r>
        <w:rPr>
          <w:rFonts w:hint="eastAsia" w:ascii="仿宋_GB2312" w:hAnsi="Times New Roman" w:eastAsia="仿宋_GB2312" w:cs="仿宋_GB2312"/>
          <w:color w:val="000000"/>
          <w:kern w:val="2"/>
          <w:sz w:val="32"/>
          <w:szCs w:val="32"/>
          <w:lang w:val="en-US" w:eastAsia="zh-CN" w:bidi="ar"/>
        </w:rPr>
        <w:t>2024年末，校本级编制544名。年末实有在职人员484人，离休人员7人，退休人员539人。在职人员控制率为88.97%；二级预算单位湖南韶山干部学院编制105名，年末实有在职职工42人，离休人员0人，退休0人。在职人员控制率为40%；部门总体在职人员控制率为81.05%。</w:t>
      </w:r>
    </w:p>
    <w:p w14:paraId="5BC9262D">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二、一般公共预算支出情况</w:t>
      </w:r>
    </w:p>
    <w:p w14:paraId="031A660F">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（一）基本支出情况</w:t>
      </w:r>
    </w:p>
    <w:p w14:paraId="02248D76">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_GB2312" w:eastAsia="仿宋_GB2312" w:cs="仿宋_GB2312"/>
          <w:color w:val="000000"/>
          <w:spacing w:val="-2"/>
          <w:sz w:val="32"/>
          <w:szCs w:val="32"/>
          <w:lang w:val="en-US"/>
        </w:rPr>
      </w:pPr>
      <w:r>
        <w:rPr>
          <w:rFonts w:hint="eastAsia" w:ascii="仿宋_GB2312" w:hAnsi="Times New Roman" w:eastAsia="仿宋_GB2312" w:cs="仿宋_GB2312"/>
          <w:color w:val="000000"/>
          <w:spacing w:val="-2"/>
          <w:kern w:val="2"/>
          <w:sz w:val="32"/>
          <w:szCs w:val="32"/>
          <w:lang w:val="en-US" w:eastAsia="zh-CN" w:bidi="ar"/>
        </w:rPr>
        <w:t>基本支出为保障我校（院）正常运转，完成日常工作任务的支出，主要包括在职人员的基本工资、津补贴和奖金，离退休人员的离退休费、奖金等人员经费，以及办公费、印刷（打印）费、水电费、维修费、差旅费、工会经费、福利费、公务接待费、公务用车运行维护费、离退休人员活动费等日常公用费用。</w:t>
      </w:r>
    </w:p>
    <w:p w14:paraId="302E7CA4">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eastAsia="仿宋_GB2312" w:cs="仿宋_GB2312"/>
          <w:color w:val="FF0000"/>
          <w:sz w:val="32"/>
          <w:szCs w:val="32"/>
          <w:lang w:val="en-US"/>
        </w:rPr>
      </w:pPr>
      <w:r>
        <w:rPr>
          <w:rFonts w:hint="eastAsia" w:ascii="仿宋_GB2312" w:hAnsi="Times New Roman" w:eastAsia="仿宋_GB2312" w:cs="仿宋_GB2312"/>
          <w:kern w:val="2"/>
          <w:sz w:val="32"/>
          <w:szCs w:val="32"/>
          <w:lang w:val="en-US" w:eastAsia="zh-CN" w:bidi="ar"/>
        </w:rPr>
        <w:t>2024年基本支出预算18589.12万元（校本级17524.40万元、湖南韶山干部学院1064.72万元），本年实际支出</w:t>
      </w:r>
      <w:r>
        <w:rPr>
          <w:rFonts w:hint="eastAsia" w:ascii="仿宋_GB2312" w:hAnsi="Times New Roman" w:eastAsia="仿宋_GB2312" w:cs="仿宋_GB2312"/>
          <w:color w:val="000000"/>
          <w:kern w:val="2"/>
          <w:sz w:val="32"/>
          <w:szCs w:val="32"/>
          <w:lang w:val="en-US" w:eastAsia="zh-CN" w:bidi="ar"/>
        </w:rPr>
        <w:t>18119.44</w:t>
      </w:r>
      <w:r>
        <w:rPr>
          <w:rFonts w:hint="eastAsia" w:ascii="仿宋_GB2312" w:hAnsi="Times New Roman" w:eastAsia="仿宋_GB2312" w:cs="仿宋_GB2312"/>
          <w:kern w:val="2"/>
          <w:sz w:val="32"/>
          <w:szCs w:val="32"/>
          <w:lang w:val="en-US" w:eastAsia="zh-CN" w:bidi="ar"/>
        </w:rPr>
        <w:t>万元（校本级支出</w:t>
      </w:r>
      <w:r>
        <w:rPr>
          <w:rFonts w:hint="eastAsia" w:ascii="仿宋_GB2312" w:hAnsi="Times New Roman" w:eastAsia="仿宋_GB2312" w:cs="仿宋_GB2312"/>
          <w:color w:val="000000"/>
          <w:kern w:val="2"/>
          <w:sz w:val="32"/>
          <w:szCs w:val="32"/>
          <w:lang w:val="en-US" w:eastAsia="zh-CN" w:bidi="ar"/>
        </w:rPr>
        <w:t>17206.32</w:t>
      </w:r>
      <w:r>
        <w:rPr>
          <w:rFonts w:hint="eastAsia" w:ascii="仿宋_GB2312" w:hAnsi="Times New Roman" w:eastAsia="仿宋_GB2312" w:cs="仿宋_GB2312"/>
          <w:kern w:val="2"/>
          <w:sz w:val="32"/>
          <w:szCs w:val="32"/>
          <w:lang w:val="en-US" w:eastAsia="zh-CN" w:bidi="ar"/>
        </w:rPr>
        <w:t>万元，湖南韶山干部学院支出913.12万元），基本支出预算执行率97.47%。</w:t>
      </w:r>
    </w:p>
    <w:p w14:paraId="3F6441CC">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eastAsia="仿宋_GB2312" w:cs="仿宋_GB2312"/>
          <w:color w:val="FF0000"/>
          <w:sz w:val="32"/>
          <w:szCs w:val="32"/>
          <w:lang w:val="en-US"/>
        </w:rPr>
      </w:pPr>
      <w:r>
        <w:rPr>
          <w:rFonts w:hint="eastAsia" w:ascii="楷体_GB2312" w:hAnsi="Times New Roman" w:eastAsia="楷体_GB2312" w:cs="楷体_GB2312"/>
          <w:kern w:val="2"/>
          <w:sz w:val="32"/>
          <w:szCs w:val="32"/>
          <w:lang w:val="en-US" w:eastAsia="zh-CN" w:bidi="ar"/>
        </w:rPr>
        <w:t>（二）项目支出情况</w:t>
      </w:r>
    </w:p>
    <w:p w14:paraId="1177FFE5">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项目支出是校（院）为完成特定工作任务或事业发展目标的专项支出，2024年预算总额7801.39万元（校本级7296.33万元、湖南韶山干部学院505.06万元），实际支出5774.40万元（校本级5338.09万元、湖南韶山干部学院436.31万元），预算执行率74.02%，结余资金2026.99万元（校本级1958.24万元、湖南韶山干部学院68.75万元）。结余原因分类说明如下：</w:t>
      </w:r>
    </w:p>
    <w:p w14:paraId="53A25F5B">
      <w:pPr>
        <w:pStyle w:val="17"/>
        <w:widowControl/>
        <w:spacing w:before="0" w:beforeAutospacing="0" w:after="0" w:afterAutospacing="0" w:line="560" w:lineRule="exact"/>
        <w:ind w:left="0" w:leftChars="0" w:right="0" w:firstLine="640"/>
        <w:rPr>
          <w:rFonts w:hint="eastAsia" w:ascii="仿宋_GB2312" w:eastAsia="仿宋_GB2312" w:cs="仿宋_GB2312"/>
          <w:kern w:val="2"/>
          <w:sz w:val="32"/>
          <w:szCs w:val="32"/>
          <w:lang w:val="en-US"/>
        </w:rPr>
      </w:pPr>
      <w:r>
        <w:rPr>
          <w:rFonts w:hint="eastAsia" w:ascii="仿宋_GB2312" w:eastAsia="宋体" w:cs="仿宋_GB2312"/>
          <w:sz w:val="32"/>
          <w:szCs w:val="32"/>
          <w:lang w:val="en-US"/>
        </w:rPr>
        <w:t>1.</w:t>
      </w:r>
      <w:r>
        <w:rPr>
          <w:rFonts w:hint="eastAsia" w:ascii="仿宋_GB2312" w:eastAsia="仿宋_GB2312" w:cs="仿宋_GB2312"/>
          <w:kern w:val="2"/>
          <w:sz w:val="32"/>
          <w:szCs w:val="32"/>
          <w:lang w:eastAsia="zh-CN"/>
        </w:rPr>
        <w:t>校本级教研咨创新专项结余</w:t>
      </w:r>
      <w:r>
        <w:rPr>
          <w:rFonts w:hint="eastAsia" w:ascii="仿宋_GB2312" w:eastAsia="仿宋_GB2312" w:cs="仿宋_GB2312"/>
          <w:kern w:val="2"/>
          <w:sz w:val="32"/>
          <w:szCs w:val="32"/>
          <w:lang w:val="en-US"/>
        </w:rPr>
        <w:t xml:space="preserve">991.70 </w:t>
      </w:r>
      <w:r>
        <w:rPr>
          <w:rFonts w:hint="eastAsia" w:ascii="仿宋_GB2312" w:eastAsia="仿宋_GB2312" w:cs="仿宋_GB2312"/>
          <w:kern w:val="2"/>
          <w:sz w:val="32"/>
          <w:szCs w:val="32"/>
          <w:lang w:eastAsia="zh-CN"/>
        </w:rPr>
        <w:t>万元。其中</w:t>
      </w:r>
      <w:r>
        <w:rPr>
          <w:rFonts w:hint="eastAsia" w:ascii="仿宋_GB2312" w:eastAsia="仿宋_GB2312" w:cs="仿宋_GB2312"/>
          <w:kern w:val="2"/>
          <w:sz w:val="32"/>
          <w:szCs w:val="32"/>
          <w:lang w:val="en-US"/>
        </w:rPr>
        <w:t>2023</w:t>
      </w:r>
      <w:r>
        <w:rPr>
          <w:rFonts w:hint="eastAsia" w:ascii="仿宋_GB2312" w:eastAsia="仿宋_GB2312" w:cs="仿宋_GB2312"/>
          <w:kern w:val="2"/>
          <w:sz w:val="32"/>
          <w:szCs w:val="32"/>
          <w:lang w:eastAsia="zh-CN"/>
        </w:rPr>
        <w:t>年结余</w:t>
      </w:r>
      <w:r>
        <w:rPr>
          <w:rFonts w:hint="eastAsia" w:ascii="仿宋_GB2312" w:eastAsia="仿宋_GB2312" w:cs="仿宋_GB2312"/>
          <w:kern w:val="2"/>
          <w:sz w:val="32"/>
          <w:szCs w:val="32"/>
          <w:lang w:val="en-US"/>
        </w:rPr>
        <w:t>191.70</w:t>
      </w:r>
      <w:r>
        <w:rPr>
          <w:rFonts w:hint="eastAsia" w:ascii="仿宋_GB2312" w:eastAsia="仿宋_GB2312" w:cs="仿宋_GB2312"/>
          <w:kern w:val="2"/>
          <w:sz w:val="32"/>
          <w:szCs w:val="32"/>
          <w:lang w:eastAsia="zh-CN"/>
        </w:rPr>
        <w:t>万元，</w:t>
      </w:r>
      <w:r>
        <w:rPr>
          <w:rFonts w:hint="eastAsia" w:ascii="仿宋_GB2312" w:eastAsia="仿宋_GB2312" w:cs="仿宋_GB2312"/>
          <w:kern w:val="2"/>
          <w:sz w:val="32"/>
          <w:szCs w:val="32"/>
          <w:lang w:val="en-US"/>
        </w:rPr>
        <w:t>2024</w:t>
      </w:r>
      <w:r>
        <w:rPr>
          <w:rFonts w:hint="eastAsia" w:ascii="仿宋_GB2312" w:eastAsia="仿宋_GB2312" w:cs="仿宋_GB2312"/>
          <w:kern w:val="2"/>
          <w:sz w:val="32"/>
          <w:szCs w:val="32"/>
          <w:lang w:eastAsia="zh-CN"/>
        </w:rPr>
        <w:t>年结余</w:t>
      </w:r>
      <w:r>
        <w:rPr>
          <w:rFonts w:hint="eastAsia" w:ascii="仿宋_GB2312" w:eastAsia="仿宋_GB2312" w:cs="仿宋_GB2312"/>
          <w:kern w:val="2"/>
          <w:sz w:val="32"/>
          <w:szCs w:val="32"/>
          <w:lang w:val="en-US"/>
        </w:rPr>
        <w:t>800</w:t>
      </w:r>
      <w:r>
        <w:rPr>
          <w:rFonts w:hint="eastAsia" w:ascii="仿宋_GB2312" w:eastAsia="仿宋_GB2312" w:cs="仿宋_GB2312"/>
          <w:kern w:val="2"/>
          <w:sz w:val="32"/>
          <w:szCs w:val="32"/>
          <w:lang w:eastAsia="zh-CN"/>
        </w:rPr>
        <w:t>万元。因政策调整及成果产出周期延长，资金使用期限从</w:t>
      </w:r>
      <w:r>
        <w:rPr>
          <w:rFonts w:hint="eastAsia" w:ascii="仿宋_GB2312" w:eastAsia="仿宋_GB2312" w:cs="仿宋_GB2312"/>
          <w:kern w:val="2"/>
          <w:sz w:val="32"/>
          <w:szCs w:val="32"/>
          <w:lang w:val="en-US"/>
        </w:rPr>
        <w:t>2</w:t>
      </w:r>
      <w:r>
        <w:rPr>
          <w:rFonts w:hint="eastAsia" w:ascii="仿宋_GB2312" w:eastAsia="仿宋_GB2312" w:cs="仿宋_GB2312"/>
          <w:kern w:val="2"/>
          <w:sz w:val="32"/>
          <w:szCs w:val="32"/>
          <w:lang w:eastAsia="zh-CN"/>
        </w:rPr>
        <w:t>年调整为</w:t>
      </w:r>
      <w:r>
        <w:rPr>
          <w:rFonts w:hint="eastAsia" w:ascii="仿宋_GB2312" w:eastAsia="仿宋_GB2312" w:cs="仿宋_GB2312"/>
          <w:kern w:val="2"/>
          <w:sz w:val="32"/>
          <w:szCs w:val="32"/>
          <w:lang w:val="en-US"/>
        </w:rPr>
        <w:t>3</w:t>
      </w:r>
      <w:r>
        <w:rPr>
          <w:rFonts w:hint="eastAsia" w:ascii="仿宋_GB2312" w:eastAsia="仿宋_GB2312" w:cs="仿宋_GB2312"/>
          <w:kern w:val="2"/>
          <w:sz w:val="32"/>
          <w:szCs w:val="32"/>
          <w:lang w:eastAsia="zh-CN"/>
        </w:rPr>
        <w:t>年，</w:t>
      </w:r>
      <w:r>
        <w:rPr>
          <w:rFonts w:hint="eastAsia" w:ascii="仿宋_GB2312" w:eastAsia="仿宋_GB2312" w:cs="仿宋_GB2312"/>
          <w:kern w:val="2"/>
          <w:sz w:val="32"/>
          <w:szCs w:val="32"/>
          <w:lang w:val="en-US"/>
        </w:rPr>
        <w:t>2024</w:t>
      </w:r>
      <w:r>
        <w:rPr>
          <w:rFonts w:hint="eastAsia" w:ascii="仿宋_GB2312" w:eastAsia="仿宋_GB2312" w:cs="仿宋_GB2312"/>
          <w:kern w:val="2"/>
          <w:sz w:val="32"/>
          <w:szCs w:val="32"/>
          <w:lang w:eastAsia="zh-CN"/>
        </w:rPr>
        <w:t>年度支出进度放缓。</w:t>
      </w:r>
    </w:p>
    <w:p w14:paraId="76DF2B12">
      <w:pPr>
        <w:pStyle w:val="17"/>
        <w:widowControl/>
        <w:spacing w:before="0" w:beforeAutospacing="0" w:after="0" w:afterAutospacing="0" w:line="560" w:lineRule="exact"/>
        <w:ind w:left="0" w:leftChars="0" w:right="0" w:firstLine="64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val="en-US"/>
        </w:rPr>
        <w:t>2.</w:t>
      </w:r>
      <w:r>
        <w:rPr>
          <w:rFonts w:hint="eastAsia" w:ascii="仿宋_GB2312" w:eastAsia="仿宋_GB2312" w:cs="仿宋_GB2312"/>
          <w:kern w:val="2"/>
          <w:sz w:val="32"/>
          <w:szCs w:val="32"/>
          <w:lang w:eastAsia="zh-CN"/>
        </w:rPr>
        <w:t>校本级科研课题结转</w:t>
      </w:r>
      <w:r>
        <w:rPr>
          <w:rFonts w:hint="eastAsia" w:ascii="仿宋_GB2312" w:eastAsia="仿宋_GB2312" w:cs="仿宋_GB2312"/>
          <w:kern w:val="2"/>
          <w:sz w:val="32"/>
          <w:szCs w:val="32"/>
          <w:lang w:val="en-US"/>
        </w:rPr>
        <w:t>487.56</w:t>
      </w:r>
      <w:r>
        <w:rPr>
          <w:rFonts w:hint="eastAsia" w:ascii="仿宋_GB2312" w:eastAsia="仿宋_GB2312" w:cs="仿宋_GB2312"/>
          <w:kern w:val="2"/>
          <w:sz w:val="32"/>
          <w:szCs w:val="32"/>
          <w:lang w:eastAsia="zh-CN"/>
        </w:rPr>
        <w:t>万元。根据国办发〔</w:t>
      </w:r>
      <w:r>
        <w:rPr>
          <w:rFonts w:hint="eastAsia" w:ascii="仿宋_GB2312" w:eastAsia="仿宋_GB2312" w:cs="仿宋_GB2312"/>
          <w:kern w:val="2"/>
          <w:sz w:val="32"/>
          <w:szCs w:val="32"/>
          <w:lang w:val="en-US"/>
        </w:rPr>
        <w:t>2021</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rPr>
        <w:t>32</w:t>
      </w:r>
      <w:r>
        <w:rPr>
          <w:rFonts w:hint="eastAsia" w:ascii="仿宋_GB2312" w:eastAsia="仿宋_GB2312" w:cs="仿宋_GB2312"/>
          <w:kern w:val="2"/>
          <w:sz w:val="32"/>
          <w:szCs w:val="32"/>
          <w:lang w:eastAsia="zh-CN"/>
        </w:rPr>
        <w:t>号、湘政办发〔</w:t>
      </w:r>
      <w:r>
        <w:rPr>
          <w:rFonts w:hint="eastAsia" w:ascii="仿宋_GB2312" w:eastAsia="仿宋_GB2312" w:cs="仿宋_GB2312"/>
          <w:kern w:val="2"/>
          <w:sz w:val="32"/>
          <w:szCs w:val="32"/>
          <w:lang w:val="en-US"/>
        </w:rPr>
        <w:t>2022</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rPr>
        <w:t>42</w:t>
      </w:r>
      <w:r>
        <w:rPr>
          <w:rFonts w:hint="eastAsia" w:ascii="仿宋_GB2312" w:eastAsia="仿宋_GB2312" w:cs="仿宋_GB2312"/>
          <w:kern w:val="2"/>
          <w:sz w:val="32"/>
          <w:szCs w:val="32"/>
          <w:lang w:eastAsia="zh-CN"/>
        </w:rPr>
        <w:t>号文件规定，允许保留在科研项目及后续科研直接支出资金。</w:t>
      </w:r>
    </w:p>
    <w:p w14:paraId="07359AF7">
      <w:pPr>
        <w:pStyle w:val="17"/>
        <w:widowControl/>
        <w:spacing w:before="0" w:beforeAutospacing="0" w:after="0" w:afterAutospacing="0" w:line="560" w:lineRule="exact"/>
        <w:ind w:left="0" w:leftChars="0" w:right="0" w:firstLine="64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val="en-US"/>
        </w:rPr>
        <w:t>3.</w:t>
      </w:r>
      <w:r>
        <w:rPr>
          <w:rFonts w:hint="eastAsia" w:ascii="仿宋_GB2312" w:eastAsia="仿宋_GB2312" w:cs="仿宋_GB2312"/>
          <w:kern w:val="2"/>
          <w:sz w:val="32"/>
          <w:szCs w:val="32"/>
          <w:lang w:eastAsia="zh-CN"/>
        </w:rPr>
        <w:t>校本级公车购置</w:t>
      </w:r>
      <w:r>
        <w:rPr>
          <w:rFonts w:hint="eastAsia" w:ascii="仿宋_GB2312" w:eastAsia="仿宋_GB2312" w:cs="仿宋_GB2312"/>
          <w:kern w:val="2"/>
          <w:sz w:val="32"/>
          <w:szCs w:val="32"/>
          <w:lang w:val="en-US"/>
        </w:rPr>
        <w:t>25</w:t>
      </w:r>
      <w:r>
        <w:rPr>
          <w:rFonts w:hint="eastAsia" w:ascii="仿宋_GB2312" w:eastAsia="仿宋_GB2312" w:cs="仿宋_GB2312"/>
          <w:kern w:val="2"/>
          <w:sz w:val="32"/>
          <w:szCs w:val="32"/>
          <w:lang w:eastAsia="zh-CN"/>
        </w:rPr>
        <w:t>万元。因政策限制取消购置计划，经费由财政收回。</w:t>
      </w:r>
    </w:p>
    <w:p w14:paraId="4E9DA86C">
      <w:pPr>
        <w:pStyle w:val="17"/>
        <w:widowControl/>
        <w:spacing w:before="0" w:beforeAutospacing="0" w:after="0" w:afterAutospacing="0" w:line="560" w:lineRule="exact"/>
        <w:ind w:left="0" w:leftChars="0" w:right="0" w:firstLine="64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val="en-US"/>
        </w:rPr>
        <w:t>4.</w:t>
      </w:r>
      <w:r>
        <w:rPr>
          <w:rFonts w:hint="eastAsia" w:ascii="仿宋_GB2312" w:eastAsia="仿宋_GB2312" w:cs="仿宋_GB2312"/>
          <w:kern w:val="2"/>
          <w:sz w:val="32"/>
          <w:szCs w:val="32"/>
          <w:lang w:eastAsia="zh-CN"/>
        </w:rPr>
        <w:t>校本级教学、科研发展专项经费结转</w:t>
      </w:r>
      <w:r>
        <w:rPr>
          <w:rFonts w:hint="eastAsia" w:ascii="仿宋_GB2312" w:eastAsia="仿宋_GB2312" w:cs="仿宋_GB2312"/>
          <w:kern w:val="2"/>
          <w:sz w:val="32"/>
          <w:szCs w:val="32"/>
          <w:lang w:val="en-US"/>
        </w:rPr>
        <w:t>202.31</w:t>
      </w:r>
      <w:r>
        <w:rPr>
          <w:rFonts w:hint="eastAsia" w:ascii="仿宋_GB2312" w:eastAsia="仿宋_GB2312" w:cs="仿宋_GB2312"/>
          <w:kern w:val="2"/>
          <w:sz w:val="32"/>
          <w:szCs w:val="32"/>
          <w:lang w:eastAsia="zh-CN"/>
        </w:rPr>
        <w:t>万元。当年结余资金，</w:t>
      </w:r>
      <w:r>
        <w:rPr>
          <w:rFonts w:hint="eastAsia" w:ascii="仿宋_GB2312" w:eastAsia="仿宋_GB2312" w:cs="仿宋_GB2312"/>
          <w:kern w:val="2"/>
          <w:sz w:val="32"/>
          <w:szCs w:val="32"/>
          <w:lang w:val="en-US"/>
        </w:rPr>
        <w:t>2025</w:t>
      </w:r>
      <w:r>
        <w:rPr>
          <w:rFonts w:hint="eastAsia" w:ascii="仿宋_GB2312" w:eastAsia="仿宋_GB2312" w:cs="仿宋_GB2312"/>
          <w:kern w:val="2"/>
          <w:sz w:val="32"/>
          <w:szCs w:val="32"/>
          <w:lang w:eastAsia="zh-CN"/>
        </w:rPr>
        <w:t>年继续用于人才引进、教务及科研管理等支出。</w:t>
      </w:r>
    </w:p>
    <w:p w14:paraId="1C6FF70E">
      <w:pPr>
        <w:pStyle w:val="17"/>
        <w:widowControl/>
        <w:spacing w:before="0" w:beforeAutospacing="0" w:after="0" w:afterAutospacing="0" w:line="560" w:lineRule="exact"/>
        <w:ind w:left="0" w:leftChars="0" w:right="0" w:firstLine="64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val="en-US"/>
        </w:rPr>
        <w:t>5.</w:t>
      </w:r>
      <w:r>
        <w:rPr>
          <w:rFonts w:hint="eastAsia" w:ascii="仿宋_GB2312" w:eastAsia="仿宋_GB2312" w:cs="仿宋_GB2312"/>
          <w:kern w:val="2"/>
          <w:sz w:val="32"/>
          <w:szCs w:val="32"/>
          <w:lang w:eastAsia="zh-CN"/>
        </w:rPr>
        <w:t>校本级代管湖南韶山干部学院改扩建项目尾款</w:t>
      </w:r>
      <w:r>
        <w:rPr>
          <w:rFonts w:hint="eastAsia" w:ascii="仿宋_GB2312" w:eastAsia="仿宋_GB2312" w:cs="仿宋_GB2312"/>
          <w:kern w:val="2"/>
          <w:sz w:val="32"/>
          <w:szCs w:val="32"/>
          <w:lang w:val="en-US"/>
        </w:rPr>
        <w:t>79.75</w:t>
      </w:r>
      <w:r>
        <w:rPr>
          <w:rFonts w:hint="eastAsia" w:ascii="仿宋_GB2312" w:eastAsia="仿宋_GB2312" w:cs="仿宋_GB2312"/>
          <w:kern w:val="2"/>
          <w:sz w:val="32"/>
          <w:szCs w:val="32"/>
          <w:lang w:eastAsia="zh-CN"/>
        </w:rPr>
        <w:t>万元。按合同约定，尾款于</w:t>
      </w:r>
      <w:r>
        <w:rPr>
          <w:rFonts w:hint="eastAsia" w:ascii="仿宋_GB2312" w:eastAsia="仿宋_GB2312" w:cs="仿宋_GB2312"/>
          <w:kern w:val="2"/>
          <w:sz w:val="32"/>
          <w:szCs w:val="32"/>
          <w:lang w:val="en-US"/>
        </w:rPr>
        <w:t>2025</w:t>
      </w:r>
      <w:r>
        <w:rPr>
          <w:rFonts w:hint="eastAsia" w:ascii="仿宋_GB2312" w:eastAsia="仿宋_GB2312" w:cs="仿宋_GB2312"/>
          <w:kern w:val="2"/>
          <w:sz w:val="32"/>
          <w:szCs w:val="32"/>
          <w:lang w:eastAsia="zh-CN"/>
        </w:rPr>
        <w:t>年支付。</w:t>
      </w:r>
    </w:p>
    <w:p w14:paraId="46F1F5F7">
      <w:pPr>
        <w:pStyle w:val="17"/>
        <w:widowControl/>
        <w:spacing w:before="0" w:beforeAutospacing="0" w:after="0" w:afterAutospacing="0" w:line="560" w:lineRule="exact"/>
        <w:ind w:left="0" w:leftChars="0" w:right="0" w:firstLine="64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val="en-US"/>
        </w:rPr>
        <w:t>6.</w:t>
      </w:r>
      <w:r>
        <w:rPr>
          <w:rFonts w:hint="eastAsia" w:ascii="仿宋_GB2312" w:eastAsia="仿宋_GB2312" w:cs="仿宋_GB2312"/>
          <w:kern w:val="2"/>
          <w:sz w:val="32"/>
          <w:szCs w:val="32"/>
          <w:lang w:eastAsia="zh-CN"/>
        </w:rPr>
        <w:t>校本级信息系统运维项目结转</w:t>
      </w:r>
      <w:r>
        <w:rPr>
          <w:rFonts w:hint="eastAsia" w:ascii="仿宋_GB2312" w:eastAsia="仿宋_GB2312" w:cs="仿宋_GB2312"/>
          <w:kern w:val="2"/>
          <w:sz w:val="32"/>
          <w:szCs w:val="32"/>
          <w:lang w:val="en-US"/>
        </w:rPr>
        <w:t>27</w:t>
      </w:r>
      <w:r>
        <w:rPr>
          <w:rFonts w:hint="eastAsia" w:ascii="仿宋_GB2312" w:eastAsia="仿宋_GB2312" w:cs="仿宋_GB2312"/>
          <w:kern w:val="2"/>
          <w:sz w:val="32"/>
          <w:szCs w:val="32"/>
          <w:lang w:eastAsia="zh-CN"/>
        </w:rPr>
        <w:t>万元。合同约定服务周期跨年，</w:t>
      </w:r>
      <w:r>
        <w:rPr>
          <w:rFonts w:hint="eastAsia" w:ascii="仿宋_GB2312" w:eastAsia="仿宋_GB2312" w:cs="仿宋_GB2312"/>
          <w:kern w:val="2"/>
          <w:sz w:val="32"/>
          <w:szCs w:val="32"/>
          <w:lang w:val="en-US"/>
        </w:rPr>
        <w:t>2025</w:t>
      </w:r>
      <w:r>
        <w:rPr>
          <w:rFonts w:hint="eastAsia" w:ascii="仿宋_GB2312" w:eastAsia="仿宋_GB2312" w:cs="仿宋_GB2312"/>
          <w:kern w:val="2"/>
          <w:sz w:val="32"/>
          <w:szCs w:val="32"/>
          <w:lang w:eastAsia="zh-CN"/>
        </w:rPr>
        <w:t>年完成支付。</w:t>
      </w:r>
    </w:p>
    <w:p w14:paraId="66D74441">
      <w:pPr>
        <w:pStyle w:val="17"/>
        <w:widowControl/>
        <w:spacing w:before="0" w:beforeAutospacing="0" w:after="0" w:afterAutospacing="0" w:line="560" w:lineRule="exact"/>
        <w:ind w:left="0" w:leftChars="0" w:right="0" w:firstLine="64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val="en-US"/>
        </w:rPr>
        <w:t>7.</w:t>
      </w:r>
      <w:r>
        <w:rPr>
          <w:rFonts w:hint="eastAsia" w:ascii="仿宋_GB2312" w:eastAsia="仿宋_GB2312" w:cs="仿宋_GB2312"/>
          <w:kern w:val="2"/>
          <w:sz w:val="32"/>
          <w:szCs w:val="32"/>
          <w:lang w:eastAsia="zh-CN"/>
        </w:rPr>
        <w:t>校本级</w:t>
      </w:r>
      <w:r>
        <w:rPr>
          <w:rFonts w:hint="eastAsia" w:ascii="仿宋_GB2312" w:eastAsia="仿宋_GB2312" w:cs="仿宋_GB2312"/>
          <w:kern w:val="2"/>
          <w:sz w:val="32"/>
          <w:szCs w:val="32"/>
          <w:lang w:val="en-US"/>
        </w:rPr>
        <w:t>2024</w:t>
      </w:r>
      <w:r>
        <w:rPr>
          <w:rFonts w:hint="eastAsia" w:ascii="仿宋_GB2312" w:eastAsia="仿宋_GB2312" w:cs="仿宋_GB2312"/>
          <w:kern w:val="2"/>
          <w:sz w:val="32"/>
          <w:szCs w:val="32"/>
          <w:lang w:eastAsia="zh-CN"/>
        </w:rPr>
        <w:t>年省属学校学生资助省级补助资金（高校学生奖助学金）结转</w:t>
      </w:r>
      <w:r>
        <w:rPr>
          <w:rFonts w:hint="eastAsia" w:ascii="仿宋_GB2312" w:eastAsia="仿宋_GB2312" w:cs="仿宋_GB2312"/>
          <w:kern w:val="2"/>
          <w:sz w:val="32"/>
          <w:szCs w:val="32"/>
          <w:lang w:val="en-US"/>
        </w:rPr>
        <w:t>12.54</w:t>
      </w:r>
      <w:r>
        <w:rPr>
          <w:rFonts w:hint="eastAsia" w:ascii="仿宋_GB2312" w:eastAsia="仿宋_GB2312" w:cs="仿宋_GB2312"/>
          <w:kern w:val="2"/>
          <w:sz w:val="32"/>
          <w:szCs w:val="32"/>
          <w:lang w:eastAsia="zh-CN"/>
        </w:rPr>
        <w:t>万元。指标下达晚，在</w:t>
      </w:r>
      <w:r>
        <w:rPr>
          <w:rFonts w:hint="eastAsia" w:ascii="仿宋_GB2312" w:eastAsia="仿宋_GB2312" w:cs="仿宋_GB2312"/>
          <w:kern w:val="2"/>
          <w:sz w:val="32"/>
          <w:szCs w:val="32"/>
          <w:lang w:val="en-US"/>
        </w:rPr>
        <w:t>2025</w:t>
      </w:r>
      <w:r>
        <w:rPr>
          <w:rFonts w:hint="eastAsia" w:ascii="仿宋_GB2312" w:eastAsia="仿宋_GB2312" w:cs="仿宋_GB2312"/>
          <w:kern w:val="2"/>
          <w:sz w:val="32"/>
          <w:szCs w:val="32"/>
          <w:lang w:eastAsia="zh-CN"/>
        </w:rPr>
        <w:t>年度完成支付。</w:t>
      </w:r>
    </w:p>
    <w:p w14:paraId="69BBD247">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8.校本级专题研修班和“湘江大讲堂”运行经费结转132.38万元。内部食堂划转及水电支出，2025年完成结算。</w:t>
      </w:r>
    </w:p>
    <w:p w14:paraId="4D9DE481">
      <w:pPr>
        <w:pStyle w:val="17"/>
        <w:widowControl/>
        <w:spacing w:before="0" w:beforeAutospacing="0" w:after="0" w:afterAutospacing="0" w:line="560" w:lineRule="exact"/>
        <w:ind w:left="0" w:leftChars="0" w:right="0" w:firstLine="640"/>
        <w:rPr>
          <w:rFonts w:hint="eastAsia" w:ascii="仿宋_GB2312" w:eastAsia="仿宋_GB2312" w:cs="仿宋_GB2312"/>
          <w:kern w:val="2"/>
          <w:sz w:val="32"/>
          <w:szCs w:val="32"/>
          <w:lang w:val="en-US"/>
        </w:rPr>
      </w:pPr>
      <w:r>
        <w:rPr>
          <w:rFonts w:hint="eastAsia" w:ascii="仿宋_GB2312" w:eastAsia="仿宋_GB2312" w:cs="仿宋_GB2312"/>
          <w:kern w:val="2"/>
          <w:sz w:val="32"/>
          <w:szCs w:val="32"/>
          <w:lang w:val="en-US"/>
        </w:rPr>
        <w:t>9.</w:t>
      </w:r>
      <w:r>
        <w:rPr>
          <w:rFonts w:hint="eastAsia" w:ascii="仿宋_GB2312" w:eastAsia="仿宋_GB2312" w:cs="仿宋_GB2312"/>
          <w:kern w:val="2"/>
          <w:sz w:val="32"/>
          <w:szCs w:val="32"/>
          <w:lang w:eastAsia="zh-CN"/>
        </w:rPr>
        <w:t>湖南韶山干部学院结余</w:t>
      </w:r>
      <w:r>
        <w:rPr>
          <w:rFonts w:hint="eastAsia" w:ascii="仿宋_GB2312" w:eastAsia="仿宋_GB2312" w:cs="仿宋_GB2312"/>
          <w:kern w:val="2"/>
          <w:sz w:val="32"/>
          <w:szCs w:val="32"/>
          <w:lang w:val="en-US"/>
        </w:rPr>
        <w:t>68.75</w:t>
      </w:r>
      <w:r>
        <w:rPr>
          <w:rFonts w:hint="eastAsia" w:ascii="仿宋_GB2312" w:eastAsia="仿宋_GB2312" w:cs="仿宋_GB2312"/>
          <w:kern w:val="2"/>
          <w:sz w:val="32"/>
          <w:szCs w:val="32"/>
          <w:lang w:eastAsia="zh-CN"/>
        </w:rPr>
        <w:t>万元，当年结余资金。</w:t>
      </w:r>
      <w:r>
        <w:rPr>
          <w:rFonts w:hint="eastAsia" w:ascii="仿宋_GB2312" w:eastAsia="仿宋_GB2312" w:cs="仿宋_GB2312"/>
          <w:kern w:val="2"/>
          <w:sz w:val="32"/>
          <w:szCs w:val="32"/>
          <w:lang w:val="en-US"/>
        </w:rPr>
        <w:t>2025</w:t>
      </w:r>
      <w:r>
        <w:rPr>
          <w:rFonts w:hint="eastAsia" w:ascii="仿宋_GB2312" w:eastAsia="仿宋_GB2312" w:cs="仿宋_GB2312"/>
          <w:kern w:val="2"/>
          <w:sz w:val="32"/>
          <w:szCs w:val="32"/>
          <w:lang w:eastAsia="zh-CN"/>
        </w:rPr>
        <w:t>年继续使用。</w:t>
      </w:r>
    </w:p>
    <w:p w14:paraId="20883B27">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三、政府性基金预算支出情况</w:t>
      </w:r>
    </w:p>
    <w:p w14:paraId="7AAE4D09">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2024年校（院）无政府性基金预算安排的支出。</w:t>
      </w:r>
    </w:p>
    <w:p w14:paraId="4D912977">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四、国有资本经营预算支出情况</w:t>
      </w:r>
    </w:p>
    <w:p w14:paraId="46910907">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2024年校（院）无国有资本经营预算安排的支出。</w:t>
      </w:r>
    </w:p>
    <w:p w14:paraId="3B823604">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五、社会保险基金预算支出情况</w:t>
      </w:r>
    </w:p>
    <w:p w14:paraId="2116C45E">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2024年校（院）无社会保险基金预算安排的支出。</w:t>
      </w:r>
    </w:p>
    <w:p w14:paraId="2AE14754">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六、绩效自评工作开展情况及自我评价结论</w:t>
      </w:r>
    </w:p>
    <w:p w14:paraId="304CDF29">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楷体_GB2312" w:hAnsi="Times New Roman" w:eastAsia="楷体_GB2312" w:cs="楷体_GB2312"/>
          <w:kern w:val="2"/>
          <w:sz w:val="32"/>
          <w:szCs w:val="32"/>
          <w:lang w:val="en-US" w:eastAsia="zh-CN" w:bidi="ar"/>
        </w:rPr>
        <w:t>(一）前期准备充分。</w:t>
      </w:r>
      <w:r>
        <w:rPr>
          <w:rFonts w:hint="eastAsia" w:ascii="仿宋_GB2312" w:hAnsi="Times New Roman" w:eastAsia="仿宋_GB2312" w:cs="仿宋_GB2312"/>
          <w:kern w:val="2"/>
          <w:sz w:val="32"/>
          <w:szCs w:val="32"/>
          <w:lang w:val="en-US" w:eastAsia="zh-CN" w:bidi="ar"/>
        </w:rPr>
        <w:t>认真落实《湖南省财政厅关于开展2024年度省级预算部门绩效自评和部门评价的通知》（湘财绩〔2024〕2号）要求，及时将通知内容及相关要求传达给相关部室负责人，要求各相关部室严格按照文件要求对本部室负责实施的项目开展客观、全面、准确的绩效自评，并向行政财务部提交《项目绩效自评报告》和《项目绩效自评表》。</w:t>
      </w:r>
    </w:p>
    <w:p w14:paraId="1FD00222">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楷体_GB2312" w:hAnsi="Times New Roman" w:eastAsia="楷体_GB2312" w:cs="楷体_GB2312"/>
          <w:kern w:val="2"/>
          <w:sz w:val="32"/>
          <w:szCs w:val="32"/>
          <w:lang w:val="en-US" w:eastAsia="zh-CN" w:bidi="ar"/>
        </w:rPr>
        <w:t>（二）实施过程务实。</w:t>
      </w:r>
      <w:r>
        <w:rPr>
          <w:rFonts w:hint="eastAsia" w:ascii="仿宋_GB2312" w:hAnsi="Times New Roman" w:eastAsia="仿宋_GB2312" w:cs="仿宋_GB2312"/>
          <w:kern w:val="2"/>
          <w:sz w:val="32"/>
          <w:szCs w:val="32"/>
          <w:lang w:val="en-US" w:eastAsia="zh-CN" w:bidi="ar"/>
        </w:rPr>
        <w:t>各有关部室按照“谁负责项目实施，谁进行绩效自评”的原则，以严谨的态度、科学的办法对本部室负责实施的项目开展绩效自评，有效保证了自评结果的真实性和准确性。行政财务部负责对各相关部室的绩效自评工作提供项目资金数据并进行填报指导，确保各部室提供的《项目绩效自评报告》和《项目绩效自评表》格式规范、要素齐全、内容完整。共收集60份项目绩效自评报告和表格。</w:t>
      </w:r>
    </w:p>
    <w:p w14:paraId="21561EFB">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楷体_GB2312" w:hAnsi="Times New Roman" w:eastAsia="楷体_GB2312" w:cs="楷体_GB2312"/>
          <w:kern w:val="2"/>
          <w:sz w:val="32"/>
          <w:szCs w:val="32"/>
          <w:lang w:val="en-US" w:eastAsia="zh-CN" w:bidi="ar"/>
        </w:rPr>
        <w:t>（三）总体自评优秀。</w:t>
      </w:r>
      <w:r>
        <w:rPr>
          <w:rFonts w:hint="eastAsia" w:ascii="仿宋_GB2312" w:hAnsi="Times New Roman" w:eastAsia="仿宋_GB2312" w:cs="仿宋_GB2312"/>
          <w:kern w:val="2"/>
          <w:sz w:val="32"/>
          <w:szCs w:val="32"/>
          <w:lang w:val="en-US" w:eastAsia="zh-CN" w:bidi="ar"/>
        </w:rPr>
        <w:t>在各相关部室、湖南韶山干部学院自评的基础上，行政财务部对所有的自评信息进行汇总和整理，并按照通知要求对校（院）2024年度的整体支出进行了绩效评价，总体评价分数为98.05分。</w:t>
      </w:r>
    </w:p>
    <w:p w14:paraId="0B29BBE1">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七、部门整体支出绩效情况</w:t>
      </w:r>
    </w:p>
    <w:p w14:paraId="2A7906CA">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2024年，校（院）紧扣高质量发展主线，以全面实施预算绩效管理为抓手，推动财政资金配置效能与履职效能“双提升”。在教学、科研与智库建设、制度与作风建设、数字化转型经费管理等方面均取得不俗成绩，达到预期目标。全年工作获省委主要领导“可圈可点”高度评价，彰显财政资源配置与部门履职目标的深度协同。</w:t>
      </w:r>
    </w:p>
    <w:p w14:paraId="63F5B7CE">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（一）主责主业提质效，开放办学扩能增效</w:t>
      </w:r>
    </w:p>
    <w:p w14:paraId="486BB6E0">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培训任务全面完成：全年举办基本培训班次75个，培训6208人。完成中央党校视频培训班6个，培训学员4930余人次。承办湘江大讲堂14期，参训人员约14000余人次。湖南韶山干部学院举办各类培训班206期，培训14342余人，办班数量同比增长37.3%。</w:t>
      </w:r>
    </w:p>
    <w:p w14:paraId="4930D2BF">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开放办学加速扩展：完成重点委托班次101个，培训14790人次。加入IASIA（国际行政院校联合会）会员单位。举办第四期老挝地方政府中高级干部湖南研修班、墨西哥公共行政管理研修班、港澳青年科技人才国情研修班。</w:t>
      </w:r>
    </w:p>
    <w:p w14:paraId="622CA195">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国际交流持续深化：接待摩尔多瓦共产党人党干部考察团、古巴共产党干部考察团、印度共产党干部考察团。与老挝联合举办减贫经验交流视频会议。组织9人次出国学术交流，访问成果获省委主要领导肯定性批示并批转至商务部。</w:t>
      </w:r>
    </w:p>
    <w:p w14:paraId="6F03C5E8">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科研攻坚结硕果，智库咨政赋能发展</w:t>
      </w:r>
    </w:p>
    <w:p w14:paraId="5465FD37">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科研成果量质齐升：新增国家社科基金项目5项、省级重大项目9项、全国党校系统社科规划项目5项，省社科基金等课题26项，立项增长20%；发表论文420余篇，其中“三报一刊”13篇，CSCI期刊18篇。</w:t>
      </w:r>
    </w:p>
    <w:p w14:paraId="0442503D">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决策咨询成效显著：40篇成果获副省级以上领导批示（正省级29篇），9项入选“献策湖南”金点子，3项被省委全会报告采纳；学员20余篇报告获省委书记、省长批示，为省委省政府提供高质量决策参考。</w:t>
      </w:r>
    </w:p>
    <w:p w14:paraId="04064721">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制度强基促规范，从严治校树新风尚</w:t>
      </w:r>
    </w:p>
    <w:p w14:paraId="5B660968">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作风建设常抓不懈：教师授课纪律、讲学报备率100%；学员管理严格，“四率”达98%以上，结业优良率100%，学风清朗、纪律严明。</w:t>
      </w:r>
    </w:p>
    <w:p w14:paraId="3288B9A2">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数字转型强支撑，智慧党校赋能升级</w:t>
      </w:r>
    </w:p>
    <w:p w14:paraId="24D2E8D7">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信息化建设全面覆盖：建成“三库两网两平台”，整合全国5000余名师资、7000余门课程；实现市县党校视频教学网络全覆盖，开通“湖南网上党校”，打造“红麓”融媒体矩阵，夯实干部教育数字化基础。</w:t>
      </w:r>
    </w:p>
    <w:p w14:paraId="72287A0C">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FF0000"/>
          <w:sz w:val="32"/>
          <w:szCs w:val="32"/>
          <w:lang w:val="en-US"/>
        </w:rPr>
      </w:pPr>
      <w:r>
        <w:rPr>
          <w:rFonts w:hint="eastAsia" w:ascii="楷体_GB2312" w:hAnsi="Times New Roman" w:eastAsia="楷体_GB2312" w:cs="楷体_GB2312"/>
          <w:kern w:val="2"/>
          <w:sz w:val="32"/>
          <w:szCs w:val="32"/>
          <w:lang w:val="en-US" w:eastAsia="zh-CN" w:bidi="ar"/>
        </w:rPr>
        <w:t>（五）紧盯节约增效，严格控制支出管理见真章。</w:t>
      </w:r>
      <w:r>
        <w:rPr>
          <w:rFonts w:hint="eastAsia" w:ascii="仿宋_GB2312" w:hAnsi="Times New Roman" w:eastAsia="仿宋_GB2312" w:cs="仿宋_GB2312"/>
          <w:kern w:val="2"/>
          <w:sz w:val="32"/>
          <w:szCs w:val="32"/>
          <w:lang w:val="en-US" w:eastAsia="zh-CN" w:bidi="ar"/>
        </w:rPr>
        <w:t>严格执行“三公经费”各项管理制度，确保</w:t>
      </w:r>
      <w:r>
        <w:rPr>
          <w:rFonts w:hint="default"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三公</w:t>
      </w:r>
      <w:r>
        <w:rPr>
          <w:rFonts w:hint="default" w:ascii="仿宋_GB2312"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经费保持在合理范围内。坚决贯彻落实关于过“紧日子”和坚持厉行节约、反对铺张浪费的各项要求，继续压缩一般性支出预算，勤俭办学。2024年，</w:t>
      </w:r>
      <w:r>
        <w:rPr>
          <w:rFonts w:hint="eastAsia" w:ascii="仿宋_GB2312" w:hAnsi="仿宋_GB2312" w:eastAsia="仿宋_GB2312" w:cs="仿宋_GB2312"/>
          <w:color w:val="000000"/>
          <w:kern w:val="2"/>
          <w:sz w:val="32"/>
          <w:szCs w:val="32"/>
          <w:lang w:val="en-US" w:eastAsia="zh-CN" w:bidi="ar"/>
        </w:rPr>
        <w:t>省委党校(含湖南韶山干部学院)一般公共预算“三公”经费支出78.45万元，较上年下降26.74%；一般公共预算公用经费支出2743.83万元，较上年下降4.69%。</w:t>
      </w:r>
    </w:p>
    <w:p w14:paraId="792F5627">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年以来，校（院）始终坚持党校姓党、质量立校、人才强校、从严治校，全面优化学科布局和治理体系，努力以高质量干部教育培训推动高素质干部队伍建设。省委书记沈晓明对校（院）工作给予高度评价，“总的来讲，党校过去一年多工作有很大起色，可圈可点，有新的面貌，对党校工作，大家反映是好的。”</w:t>
      </w:r>
    </w:p>
    <w:p w14:paraId="2079C91F">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八、存在的主要问题及原因分析</w:t>
      </w:r>
    </w:p>
    <w:p w14:paraId="3A5D2476">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（一）预算执行效率待提升，资金使用效益待增强</w:t>
      </w:r>
    </w:p>
    <w:p w14:paraId="750E0046">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部分课题类项目因资金下达时间较晚、周期较长导致经费结转较多，教学科研创新项目因政策原因两年未形成支出，预算执行率有待进一步提高。</w:t>
      </w:r>
    </w:p>
    <w:p w14:paraId="12E1003A">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（二）绩效指标体系待完善，评价标准精准度不足</w:t>
      </w:r>
    </w:p>
    <w:p w14:paraId="39998744">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少数项目绩效指标设定不够精确、不够细化，导致设定的绩效指标无法准确反映项目的真实产出和效益，未能全面、精确反映校（院）的整体绩效水平。</w:t>
      </w:r>
    </w:p>
    <w:p w14:paraId="657E863C">
      <w:pPr>
        <w:keepNext w:val="0"/>
        <w:keepLines w:val="0"/>
        <w:widowControl w:val="0"/>
        <w:numPr>
          <w:ilvl w:val="0"/>
          <w:numId w:val="2"/>
        </w:numPr>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结果应用机制待强化，激励约束作用待发挥</w:t>
      </w:r>
    </w:p>
    <w:p w14:paraId="49CA2294">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在提高预算执行率、优化资源配置、提高工作效能以及履职问责方面的作用发挥还不够充分。主要原因是权责统一的预算绩效管理机制有待完善。</w:t>
      </w:r>
    </w:p>
    <w:p w14:paraId="3F4C729B">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九、下一步改进措施</w:t>
      </w:r>
    </w:p>
    <w:p w14:paraId="739BB19C">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（一）强化绩效宣传引导，营造全员参与氛围</w:t>
      </w:r>
    </w:p>
    <w:p w14:paraId="66D95798">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深化思想认识：持续学习贯彻《中共中央 国务院关于全面实施预算绩效管理的意见》，通过专题培训、案例分享等形式，提升教职工绩效管理意识。</w:t>
      </w:r>
    </w:p>
    <w:p w14:paraId="28095CA9">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营造绩效文化：开展“绩效管理宣传月”活动，树立“花钱必问效、无效必问责”理念，推动形成“人人重绩效、事事讲效益”的工作氛围。</w:t>
      </w:r>
    </w:p>
    <w:p w14:paraId="1A9A4715">
      <w:pPr>
        <w:keepNext w:val="0"/>
        <w:keepLines w:val="0"/>
        <w:widowControl w:val="0"/>
        <w:numPr>
          <w:ilvl w:val="0"/>
          <w:numId w:val="3"/>
        </w:numPr>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完善绩效制度体系，构建闭环管理机制</w:t>
      </w:r>
    </w:p>
    <w:p w14:paraId="222A7912">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健全制度框架：围绕“全方位、全过程、全覆盖”要求，制定绩效评估、目标管理、跟踪监控、评价应用等实施细则，确保制度可操作、可落地。</w:t>
      </w:r>
    </w:p>
    <w:p w14:paraId="7788E13C">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强化流程管控：建立“预算编制</w:t>
      </w:r>
      <w:r>
        <w:rPr>
          <w:rFonts w:hint="eastAsia" w:ascii="仿宋" w:hAnsi="仿宋" w:eastAsia="仿宋" w:cs="仿宋"/>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执行监控</w:t>
      </w:r>
      <w:r>
        <w:rPr>
          <w:rFonts w:hint="eastAsia" w:ascii="仿宋" w:hAnsi="仿宋" w:eastAsia="仿宋" w:cs="仿宋"/>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评价反馈</w:t>
      </w:r>
      <w:r>
        <w:rPr>
          <w:rFonts w:hint="eastAsia" w:ascii="仿宋" w:hAnsi="仿宋" w:eastAsia="仿宋" w:cs="仿宋"/>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结果应用”闭环机制，确保绩效管理贯穿资金使用全过程。</w:t>
      </w:r>
    </w:p>
    <w:p w14:paraId="3F132060">
      <w:pPr>
        <w:keepNext w:val="0"/>
        <w:keepLines w:val="0"/>
        <w:widowControl w:val="0"/>
        <w:numPr>
          <w:ilvl w:val="0"/>
          <w:numId w:val="3"/>
        </w:numPr>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严控项目执行进度，提升资金使用效益</w:t>
      </w:r>
    </w:p>
    <w:p w14:paraId="70E3A546">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动态监控执行：6、9月通报项目进展，对执行滞后项目挂牌督办，确保经费支出与进度匹配。</w:t>
      </w:r>
    </w:p>
    <w:p w14:paraId="55BEFC0F">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强化结果约束：实行“低效减资、无效问责”机制，将评价结果与预算安排、年度考核挂钩，倒逼绩效提升。</w:t>
      </w:r>
    </w:p>
    <w:p w14:paraId="7E697599">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十、部门整体支出绩效自评结果拟应用和公开情况</w:t>
      </w:r>
    </w:p>
    <w:p w14:paraId="2785CE20">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仿宋_GB2312" w:hAnsi="Times New Roman" w:eastAsia="仿宋_GB2312" w:cs="仿宋_GB2312"/>
          <w:kern w:val="2"/>
          <w:sz w:val="32"/>
          <w:szCs w:val="32"/>
          <w:lang w:val="en-US" w:eastAsia="zh-CN" w:bidi="ar"/>
        </w:rPr>
        <w:t>通过绩效自评，校（院）进一步掌握了财政资金的使用情况和取得的效益，也发现了绩效管理中存在的不足。为强化内部各部室对资金使用效果、效率的重视，校（院）拟将这些结果应用到下一年资金安排中。</w:t>
      </w:r>
    </w:p>
    <w:p w14:paraId="14C92AA0">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校（院）整体绩效自评报告按要求及时在门户网站公开，接受校（院）全体教职工、财政部门和社会的监督。</w:t>
      </w:r>
    </w:p>
    <w:p w14:paraId="011E8820">
      <w:pPr>
        <w:pStyle w:val="5"/>
        <w:widowControl/>
        <w:spacing w:line="560" w:lineRule="exact"/>
        <w:rPr>
          <w:lang w:val="en-US"/>
        </w:rPr>
      </w:pPr>
    </w:p>
    <w:p w14:paraId="3EAD11AE">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附件：1.2024年度部门整体支出绩效评价基础数据项目表</w:t>
      </w:r>
    </w:p>
    <w:p w14:paraId="07D9BFB8">
      <w:pPr>
        <w:keepNext w:val="0"/>
        <w:keepLines w:val="0"/>
        <w:widowControl w:val="0"/>
        <w:suppressLineNumbers w:val="0"/>
        <w:spacing w:before="0" w:beforeAutospacing="0" w:after="0" w:afterAutospacing="0" w:line="560" w:lineRule="exact"/>
        <w:ind w:left="0" w:right="0" w:firstLine="1577" w:firstLineChars="493"/>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2.2024年度部门整体支出绩效自评表</w:t>
      </w:r>
    </w:p>
    <w:p w14:paraId="118C6798">
      <w:pPr>
        <w:keepNext w:val="0"/>
        <w:keepLines w:val="0"/>
        <w:widowControl w:val="0"/>
        <w:suppressLineNumbers w:val="0"/>
        <w:spacing w:before="0" w:beforeAutospacing="0" w:after="0" w:afterAutospacing="0" w:line="560" w:lineRule="exact"/>
        <w:ind w:left="0" w:right="0" w:firstLine="1577" w:firstLineChars="493"/>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w w:val="96"/>
          <w:kern w:val="2"/>
          <w:sz w:val="32"/>
          <w:szCs w:val="32"/>
          <w:lang w:val="en-US" w:eastAsia="zh-CN" w:bidi="ar"/>
        </w:rPr>
        <w:t>2024年度项目支出绩效自评表（业务工作经费）</w:t>
      </w:r>
    </w:p>
    <w:p w14:paraId="3A55407E">
      <w:pPr>
        <w:keepNext w:val="0"/>
        <w:keepLines w:val="0"/>
        <w:widowControl w:val="0"/>
        <w:suppressLineNumbers w:val="0"/>
        <w:spacing w:before="0" w:beforeAutospacing="0" w:after="0" w:afterAutospacing="0" w:line="560" w:lineRule="exact"/>
        <w:ind w:left="0" w:right="0" w:firstLine="1577" w:firstLineChars="493"/>
        <w:jc w:val="both"/>
        <w:rPr>
          <w:rFonts w:hint="eastAsia" w:ascii="仿宋_GB2312" w:eastAsia="仿宋_GB2312" w:cs="仿宋_GB2312"/>
          <w:w w:val="95"/>
          <w:sz w:val="32"/>
          <w:szCs w:val="32"/>
          <w:lang w:val="en-US"/>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w w:val="95"/>
          <w:kern w:val="2"/>
          <w:sz w:val="32"/>
          <w:szCs w:val="32"/>
          <w:lang w:val="en-US" w:eastAsia="zh-CN" w:bidi="ar"/>
        </w:rPr>
        <w:t>2024年度项目支出绩效自评表（其他事业发展资金）</w:t>
      </w:r>
    </w:p>
    <w:p w14:paraId="3EC7EB90">
      <w:pPr>
        <w:keepNext w:val="0"/>
        <w:keepLines w:val="0"/>
        <w:widowControl w:val="0"/>
        <w:suppressLineNumbers w:val="0"/>
        <w:spacing w:before="0" w:beforeAutospacing="0" w:after="0" w:afterAutospacing="0" w:line="540" w:lineRule="exact"/>
        <w:ind w:left="0" w:right="0"/>
        <w:jc w:val="right"/>
        <w:rPr>
          <w:rFonts w:hint="eastAsia" w:ascii="仿宋_GB2312" w:eastAsia="仿宋_GB2312" w:cs="仿宋_GB2312"/>
          <w:sz w:val="32"/>
          <w:szCs w:val="32"/>
          <w:lang w:val="en-US"/>
        </w:rPr>
      </w:pPr>
    </w:p>
    <w:p w14:paraId="2EC5727B">
      <w:pPr>
        <w:keepNext w:val="0"/>
        <w:keepLines w:val="0"/>
        <w:widowControl w:val="0"/>
        <w:suppressLineNumbers w:val="0"/>
        <w:spacing w:before="0" w:beforeAutospacing="0" w:after="0" w:afterAutospacing="0" w:line="540" w:lineRule="exact"/>
        <w:ind w:left="0" w:right="0" w:firstLine="3520" w:firstLineChars="1100"/>
        <w:jc w:val="both"/>
        <w:rPr>
          <w:rFonts w:hint="eastAsia" w:ascii="仿宋_GB2312" w:eastAsia="仿宋_GB2312" w:cs="仿宋_GB2312"/>
          <w:sz w:val="32"/>
          <w:szCs w:val="32"/>
          <w:lang w:val="en-US"/>
        </w:rPr>
      </w:pPr>
    </w:p>
    <w:p w14:paraId="7BE4A761">
      <w:pPr>
        <w:keepNext w:val="0"/>
        <w:keepLines w:val="0"/>
        <w:widowControl w:val="0"/>
        <w:suppressLineNumbers w:val="0"/>
        <w:spacing w:before="0" w:beforeAutospacing="0" w:after="0" w:afterAutospacing="0" w:line="540" w:lineRule="exact"/>
        <w:ind w:left="0" w:right="0" w:firstLine="3520" w:firstLineChars="11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中共湖南省委党校（湖南行政学院）</w:t>
      </w:r>
    </w:p>
    <w:p w14:paraId="412EB911">
      <w:pPr>
        <w:keepNext w:val="0"/>
        <w:keepLines w:val="0"/>
        <w:widowControl w:val="0"/>
        <w:suppressLineNumbers w:val="0"/>
        <w:spacing w:before="0" w:beforeAutospacing="0" w:after="0" w:afterAutospacing="0" w:line="540" w:lineRule="exact"/>
        <w:ind w:left="0" w:right="0"/>
        <w:jc w:val="center"/>
        <w:rPr>
          <w:lang w:val="en-US"/>
        </w:rPr>
      </w:pPr>
      <w:r>
        <w:rPr>
          <w:rFonts w:hint="eastAsia" w:ascii="仿宋_GB2312" w:hAnsi="Times New Roman" w:eastAsia="仿宋_GB2312" w:cs="仿宋_GB2312"/>
          <w:kern w:val="2"/>
          <w:sz w:val="32"/>
          <w:szCs w:val="32"/>
          <w:lang w:val="en-US" w:eastAsia="zh-CN" w:bidi="ar"/>
        </w:rPr>
        <w:t xml:space="preserve">                       2025年4月25日</w:t>
      </w:r>
    </w:p>
    <w:p w14:paraId="3FFE8604">
      <w:pPr>
        <w:rPr>
          <w:rFonts w:hint="eastAsia" w:ascii="黑体" w:hAnsi="宋体" w:eastAsia="黑体" w:cs="黑体"/>
          <w:kern w:val="2"/>
          <w:sz w:val="32"/>
          <w:szCs w:val="32"/>
          <w:lang w:val="en-US" w:eastAsia="zh-CN" w:bidi="ar"/>
        </w:rPr>
        <w:sectPr>
          <w:pgSz w:w="11906" w:h="16838"/>
          <w:pgMar w:top="2098" w:right="1474" w:bottom="1985" w:left="1588" w:header="851" w:footer="1588" w:gutter="0"/>
          <w:paperSrc/>
          <w:cols w:space="425" w:num="1"/>
          <w:docGrid w:type="linesAndChars" w:linePitch="634" w:charSpace="0"/>
        </w:sectPr>
      </w:pPr>
    </w:p>
    <w:p w14:paraId="7539AE27">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附件1</w:t>
      </w:r>
    </w:p>
    <w:p w14:paraId="21CD2E47">
      <w:pPr>
        <w:keepNext w:val="0"/>
        <w:keepLines w:val="0"/>
        <w:widowControl w:val="0"/>
        <w:suppressLineNumbers w:val="0"/>
        <w:spacing w:before="190" w:beforeLines="30" w:beforeAutospacing="0" w:after="0" w:afterAutospacing="0" w:line="560" w:lineRule="exact"/>
        <w:ind w:left="0" w:right="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2024年度部门整体支出绩效评价</w:t>
      </w:r>
    </w:p>
    <w:p w14:paraId="756AC8C7">
      <w:pPr>
        <w:keepNext w:val="0"/>
        <w:keepLines w:val="0"/>
        <w:widowControl w:val="0"/>
        <w:suppressLineNumbers w:val="0"/>
        <w:spacing w:before="0" w:beforeAutospacing="0" w:after="190" w:afterLines="30" w:afterAutospacing="0" w:line="560" w:lineRule="exact"/>
        <w:ind w:left="0" w:right="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基础数据项目表</w:t>
      </w:r>
    </w:p>
    <w:tbl>
      <w:tblPr>
        <w:tblStyle w:val="10"/>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57" w:type="dxa"/>
          <w:left w:w="108" w:type="dxa"/>
          <w:bottom w:w="0" w:type="dxa"/>
          <w:right w:w="108" w:type="dxa"/>
        </w:tblCellMar>
      </w:tblPr>
      <w:tblGrid>
        <w:gridCol w:w="2468"/>
        <w:gridCol w:w="1035"/>
        <w:gridCol w:w="1085"/>
        <w:gridCol w:w="1063"/>
        <w:gridCol w:w="1076"/>
        <w:gridCol w:w="1063"/>
        <w:gridCol w:w="1119"/>
      </w:tblGrid>
      <w:tr w14:paraId="5A74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vMerge w:val="restart"/>
            <w:tcBorders>
              <w:top w:val="single" w:color="auto" w:sz="4" w:space="0"/>
              <w:left w:val="single" w:color="auto" w:sz="4" w:space="0"/>
              <w:bottom w:val="single" w:color="auto" w:sz="4" w:space="0"/>
              <w:right w:val="single" w:color="auto" w:sz="4" w:space="0"/>
            </w:tcBorders>
            <w:shd w:val="clear"/>
            <w:vAlign w:val="center"/>
          </w:tcPr>
          <w:p w14:paraId="2AD96843">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财政供养人员情况</w:t>
            </w:r>
            <w:r>
              <w:rPr>
                <w:rFonts w:hint="eastAsia" w:ascii="宋体" w:hAnsi="宋体" w:eastAsia="宋体" w:cs="宋体"/>
                <w:bdr w:val="none" w:color="auto" w:sz="0" w:space="0"/>
                <w:lang w:val="en-US"/>
              </w:rPr>
              <w:t>(</w:t>
            </w:r>
            <w:r>
              <w:rPr>
                <w:rFonts w:hint="eastAsia" w:ascii="宋体" w:hAnsi="宋体" w:eastAsia="宋体" w:cs="宋体"/>
                <w:bdr w:val="none" w:color="auto" w:sz="0" w:space="0"/>
              </w:rPr>
              <w:t>人）</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7AB98E35">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编制数</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4574F9D1">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2024</w:t>
            </w:r>
            <w:r>
              <w:rPr>
                <w:rFonts w:hint="eastAsia" w:ascii="宋体" w:hAnsi="宋体" w:eastAsia="宋体" w:cs="宋体"/>
                <w:bdr w:val="none" w:color="auto" w:sz="0" w:space="0"/>
              </w:rPr>
              <w:t>年实际在职人数</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245E4DC7">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控制率</w:t>
            </w:r>
          </w:p>
        </w:tc>
      </w:tr>
      <w:tr w14:paraId="57DF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vMerge w:val="continue"/>
            <w:tcBorders>
              <w:top w:val="single" w:color="auto" w:sz="4" w:space="0"/>
              <w:left w:val="single" w:color="auto" w:sz="4" w:space="0"/>
              <w:bottom w:val="single" w:color="auto" w:sz="4" w:space="0"/>
              <w:right w:val="single" w:color="auto" w:sz="4" w:space="0"/>
            </w:tcBorders>
            <w:shd w:val="clear"/>
            <w:vAlign w:val="center"/>
          </w:tcPr>
          <w:p w14:paraId="4FF51D2B">
            <w:pPr>
              <w:rPr>
                <w:rFonts w:hint="default" w:ascii="Times New Roman" w:hAnsi="Times New Roman" w:cs="Times New Roman"/>
                <w:sz w:val="20"/>
                <w:szCs w:val="20"/>
              </w:rPr>
            </w:pP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72842E6A">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649</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39645CD0">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526</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32FCBCF9">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81.05%</w:t>
            </w:r>
          </w:p>
        </w:tc>
      </w:tr>
      <w:tr w14:paraId="4AD8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7A309E62">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经费控制情况（万元）</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5035D2AF">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2023</w:t>
            </w:r>
            <w:r>
              <w:rPr>
                <w:rFonts w:hint="eastAsia" w:ascii="宋体" w:hAnsi="宋体" w:eastAsia="宋体" w:cs="宋体"/>
                <w:bdr w:val="none" w:color="auto" w:sz="0" w:space="0"/>
              </w:rPr>
              <w:t>年决算数</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4200B705">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2024</w:t>
            </w:r>
            <w:r>
              <w:rPr>
                <w:rFonts w:hint="eastAsia" w:ascii="宋体" w:hAnsi="宋体" w:eastAsia="宋体" w:cs="宋体"/>
                <w:bdr w:val="none" w:color="auto" w:sz="0" w:space="0"/>
              </w:rPr>
              <w:t>年预算数</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636CF8EA">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2024</w:t>
            </w:r>
            <w:r>
              <w:rPr>
                <w:rFonts w:hint="eastAsia" w:ascii="宋体" w:hAnsi="宋体" w:eastAsia="宋体" w:cs="宋体"/>
                <w:bdr w:val="none" w:color="auto" w:sz="0" w:space="0"/>
              </w:rPr>
              <w:t>年决算数</w:t>
            </w:r>
          </w:p>
        </w:tc>
      </w:tr>
      <w:tr w14:paraId="3ECC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64556156">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三公经费：</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295B7DE7">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107.08</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38D817BA">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119</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5EF43F2B">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78.44</w:t>
            </w:r>
          </w:p>
        </w:tc>
      </w:tr>
      <w:tr w14:paraId="6EC0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5A187A89">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w:t>
            </w:r>
            <w:r>
              <w:rPr>
                <w:rFonts w:hint="eastAsia" w:ascii="宋体" w:hAnsi="宋体" w:eastAsia="宋体" w:cs="宋体"/>
                <w:bdr w:val="none" w:color="auto" w:sz="0" w:space="0"/>
              </w:rPr>
              <w:t>、</w:t>
            </w:r>
            <w:r>
              <w:rPr>
                <w:rFonts w:hint="eastAsia" w:ascii="宋体" w:hAnsi="宋体" w:eastAsia="宋体" w:cs="宋体"/>
                <w:spacing w:val="-11"/>
                <w:bdr w:val="none" w:color="auto" w:sz="0" w:space="0"/>
              </w:rPr>
              <w:t>公务用车购置和维护经费</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37814BEF">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96.77</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12BCEC62">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75</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4EDF253F">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49.82</w:t>
            </w:r>
          </w:p>
        </w:tc>
      </w:tr>
      <w:tr w14:paraId="1FCD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0FC7592B">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其中：公车购置</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1497CEBD">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42.88</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3865D4FC">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25</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4EAFDBF7">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0</w:t>
            </w:r>
          </w:p>
        </w:tc>
      </w:tr>
      <w:tr w14:paraId="6116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79CC4BB9">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公车运行维护</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2A1DA9D5">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53.89</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212DD013">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50</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3927F8F7">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49.82</w:t>
            </w:r>
          </w:p>
        </w:tc>
      </w:tr>
      <w:tr w14:paraId="40D9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06BE58DA">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r>
              <w:rPr>
                <w:rFonts w:hint="eastAsia" w:ascii="宋体" w:hAnsi="宋体" w:eastAsia="宋体" w:cs="宋体"/>
                <w:bdr w:val="none" w:color="auto" w:sz="0" w:space="0"/>
              </w:rPr>
              <w:t>、出国经费</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1943521B">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0</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7A519776">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20</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038587E4">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20</w:t>
            </w:r>
          </w:p>
        </w:tc>
      </w:tr>
      <w:tr w14:paraId="2FE2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7E33EB63">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r>
              <w:rPr>
                <w:rFonts w:hint="eastAsia" w:ascii="宋体" w:hAnsi="宋体" w:eastAsia="宋体" w:cs="宋体"/>
                <w:bdr w:val="none" w:color="auto" w:sz="0" w:space="0"/>
              </w:rPr>
              <w:t>、公务接待</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5489E313">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10.31</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2988AB31">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24</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20BC8F93">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8.62</w:t>
            </w:r>
          </w:p>
        </w:tc>
      </w:tr>
      <w:tr w14:paraId="1669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7A494A77">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项目支出：</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273100DB">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7261.26</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1715204B">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7801.39</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5984616B">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5774.40</w:t>
            </w:r>
          </w:p>
        </w:tc>
      </w:tr>
      <w:tr w14:paraId="25D5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603D1F6A">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w:t>
            </w:r>
            <w:r>
              <w:rPr>
                <w:rFonts w:hint="eastAsia" w:ascii="宋体" w:hAnsi="宋体" w:eastAsia="宋体" w:cs="宋体"/>
                <w:bdr w:val="none" w:color="auto" w:sz="0" w:space="0"/>
              </w:rPr>
              <w:t>、业务工作经费</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76FFEB07">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szCs w:val="20"/>
                <w:bdr w:val="none" w:color="auto" w:sz="0" w:space="0"/>
                <w:lang w:val="en-US"/>
              </w:rPr>
              <w:t>2747.36</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443CC9BC">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2356.97</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4F754479">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1204.00</w:t>
            </w:r>
          </w:p>
        </w:tc>
      </w:tr>
      <w:tr w14:paraId="15C4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1" w:hRule="atLeas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4FE73403">
            <w:pPr>
              <w:pStyle w:val="9"/>
              <w:widowControl/>
              <w:spacing w:before="0" w:beforeAutospacing="0" w:after="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r>
              <w:rPr>
                <w:rFonts w:hint="eastAsia" w:ascii="宋体" w:hAnsi="宋体" w:eastAsia="宋体" w:cs="宋体"/>
                <w:bdr w:val="none" w:color="auto" w:sz="0" w:space="0"/>
              </w:rPr>
              <w:t>、其他事业发展资金</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66C91ED9">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szCs w:val="20"/>
                <w:bdr w:val="none" w:color="auto" w:sz="0" w:space="0"/>
                <w:lang w:val="en-US"/>
              </w:rPr>
              <w:t>4513.90</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049008FF">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5444.42</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45C84931">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4570.40</w:t>
            </w:r>
          </w:p>
        </w:tc>
      </w:tr>
      <w:tr w14:paraId="0AA9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14"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01E23908">
            <w:pPr>
              <w:pStyle w:val="9"/>
              <w:widowControl/>
              <w:spacing w:before="0" w:beforeAutospacing="0" w:after="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 xml:space="preserve">         </w:t>
            </w:r>
            <w:r>
              <w:rPr>
                <w:rFonts w:hint="eastAsia" w:ascii="宋体" w:hAnsi="宋体" w:eastAsia="宋体" w:cs="宋体"/>
                <w:bdr w:val="none" w:color="auto" w:sz="0" w:space="0"/>
              </w:rPr>
              <w:t>……</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7451123C">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604C30CD">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40BECE11">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r>
      <w:tr w14:paraId="245B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09"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10482DE4">
            <w:pPr>
              <w:pStyle w:val="9"/>
              <w:widowControl/>
              <w:spacing w:before="0" w:beforeAutospacing="0" w:after="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r>
              <w:rPr>
                <w:rFonts w:hint="eastAsia" w:ascii="宋体" w:hAnsi="宋体" w:eastAsia="宋体" w:cs="宋体"/>
                <w:bdr w:val="none" w:color="auto" w:sz="0" w:space="0"/>
              </w:rPr>
              <w:t>、省级专项资金（每个专项一行）</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2AA7A01E">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750DF5C7">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2374FD16">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r>
      <w:tr w14:paraId="005F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30"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5CC3545B">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 xml:space="preserve">        </w:t>
            </w:r>
            <w:r>
              <w:rPr>
                <w:rFonts w:hint="eastAsia" w:ascii="宋体" w:hAnsi="宋体" w:eastAsia="宋体" w:cs="宋体"/>
                <w:bdr w:val="none" w:color="auto" w:sz="0" w:space="0"/>
              </w:rPr>
              <w:t>……</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666F0AFA">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17D8F220">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2B80414D">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r>
      <w:tr w14:paraId="203A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78F3FA2F">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公用经费</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5451DAF8">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2872.82</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735E6B83">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2783.58</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10254CE2">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2743.83</w:t>
            </w:r>
          </w:p>
        </w:tc>
      </w:tr>
      <w:tr w14:paraId="3E32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54D79DA0">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其中：办公费</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4A5C8858">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207.37</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40A9EC48">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252.04</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320B2A9E">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248.29</w:t>
            </w:r>
          </w:p>
        </w:tc>
      </w:tr>
      <w:tr w14:paraId="7722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6BACDA0E">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 xml:space="preserve">    </w:t>
            </w:r>
            <w:r>
              <w:rPr>
                <w:rFonts w:hint="eastAsia" w:ascii="宋体" w:hAnsi="宋体" w:eastAsia="宋体" w:cs="宋体"/>
                <w:bdr w:val="none" w:color="auto" w:sz="0" w:space="0"/>
              </w:rPr>
              <w:t>水费、电费、差旅费</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6915E010">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718.98</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1B314295">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796.10</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6FDD1331">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650.03</w:t>
            </w:r>
          </w:p>
        </w:tc>
      </w:tr>
      <w:tr w14:paraId="452A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12151803">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 xml:space="preserve">    </w:t>
            </w:r>
            <w:r>
              <w:rPr>
                <w:rFonts w:hint="eastAsia" w:ascii="宋体" w:hAnsi="宋体" w:eastAsia="宋体" w:cs="宋体"/>
                <w:bdr w:val="none" w:color="auto" w:sz="0" w:space="0"/>
              </w:rPr>
              <w:t>会议费、培训费</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3BF7E1C2">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29.66</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14EBA3BE">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68.35</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082F86F2">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41.38</w:t>
            </w:r>
          </w:p>
        </w:tc>
      </w:tr>
      <w:tr w14:paraId="1B6A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0C21B6FA">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政府采购金额</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1ED5EF8D">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2091.71</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6ECD7364">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100</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07EE7645">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2247.05</w:t>
            </w:r>
          </w:p>
        </w:tc>
      </w:tr>
      <w:tr w14:paraId="1942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3" w:hRule="exac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669E770E">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部门基本支出预算调整</w:t>
            </w:r>
          </w:p>
        </w:tc>
        <w:tc>
          <w:tcPr>
            <w:tcW w:w="2122" w:type="dxa"/>
            <w:gridSpan w:val="2"/>
            <w:tcBorders>
              <w:top w:val="single" w:color="auto" w:sz="4" w:space="0"/>
              <w:left w:val="single" w:color="auto" w:sz="4" w:space="0"/>
              <w:bottom w:val="single" w:color="auto" w:sz="4" w:space="0"/>
              <w:right w:val="single" w:color="auto" w:sz="4" w:space="0"/>
            </w:tcBorders>
            <w:shd w:val="clear"/>
            <w:vAlign w:val="center"/>
          </w:tcPr>
          <w:p w14:paraId="3F3A7213">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color w:val="000000"/>
                <w:bdr w:val="none" w:color="auto" w:sz="0" w:space="0"/>
                <w:lang w:val="en-US"/>
              </w:rPr>
              <w:t>19606.09</w:t>
            </w:r>
          </w:p>
        </w:tc>
        <w:tc>
          <w:tcPr>
            <w:tcW w:w="2141" w:type="dxa"/>
            <w:gridSpan w:val="2"/>
            <w:tcBorders>
              <w:top w:val="single" w:color="auto" w:sz="4" w:space="0"/>
              <w:left w:val="single" w:color="auto" w:sz="4" w:space="0"/>
              <w:bottom w:val="single" w:color="auto" w:sz="4" w:space="0"/>
              <w:right w:val="single" w:color="auto" w:sz="4" w:space="0"/>
            </w:tcBorders>
            <w:shd w:val="clear"/>
            <w:vAlign w:val="center"/>
          </w:tcPr>
          <w:p w14:paraId="5BA1316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lang w:val="en-US"/>
              </w:rPr>
              <w:t>18589.12</w:t>
            </w:r>
          </w:p>
        </w:tc>
        <w:tc>
          <w:tcPr>
            <w:tcW w:w="2184" w:type="dxa"/>
            <w:gridSpan w:val="2"/>
            <w:tcBorders>
              <w:top w:val="single" w:color="auto" w:sz="4" w:space="0"/>
              <w:left w:val="single" w:color="auto" w:sz="4" w:space="0"/>
              <w:bottom w:val="single" w:color="auto" w:sz="4" w:space="0"/>
              <w:right w:val="single" w:color="auto" w:sz="4" w:space="0"/>
            </w:tcBorders>
            <w:shd w:val="clear"/>
            <w:vAlign w:val="center"/>
          </w:tcPr>
          <w:p w14:paraId="53F991AD">
            <w:pPr>
              <w:pStyle w:val="9"/>
              <w:widowControl/>
              <w:tabs>
                <w:tab w:val="left" w:pos="499"/>
              </w:tabs>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bdr w:val="none" w:color="auto" w:sz="0" w:space="0"/>
                <w:lang w:val="en-US"/>
              </w:rPr>
              <w:t>18119.44</w:t>
            </w:r>
          </w:p>
        </w:tc>
      </w:tr>
      <w:tr w14:paraId="4AF7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37" w:hRule="atLeast"/>
          <w:jc w:val="center"/>
        </w:trPr>
        <w:tc>
          <w:tcPr>
            <w:tcW w:w="2470" w:type="dxa"/>
            <w:vMerge w:val="restart"/>
            <w:tcBorders>
              <w:top w:val="single" w:color="auto" w:sz="4" w:space="0"/>
              <w:left w:val="single" w:color="auto" w:sz="4" w:space="0"/>
              <w:bottom w:val="single" w:color="auto" w:sz="4" w:space="0"/>
              <w:right w:val="single" w:color="auto" w:sz="4" w:space="0"/>
            </w:tcBorders>
            <w:shd w:val="clear"/>
            <w:vAlign w:val="center"/>
          </w:tcPr>
          <w:p w14:paraId="2D34231A">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楼堂馆所控制情况</w:t>
            </w:r>
            <w:r>
              <w:rPr>
                <w:rFonts w:hint="eastAsia" w:ascii="宋体" w:hAnsi="宋体" w:eastAsia="宋体" w:cs="宋体"/>
                <w:bdr w:val="none" w:color="auto" w:sz="0" w:space="0"/>
                <w:lang w:val="en-US"/>
              </w:rPr>
              <w:br w:type="textWrapping"/>
            </w:r>
            <w:r>
              <w:rPr>
                <w:rFonts w:hint="eastAsia" w:ascii="宋体" w:hAnsi="宋体" w:eastAsia="宋体" w:cs="宋体"/>
                <w:bdr w:val="none" w:color="auto" w:sz="0" w:space="0"/>
              </w:rPr>
              <w:t>（</w:t>
            </w:r>
            <w:r>
              <w:rPr>
                <w:rFonts w:hint="eastAsia" w:ascii="宋体" w:hAnsi="宋体" w:eastAsia="宋体" w:cs="宋体"/>
                <w:bdr w:val="none" w:color="auto" w:sz="0" w:space="0"/>
                <w:lang w:val="en-US"/>
              </w:rPr>
              <w:t>2024</w:t>
            </w:r>
            <w:r>
              <w:rPr>
                <w:rFonts w:hint="eastAsia" w:ascii="宋体" w:hAnsi="宋体" w:eastAsia="宋体" w:cs="宋体"/>
                <w:bdr w:val="none" w:color="auto" w:sz="0" w:space="0"/>
              </w:rPr>
              <w:t>年完工项目）</w:t>
            </w:r>
          </w:p>
        </w:tc>
        <w:tc>
          <w:tcPr>
            <w:tcW w:w="1036" w:type="dxa"/>
            <w:tcBorders>
              <w:top w:val="single" w:color="auto" w:sz="4" w:space="0"/>
              <w:left w:val="single" w:color="auto" w:sz="4" w:space="0"/>
              <w:bottom w:val="single" w:color="auto" w:sz="4" w:space="0"/>
              <w:right w:val="single" w:color="auto" w:sz="4" w:space="0"/>
            </w:tcBorders>
            <w:shd w:val="clear"/>
            <w:vAlign w:val="center"/>
          </w:tcPr>
          <w:p w14:paraId="59DE7CE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批复规模</w:t>
            </w:r>
            <w:r>
              <w:rPr>
                <w:rFonts w:hint="eastAsia" w:ascii="宋体" w:hAnsi="宋体" w:eastAsia="宋体" w:cs="宋体"/>
                <w:bdr w:val="none" w:color="auto" w:sz="0" w:space="0"/>
                <w:lang w:val="en-US"/>
              </w:rPr>
              <w:br w:type="textWrapping"/>
            </w:r>
            <w:r>
              <w:rPr>
                <w:rFonts w:hint="eastAsia" w:ascii="宋体" w:hAnsi="宋体" w:eastAsia="宋体" w:cs="宋体"/>
                <w:bdr w:val="none" w:color="auto" w:sz="0" w:space="0"/>
              </w:rPr>
              <w:t>（㎡）</w:t>
            </w:r>
          </w:p>
        </w:tc>
        <w:tc>
          <w:tcPr>
            <w:tcW w:w="1086" w:type="dxa"/>
            <w:tcBorders>
              <w:top w:val="single" w:color="auto" w:sz="4" w:space="0"/>
              <w:left w:val="single" w:color="auto" w:sz="4" w:space="0"/>
              <w:bottom w:val="single" w:color="auto" w:sz="4" w:space="0"/>
              <w:right w:val="single" w:color="auto" w:sz="4" w:space="0"/>
            </w:tcBorders>
            <w:shd w:val="clear"/>
            <w:vAlign w:val="center"/>
          </w:tcPr>
          <w:p w14:paraId="24339375">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实际规模（㎡）</w:t>
            </w:r>
          </w:p>
        </w:tc>
        <w:tc>
          <w:tcPr>
            <w:tcW w:w="1064" w:type="dxa"/>
            <w:tcBorders>
              <w:top w:val="single" w:color="auto" w:sz="4" w:space="0"/>
              <w:left w:val="single" w:color="auto" w:sz="4" w:space="0"/>
              <w:bottom w:val="single" w:color="auto" w:sz="4" w:space="0"/>
              <w:right w:val="single" w:color="auto" w:sz="4" w:space="0"/>
            </w:tcBorders>
            <w:shd w:val="clear"/>
            <w:vAlign w:val="center"/>
          </w:tcPr>
          <w:p w14:paraId="7420A3D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规模</w:t>
            </w:r>
          </w:p>
          <w:p w14:paraId="759DC6E8">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控制率</w:t>
            </w:r>
          </w:p>
        </w:tc>
        <w:tc>
          <w:tcPr>
            <w:tcW w:w="1077" w:type="dxa"/>
            <w:tcBorders>
              <w:top w:val="single" w:color="auto" w:sz="4" w:space="0"/>
              <w:left w:val="single" w:color="auto" w:sz="4" w:space="0"/>
              <w:bottom w:val="single" w:color="auto" w:sz="4" w:space="0"/>
              <w:right w:val="single" w:color="auto" w:sz="4" w:space="0"/>
            </w:tcBorders>
            <w:shd w:val="clear"/>
            <w:vAlign w:val="center"/>
          </w:tcPr>
          <w:p w14:paraId="3C20839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预算投资（万元）</w:t>
            </w:r>
          </w:p>
        </w:tc>
        <w:tc>
          <w:tcPr>
            <w:tcW w:w="1064" w:type="dxa"/>
            <w:tcBorders>
              <w:top w:val="single" w:color="auto" w:sz="4" w:space="0"/>
              <w:left w:val="single" w:color="auto" w:sz="4" w:space="0"/>
              <w:bottom w:val="single" w:color="auto" w:sz="4" w:space="0"/>
              <w:right w:val="single" w:color="auto" w:sz="4" w:space="0"/>
            </w:tcBorders>
            <w:shd w:val="clear"/>
            <w:vAlign w:val="center"/>
          </w:tcPr>
          <w:p w14:paraId="7412A018">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spacing w:val="-20"/>
                <w:bdr w:val="none" w:color="auto" w:sz="0" w:space="0"/>
              </w:rPr>
              <w:t>实际投资</w:t>
            </w:r>
            <w:r>
              <w:rPr>
                <w:rFonts w:hint="eastAsia" w:ascii="宋体" w:hAnsi="宋体" w:eastAsia="宋体" w:cs="宋体"/>
                <w:bdr w:val="none" w:color="auto" w:sz="0" w:space="0"/>
              </w:rPr>
              <w:t>（万元）</w:t>
            </w:r>
          </w:p>
        </w:tc>
        <w:tc>
          <w:tcPr>
            <w:tcW w:w="1120" w:type="dxa"/>
            <w:tcBorders>
              <w:top w:val="single" w:color="auto" w:sz="4" w:space="0"/>
              <w:left w:val="single" w:color="auto" w:sz="4" w:space="0"/>
              <w:bottom w:val="single" w:color="auto" w:sz="4" w:space="0"/>
              <w:right w:val="single" w:color="auto" w:sz="4" w:space="0"/>
            </w:tcBorders>
            <w:shd w:val="clear"/>
            <w:vAlign w:val="center"/>
          </w:tcPr>
          <w:p w14:paraId="332D801C">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投资概算控制率</w:t>
            </w:r>
          </w:p>
        </w:tc>
      </w:tr>
      <w:tr w14:paraId="0E38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00" w:hRule="exact"/>
          <w:jc w:val="center"/>
        </w:trPr>
        <w:tc>
          <w:tcPr>
            <w:tcW w:w="2470" w:type="dxa"/>
            <w:vMerge w:val="continue"/>
            <w:tcBorders>
              <w:top w:val="single" w:color="auto" w:sz="4" w:space="0"/>
              <w:left w:val="single" w:color="auto" w:sz="4" w:space="0"/>
              <w:bottom w:val="single" w:color="auto" w:sz="4" w:space="0"/>
              <w:right w:val="single" w:color="auto" w:sz="4" w:space="0"/>
            </w:tcBorders>
            <w:shd w:val="clear"/>
            <w:vAlign w:val="center"/>
          </w:tcPr>
          <w:p w14:paraId="40866667">
            <w:pPr>
              <w:rPr>
                <w:rFonts w:hint="default" w:ascii="Times New Roman" w:hAnsi="Times New Roman" w:cs="Times New Roman"/>
                <w:sz w:val="20"/>
                <w:szCs w:val="20"/>
              </w:rPr>
            </w:pPr>
          </w:p>
        </w:tc>
        <w:tc>
          <w:tcPr>
            <w:tcW w:w="1036" w:type="dxa"/>
            <w:tcBorders>
              <w:top w:val="single" w:color="auto" w:sz="4" w:space="0"/>
              <w:left w:val="single" w:color="auto" w:sz="4" w:space="0"/>
              <w:bottom w:val="single" w:color="auto" w:sz="4" w:space="0"/>
              <w:right w:val="single" w:color="auto" w:sz="4" w:space="0"/>
            </w:tcBorders>
            <w:shd w:val="clear"/>
            <w:vAlign w:val="center"/>
          </w:tcPr>
          <w:p w14:paraId="19A64B8C">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1086" w:type="dxa"/>
            <w:tcBorders>
              <w:top w:val="single" w:color="auto" w:sz="4" w:space="0"/>
              <w:left w:val="single" w:color="auto" w:sz="4" w:space="0"/>
              <w:bottom w:val="single" w:color="auto" w:sz="4" w:space="0"/>
              <w:right w:val="single" w:color="auto" w:sz="4" w:space="0"/>
            </w:tcBorders>
            <w:shd w:val="clear"/>
            <w:vAlign w:val="center"/>
          </w:tcPr>
          <w:p w14:paraId="73E6A7D8">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1064" w:type="dxa"/>
            <w:tcBorders>
              <w:top w:val="single" w:color="auto" w:sz="4" w:space="0"/>
              <w:left w:val="single" w:color="auto" w:sz="4" w:space="0"/>
              <w:bottom w:val="single" w:color="auto" w:sz="4" w:space="0"/>
              <w:right w:val="single" w:color="auto" w:sz="4" w:space="0"/>
            </w:tcBorders>
            <w:shd w:val="clear"/>
            <w:vAlign w:val="center"/>
          </w:tcPr>
          <w:p w14:paraId="2C01D4A9">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1077" w:type="dxa"/>
            <w:tcBorders>
              <w:top w:val="single" w:color="auto" w:sz="4" w:space="0"/>
              <w:left w:val="single" w:color="auto" w:sz="4" w:space="0"/>
              <w:bottom w:val="single" w:color="auto" w:sz="4" w:space="0"/>
              <w:right w:val="single" w:color="auto" w:sz="4" w:space="0"/>
            </w:tcBorders>
            <w:shd w:val="clear"/>
            <w:vAlign w:val="center"/>
          </w:tcPr>
          <w:p w14:paraId="233AB4DE">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1064" w:type="dxa"/>
            <w:tcBorders>
              <w:top w:val="single" w:color="auto" w:sz="4" w:space="0"/>
              <w:left w:val="single" w:color="auto" w:sz="4" w:space="0"/>
              <w:bottom w:val="single" w:color="auto" w:sz="4" w:space="0"/>
              <w:right w:val="single" w:color="auto" w:sz="4" w:space="0"/>
            </w:tcBorders>
            <w:shd w:val="clear"/>
            <w:vAlign w:val="center"/>
          </w:tcPr>
          <w:p w14:paraId="202B0A58">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c>
          <w:tcPr>
            <w:tcW w:w="1120" w:type="dxa"/>
            <w:tcBorders>
              <w:top w:val="single" w:color="auto" w:sz="4" w:space="0"/>
              <w:left w:val="single" w:color="auto" w:sz="4" w:space="0"/>
              <w:bottom w:val="single" w:color="auto" w:sz="4" w:space="0"/>
              <w:right w:val="single" w:color="auto" w:sz="4" w:space="0"/>
            </w:tcBorders>
            <w:shd w:val="clear"/>
            <w:vAlign w:val="center"/>
          </w:tcPr>
          <w:p w14:paraId="500CF0B2">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bdr w:val="none" w:color="auto" w:sz="0" w:space="0"/>
                <w:lang w:val="en-US"/>
              </w:rPr>
            </w:pPr>
          </w:p>
        </w:tc>
      </w:tr>
      <w:tr w14:paraId="3E6A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273" w:hRule="atLeast"/>
          <w:jc w:val="center"/>
        </w:trPr>
        <w:tc>
          <w:tcPr>
            <w:tcW w:w="2470" w:type="dxa"/>
            <w:tcBorders>
              <w:top w:val="single" w:color="auto" w:sz="4" w:space="0"/>
              <w:left w:val="single" w:color="auto" w:sz="4" w:space="0"/>
              <w:bottom w:val="single" w:color="auto" w:sz="4" w:space="0"/>
              <w:right w:val="single" w:color="auto" w:sz="4" w:space="0"/>
            </w:tcBorders>
            <w:shd w:val="clear"/>
            <w:vAlign w:val="center"/>
          </w:tcPr>
          <w:p w14:paraId="481C6394">
            <w:pPr>
              <w:pStyle w:val="9"/>
              <w:widowControl/>
              <w:spacing w:before="0" w:beforeAutospacing="0" w:after="120" w:afterAutospacing="0" w:line="24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厉行节约保障措施</w:t>
            </w:r>
          </w:p>
        </w:tc>
        <w:tc>
          <w:tcPr>
            <w:tcW w:w="6447" w:type="dxa"/>
            <w:gridSpan w:val="6"/>
            <w:tcBorders>
              <w:top w:val="single" w:color="auto" w:sz="4" w:space="0"/>
              <w:left w:val="single" w:color="auto" w:sz="4" w:space="0"/>
              <w:bottom w:val="single" w:color="auto" w:sz="4" w:space="0"/>
              <w:right w:val="single" w:color="auto" w:sz="4" w:space="0"/>
            </w:tcBorders>
            <w:shd w:val="clear"/>
            <w:vAlign w:val="center"/>
          </w:tcPr>
          <w:p w14:paraId="4CDF99C8">
            <w:pPr>
              <w:pStyle w:val="9"/>
              <w:widowControl/>
              <w:spacing w:before="0" w:beforeAutospacing="0" w:after="120" w:afterAutospacing="0" w:line="240" w:lineRule="exact"/>
              <w:ind w:left="0" w:leftChars="0" w:right="0" w:firstLine="0" w:firstLineChars="0"/>
              <w:rPr>
                <w:rFonts w:hint="eastAsia" w:ascii="宋体" w:hAnsi="宋体" w:eastAsia="宋体" w:cs="宋体"/>
                <w:sz w:val="18"/>
                <w:szCs w:val="18"/>
                <w:bdr w:val="none" w:color="auto" w:sz="0" w:space="0"/>
                <w:lang w:val="en-US"/>
              </w:rPr>
            </w:pPr>
            <w:r>
              <w:rPr>
                <w:rFonts w:hint="eastAsia" w:ascii="宋体" w:hAnsi="宋体" w:eastAsia="宋体" w:cs="宋体"/>
                <w:sz w:val="18"/>
                <w:szCs w:val="18"/>
                <w:bdr w:val="none" w:color="auto" w:sz="0" w:space="0"/>
              </w:rPr>
              <w:t>校（院）委严格落实“习惯过紧日子”要求，始终从讲政治高度坚决落实“零基预算”改革要求，厉行勤俭节约，坚决压缩非必要不合理开支，规范公务接待，严格公务用车管理，规范差旅管理，带头精简办文办会，优化资源配置。确保每一分钱都用在保障教学科研的“刀刃上”。</w:t>
            </w:r>
          </w:p>
        </w:tc>
      </w:tr>
    </w:tbl>
    <w:p w14:paraId="58089802">
      <w:pPr>
        <w:keepNext w:val="0"/>
        <w:keepLines w:val="0"/>
        <w:widowControl w:val="0"/>
        <w:suppressLineNumbers w:val="0"/>
        <w:spacing w:before="126" w:beforeLines="20" w:beforeAutospacing="0" w:after="0" w:afterAutospacing="0" w:line="280" w:lineRule="exact"/>
        <w:ind w:left="0" w:right="0" w:firstLine="480" w:firstLineChars="200"/>
        <w:jc w:val="both"/>
        <w:rPr>
          <w:rFonts w:hint="eastAsia" w:ascii="楷体_GB2312" w:eastAsia="楷体_GB2312" w:cs="楷体_GB2312"/>
          <w:sz w:val="24"/>
          <w:szCs w:val="24"/>
          <w:lang w:val="en-US"/>
        </w:rPr>
      </w:pPr>
      <w:r>
        <w:rPr>
          <w:rFonts w:hint="eastAsia" w:ascii="楷体_GB2312" w:hAnsi="Times New Roman" w:eastAsia="楷体_GB2312" w:cs="楷体_GB2312"/>
          <w:kern w:val="2"/>
          <w:sz w:val="24"/>
          <w:szCs w:val="24"/>
          <w:lang w:val="en-US" w:eastAsia="zh-CN" w:bidi="ar"/>
        </w:rPr>
        <w:t>说明：“项目支出”需要填报基本支出以外的所有项目支出情况，“公用经费”填报基本支出中的一般商品和服务支出。</w:t>
      </w:r>
    </w:p>
    <w:p w14:paraId="1D27AF64">
      <w:pPr>
        <w:keepNext w:val="0"/>
        <w:keepLines w:val="0"/>
        <w:widowControl w:val="0"/>
        <w:suppressLineNumbers w:val="0"/>
        <w:spacing w:before="126" w:beforeLines="20" w:beforeAutospacing="0" w:after="0" w:afterAutospacing="0" w:line="40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附件2</w:t>
      </w:r>
    </w:p>
    <w:p w14:paraId="47F855BE">
      <w:pPr>
        <w:pStyle w:val="9"/>
        <w:widowControl/>
        <w:spacing w:before="0" w:beforeAutospacing="0" w:after="0" w:afterAutospacing="0" w:line="600" w:lineRule="exact"/>
        <w:ind w:left="0" w:leftChars="0" w:right="0" w:firstLine="0" w:firstLineChars="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2024</w:t>
      </w:r>
      <w:r>
        <w:rPr>
          <w:rFonts w:hint="eastAsia" w:ascii="方正小标宋简体" w:hAnsi="方正小标宋简体" w:eastAsia="方正小标宋简体" w:cs="方正小标宋简体"/>
          <w:sz w:val="44"/>
          <w:szCs w:val="44"/>
          <w:lang w:eastAsia="zh-CN"/>
        </w:rPr>
        <w:t>年度部门整体支出绩效自评表</w:t>
      </w:r>
    </w:p>
    <w:tbl>
      <w:tblPr>
        <w:tblStyle w:val="10"/>
        <w:tblW w:w="9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07"/>
        <w:gridCol w:w="774"/>
        <w:gridCol w:w="609"/>
        <w:gridCol w:w="1275"/>
        <w:gridCol w:w="338"/>
        <w:gridCol w:w="699"/>
        <w:gridCol w:w="636"/>
        <w:gridCol w:w="768"/>
        <w:gridCol w:w="564"/>
        <w:gridCol w:w="36"/>
        <w:gridCol w:w="663"/>
        <w:gridCol w:w="270"/>
        <w:gridCol w:w="481"/>
        <w:gridCol w:w="1023"/>
      </w:tblGrid>
      <w:tr w14:paraId="768A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jc w:val="center"/>
        </w:trPr>
        <w:tc>
          <w:tcPr>
            <w:tcW w:w="907" w:type="dxa"/>
            <w:tcBorders>
              <w:top w:val="single" w:color="auto" w:sz="4" w:space="0"/>
              <w:left w:val="single" w:color="auto" w:sz="4" w:space="0"/>
              <w:bottom w:val="single" w:color="auto" w:sz="4" w:space="0"/>
              <w:right w:val="single" w:color="auto" w:sz="4" w:space="0"/>
            </w:tcBorders>
            <w:shd w:val="clear"/>
            <w:vAlign w:val="center"/>
          </w:tcPr>
          <w:p w14:paraId="12E269E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省级预算部门名</w:t>
            </w:r>
            <w:r>
              <w:rPr>
                <w:rFonts w:hint="eastAsia" w:ascii="宋体" w:hAnsi="宋体" w:eastAsia="宋体" w:cs="宋体"/>
                <w:bdr w:val="none" w:color="auto" w:sz="0" w:space="0"/>
                <w:lang w:val="en-US"/>
              </w:rPr>
              <w:t xml:space="preserve">  </w:t>
            </w:r>
            <w:r>
              <w:rPr>
                <w:rFonts w:hint="eastAsia" w:ascii="宋体" w:hAnsi="宋体" w:eastAsia="宋体" w:cs="宋体"/>
                <w:bdr w:val="none" w:color="auto" w:sz="0" w:space="0"/>
              </w:rPr>
              <w:t>称</w:t>
            </w:r>
          </w:p>
        </w:tc>
        <w:tc>
          <w:tcPr>
            <w:tcW w:w="8136" w:type="dxa"/>
            <w:gridSpan w:val="13"/>
            <w:tcBorders>
              <w:top w:val="single" w:color="auto" w:sz="4" w:space="0"/>
              <w:left w:val="nil"/>
              <w:bottom w:val="single" w:color="auto" w:sz="4" w:space="0"/>
              <w:right w:val="single" w:color="auto" w:sz="4" w:space="0"/>
            </w:tcBorders>
            <w:shd w:val="clear"/>
            <w:vAlign w:val="center"/>
          </w:tcPr>
          <w:p w14:paraId="55A5E640">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中共湖南省委党校（湖南行政学院）</w:t>
            </w:r>
          </w:p>
        </w:tc>
      </w:tr>
      <w:tr w14:paraId="5862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907" w:type="dxa"/>
            <w:vMerge w:val="restart"/>
            <w:tcBorders>
              <w:top w:val="nil"/>
              <w:left w:val="single" w:color="auto" w:sz="4" w:space="0"/>
              <w:bottom w:val="single" w:color="auto" w:sz="4" w:space="0"/>
              <w:right w:val="single" w:color="auto" w:sz="4" w:space="0"/>
            </w:tcBorders>
            <w:shd w:val="clear"/>
            <w:vAlign w:val="center"/>
          </w:tcPr>
          <w:p w14:paraId="0C50C7E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年度预</w:t>
            </w:r>
          </w:p>
          <w:p w14:paraId="5DCE5A3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算申请</w:t>
            </w:r>
            <w:r>
              <w:rPr>
                <w:rFonts w:hint="eastAsia" w:ascii="宋体" w:hAnsi="宋体" w:eastAsia="宋体" w:cs="宋体"/>
                <w:bdr w:val="none" w:color="auto" w:sz="0" w:space="0"/>
                <w:lang w:val="en-US"/>
              </w:rPr>
              <w:br w:type="textWrapping"/>
            </w:r>
            <w:r>
              <w:rPr>
                <w:rFonts w:hint="eastAsia" w:ascii="宋体" w:hAnsi="宋体" w:eastAsia="宋体" w:cs="宋体"/>
                <w:bdr w:val="none" w:color="auto" w:sz="0" w:space="0"/>
              </w:rPr>
              <w:t>（万元）</w:t>
            </w:r>
          </w:p>
        </w:tc>
        <w:tc>
          <w:tcPr>
            <w:tcW w:w="1383" w:type="dxa"/>
            <w:gridSpan w:val="2"/>
            <w:tcBorders>
              <w:top w:val="nil"/>
              <w:left w:val="nil"/>
              <w:bottom w:val="single" w:color="auto" w:sz="4" w:space="0"/>
              <w:right w:val="single" w:color="auto" w:sz="4" w:space="0"/>
            </w:tcBorders>
            <w:shd w:val="clear"/>
            <w:vAlign w:val="center"/>
          </w:tcPr>
          <w:p w14:paraId="3DEB296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p>
        </w:tc>
        <w:tc>
          <w:tcPr>
            <w:tcW w:w="1275" w:type="dxa"/>
            <w:tcBorders>
              <w:top w:val="nil"/>
              <w:left w:val="nil"/>
              <w:bottom w:val="single" w:color="auto" w:sz="4" w:space="0"/>
              <w:right w:val="single" w:color="auto" w:sz="4" w:space="0"/>
            </w:tcBorders>
            <w:shd w:val="clear"/>
            <w:vAlign w:val="center"/>
          </w:tcPr>
          <w:p w14:paraId="73B50D9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年初</w:t>
            </w:r>
          </w:p>
          <w:p w14:paraId="595E287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预算数</w:t>
            </w:r>
          </w:p>
        </w:tc>
        <w:tc>
          <w:tcPr>
            <w:tcW w:w="1037" w:type="dxa"/>
            <w:gridSpan w:val="2"/>
            <w:tcBorders>
              <w:top w:val="nil"/>
              <w:left w:val="nil"/>
              <w:bottom w:val="single" w:color="auto" w:sz="4" w:space="0"/>
              <w:right w:val="single" w:color="auto" w:sz="4" w:space="0"/>
            </w:tcBorders>
            <w:shd w:val="clear"/>
            <w:vAlign w:val="center"/>
          </w:tcPr>
          <w:p w14:paraId="50D86EB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全年</w:t>
            </w:r>
          </w:p>
          <w:p w14:paraId="5A50D5C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预算数</w:t>
            </w:r>
          </w:p>
        </w:tc>
        <w:tc>
          <w:tcPr>
            <w:tcW w:w="1404" w:type="dxa"/>
            <w:gridSpan w:val="2"/>
            <w:tcBorders>
              <w:top w:val="nil"/>
              <w:left w:val="nil"/>
              <w:bottom w:val="single" w:color="auto" w:sz="4" w:space="0"/>
              <w:right w:val="single" w:color="auto" w:sz="4" w:space="0"/>
            </w:tcBorders>
            <w:shd w:val="clear"/>
            <w:vAlign w:val="center"/>
          </w:tcPr>
          <w:p w14:paraId="421E9B5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全年执行数</w:t>
            </w:r>
          </w:p>
        </w:tc>
        <w:tc>
          <w:tcPr>
            <w:tcW w:w="600" w:type="dxa"/>
            <w:gridSpan w:val="2"/>
            <w:tcBorders>
              <w:top w:val="nil"/>
              <w:left w:val="nil"/>
              <w:bottom w:val="single" w:color="auto" w:sz="4" w:space="0"/>
              <w:right w:val="single" w:color="auto" w:sz="4" w:space="0"/>
            </w:tcBorders>
            <w:shd w:val="clear"/>
            <w:vAlign w:val="center"/>
          </w:tcPr>
          <w:p w14:paraId="6B5D71C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分值</w:t>
            </w:r>
          </w:p>
        </w:tc>
        <w:tc>
          <w:tcPr>
            <w:tcW w:w="933" w:type="dxa"/>
            <w:gridSpan w:val="2"/>
            <w:tcBorders>
              <w:top w:val="nil"/>
              <w:left w:val="nil"/>
              <w:bottom w:val="single" w:color="auto" w:sz="4" w:space="0"/>
              <w:right w:val="single" w:color="auto" w:sz="4" w:space="0"/>
            </w:tcBorders>
            <w:shd w:val="clear"/>
            <w:vAlign w:val="center"/>
          </w:tcPr>
          <w:p w14:paraId="185F2F7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执行率</w:t>
            </w:r>
          </w:p>
        </w:tc>
        <w:tc>
          <w:tcPr>
            <w:tcW w:w="1504" w:type="dxa"/>
            <w:gridSpan w:val="2"/>
            <w:tcBorders>
              <w:top w:val="nil"/>
              <w:left w:val="nil"/>
              <w:bottom w:val="single" w:color="auto" w:sz="4" w:space="0"/>
              <w:right w:val="single" w:color="auto" w:sz="4" w:space="0"/>
            </w:tcBorders>
            <w:shd w:val="clear"/>
            <w:vAlign w:val="center"/>
          </w:tcPr>
          <w:p w14:paraId="387A47B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得分</w:t>
            </w:r>
          </w:p>
        </w:tc>
      </w:tr>
      <w:tr w14:paraId="149F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907" w:type="dxa"/>
            <w:vMerge w:val="continue"/>
            <w:tcBorders>
              <w:top w:val="nil"/>
              <w:left w:val="single" w:color="auto" w:sz="4" w:space="0"/>
              <w:bottom w:val="single" w:color="auto" w:sz="4" w:space="0"/>
              <w:right w:val="single" w:color="auto" w:sz="4" w:space="0"/>
            </w:tcBorders>
            <w:shd w:val="clear"/>
            <w:vAlign w:val="center"/>
          </w:tcPr>
          <w:p w14:paraId="401AC213">
            <w:pPr>
              <w:rPr>
                <w:rFonts w:hint="default" w:ascii="Times New Roman" w:hAnsi="Times New Roman" w:cs="Times New Roman"/>
                <w:sz w:val="20"/>
                <w:szCs w:val="20"/>
              </w:rPr>
            </w:pPr>
          </w:p>
        </w:tc>
        <w:tc>
          <w:tcPr>
            <w:tcW w:w="1383" w:type="dxa"/>
            <w:gridSpan w:val="2"/>
            <w:tcBorders>
              <w:top w:val="nil"/>
              <w:left w:val="nil"/>
              <w:bottom w:val="single" w:color="auto" w:sz="4" w:space="0"/>
              <w:right w:val="single" w:color="auto" w:sz="4" w:space="0"/>
            </w:tcBorders>
            <w:shd w:val="clear"/>
            <w:tcMar>
              <w:left w:w="28" w:type="dxa"/>
              <w:right w:w="28" w:type="dxa"/>
            </w:tcMar>
            <w:vAlign w:val="center"/>
          </w:tcPr>
          <w:p w14:paraId="6D5C758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年度资金总额</w:t>
            </w:r>
          </w:p>
        </w:tc>
        <w:tc>
          <w:tcPr>
            <w:tcW w:w="1275" w:type="dxa"/>
            <w:tcBorders>
              <w:top w:val="nil"/>
              <w:left w:val="nil"/>
              <w:bottom w:val="single" w:color="auto" w:sz="4" w:space="0"/>
              <w:right w:val="single" w:color="auto" w:sz="4" w:space="0"/>
            </w:tcBorders>
            <w:shd w:val="clear"/>
            <w:vAlign w:val="center"/>
          </w:tcPr>
          <w:p w14:paraId="31E4FDA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22109.01</w:t>
            </w:r>
          </w:p>
        </w:tc>
        <w:tc>
          <w:tcPr>
            <w:tcW w:w="1037" w:type="dxa"/>
            <w:gridSpan w:val="2"/>
            <w:tcBorders>
              <w:top w:val="nil"/>
              <w:left w:val="nil"/>
              <w:bottom w:val="single" w:color="auto" w:sz="4" w:space="0"/>
              <w:right w:val="single" w:color="auto" w:sz="4" w:space="0"/>
            </w:tcBorders>
            <w:shd w:val="clear"/>
            <w:vAlign w:val="center"/>
          </w:tcPr>
          <w:p w14:paraId="5F9C156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26390.51</w:t>
            </w:r>
          </w:p>
        </w:tc>
        <w:tc>
          <w:tcPr>
            <w:tcW w:w="1404" w:type="dxa"/>
            <w:gridSpan w:val="2"/>
            <w:tcBorders>
              <w:top w:val="nil"/>
              <w:left w:val="nil"/>
              <w:bottom w:val="single" w:color="auto" w:sz="4" w:space="0"/>
              <w:right w:val="single" w:color="auto" w:sz="4" w:space="0"/>
            </w:tcBorders>
            <w:shd w:val="clear"/>
            <w:vAlign w:val="center"/>
          </w:tcPr>
          <w:p w14:paraId="06EAB703">
            <w:pPr>
              <w:pStyle w:val="9"/>
              <w:widowControl/>
              <w:tabs>
                <w:tab w:val="left" w:pos="499"/>
              </w:tabs>
              <w:spacing w:before="0" w:beforeAutospacing="0" w:after="0" w:afterAutospacing="0" w:line="220" w:lineRule="exact"/>
              <w:ind w:left="0" w:leftChars="0" w:right="0" w:firstLine="0" w:firstLineChars="0"/>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 xml:space="preserve">  23893.84</w:t>
            </w:r>
          </w:p>
        </w:tc>
        <w:tc>
          <w:tcPr>
            <w:tcW w:w="600" w:type="dxa"/>
            <w:gridSpan w:val="2"/>
            <w:tcBorders>
              <w:top w:val="nil"/>
              <w:left w:val="nil"/>
              <w:bottom w:val="single" w:color="auto" w:sz="4" w:space="0"/>
              <w:right w:val="single" w:color="auto" w:sz="4" w:space="0"/>
            </w:tcBorders>
            <w:shd w:val="clear"/>
            <w:vAlign w:val="center"/>
          </w:tcPr>
          <w:p w14:paraId="43C1CF3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10</w:t>
            </w:r>
          </w:p>
        </w:tc>
        <w:tc>
          <w:tcPr>
            <w:tcW w:w="933" w:type="dxa"/>
            <w:gridSpan w:val="2"/>
            <w:tcBorders>
              <w:top w:val="nil"/>
              <w:left w:val="nil"/>
              <w:bottom w:val="single" w:color="auto" w:sz="4" w:space="0"/>
              <w:right w:val="single" w:color="auto" w:sz="4" w:space="0"/>
            </w:tcBorders>
            <w:shd w:val="clear"/>
            <w:vAlign w:val="center"/>
          </w:tcPr>
          <w:p w14:paraId="069F3BB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90.54%</w:t>
            </w:r>
          </w:p>
        </w:tc>
        <w:tc>
          <w:tcPr>
            <w:tcW w:w="1504" w:type="dxa"/>
            <w:gridSpan w:val="2"/>
            <w:tcBorders>
              <w:top w:val="nil"/>
              <w:left w:val="nil"/>
              <w:bottom w:val="single" w:color="auto" w:sz="4" w:space="0"/>
              <w:right w:val="single" w:color="auto" w:sz="4" w:space="0"/>
            </w:tcBorders>
            <w:shd w:val="clear"/>
            <w:vAlign w:val="center"/>
          </w:tcPr>
          <w:p w14:paraId="5EB22A6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9.05</w:t>
            </w:r>
            <w:r>
              <w:rPr>
                <w:rFonts w:hint="eastAsia" w:ascii="宋体" w:hAnsi="宋体" w:eastAsia="宋体" w:cs="宋体"/>
                <w:color w:val="000000"/>
                <w:bdr w:val="none" w:color="auto" w:sz="0" w:space="0"/>
              </w:rPr>
              <w:t>分</w:t>
            </w:r>
          </w:p>
        </w:tc>
      </w:tr>
      <w:tr w14:paraId="4145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jc w:val="center"/>
        </w:trPr>
        <w:tc>
          <w:tcPr>
            <w:tcW w:w="907" w:type="dxa"/>
            <w:vMerge w:val="continue"/>
            <w:tcBorders>
              <w:top w:val="nil"/>
              <w:left w:val="single" w:color="auto" w:sz="4" w:space="0"/>
              <w:bottom w:val="single" w:color="auto" w:sz="4" w:space="0"/>
              <w:right w:val="single" w:color="auto" w:sz="4" w:space="0"/>
            </w:tcBorders>
            <w:shd w:val="clear"/>
            <w:vAlign w:val="center"/>
          </w:tcPr>
          <w:p w14:paraId="10248EA7">
            <w:pPr>
              <w:rPr>
                <w:rFonts w:hint="default" w:ascii="Times New Roman" w:hAnsi="Times New Roman" w:cs="Times New Roman"/>
                <w:sz w:val="20"/>
                <w:szCs w:val="20"/>
              </w:rPr>
            </w:pPr>
          </w:p>
        </w:tc>
        <w:tc>
          <w:tcPr>
            <w:tcW w:w="3695" w:type="dxa"/>
            <w:gridSpan w:val="5"/>
            <w:tcBorders>
              <w:top w:val="nil"/>
              <w:left w:val="nil"/>
              <w:bottom w:val="single" w:color="auto" w:sz="4" w:space="0"/>
              <w:right w:val="single" w:color="auto" w:sz="4" w:space="0"/>
            </w:tcBorders>
            <w:shd w:val="clear"/>
            <w:vAlign w:val="center"/>
          </w:tcPr>
          <w:p w14:paraId="48B93C2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按收入性质分：</w:t>
            </w:r>
          </w:p>
        </w:tc>
        <w:tc>
          <w:tcPr>
            <w:tcW w:w="4441" w:type="dxa"/>
            <w:gridSpan w:val="8"/>
            <w:tcBorders>
              <w:top w:val="nil"/>
              <w:left w:val="nil"/>
              <w:bottom w:val="single" w:color="auto" w:sz="4" w:space="0"/>
              <w:right w:val="single" w:color="auto" w:sz="4" w:space="0"/>
            </w:tcBorders>
            <w:shd w:val="clear"/>
            <w:vAlign w:val="center"/>
          </w:tcPr>
          <w:p w14:paraId="5F240293">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按支出性质分：</w:t>
            </w:r>
          </w:p>
        </w:tc>
      </w:tr>
      <w:tr w14:paraId="2100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907" w:type="dxa"/>
            <w:vMerge w:val="continue"/>
            <w:tcBorders>
              <w:top w:val="nil"/>
              <w:left w:val="single" w:color="auto" w:sz="4" w:space="0"/>
              <w:bottom w:val="single" w:color="auto" w:sz="4" w:space="0"/>
              <w:right w:val="single" w:color="auto" w:sz="4" w:space="0"/>
            </w:tcBorders>
            <w:shd w:val="clear"/>
            <w:vAlign w:val="center"/>
          </w:tcPr>
          <w:p w14:paraId="44124DE2">
            <w:pPr>
              <w:rPr>
                <w:rFonts w:hint="default" w:ascii="Times New Roman" w:hAnsi="Times New Roman" w:cs="Times New Roman"/>
                <w:sz w:val="20"/>
                <w:szCs w:val="20"/>
              </w:rPr>
            </w:pPr>
          </w:p>
        </w:tc>
        <w:tc>
          <w:tcPr>
            <w:tcW w:w="3695" w:type="dxa"/>
            <w:gridSpan w:val="5"/>
            <w:tcBorders>
              <w:top w:val="nil"/>
              <w:left w:val="nil"/>
              <w:bottom w:val="single" w:color="auto" w:sz="4" w:space="0"/>
              <w:right w:val="single" w:color="auto" w:sz="4" w:space="0"/>
            </w:tcBorders>
            <w:shd w:val="clear"/>
            <w:vAlign w:val="center"/>
          </w:tcPr>
          <w:p w14:paraId="79558C64">
            <w:pPr>
              <w:pStyle w:val="9"/>
              <w:widowControl/>
              <w:spacing w:before="0" w:beforeAutospacing="0" w:after="0" w:afterAutospacing="0" w:line="22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其中：一般公共预算：</w:t>
            </w:r>
            <w:r>
              <w:rPr>
                <w:rFonts w:hint="eastAsia" w:ascii="宋体" w:hAnsi="宋体" w:eastAsia="宋体" w:cs="宋体"/>
                <w:bdr w:val="none" w:color="auto" w:sz="0" w:space="0"/>
                <w:lang w:val="en-US"/>
              </w:rPr>
              <w:t>26390.51</w:t>
            </w:r>
          </w:p>
        </w:tc>
        <w:tc>
          <w:tcPr>
            <w:tcW w:w="4441" w:type="dxa"/>
            <w:gridSpan w:val="8"/>
            <w:tcBorders>
              <w:top w:val="nil"/>
              <w:left w:val="nil"/>
              <w:bottom w:val="single" w:color="auto" w:sz="4" w:space="0"/>
              <w:right w:val="single" w:color="auto" w:sz="4" w:space="0"/>
            </w:tcBorders>
            <w:shd w:val="clear"/>
            <w:vAlign w:val="center"/>
          </w:tcPr>
          <w:p w14:paraId="327D419B">
            <w:pPr>
              <w:pStyle w:val="9"/>
              <w:widowControl/>
              <w:spacing w:before="0" w:beforeAutospacing="0" w:after="0" w:afterAutospacing="0" w:line="220" w:lineRule="exact"/>
              <w:ind w:left="0" w:leftChars="0" w:right="0" w:firstLine="0" w:firstLineChars="0"/>
              <w:rPr>
                <w:rFonts w:hint="eastAsia" w:ascii="宋体" w:hAnsi="宋体" w:eastAsia="宋体" w:cs="宋体"/>
                <w:bdr w:val="none" w:color="auto" w:sz="0" w:space="0"/>
                <w:lang w:val="en-US"/>
              </w:rPr>
            </w:pPr>
            <w:r>
              <w:rPr>
                <w:rFonts w:hint="eastAsia" w:ascii="宋体" w:hAnsi="宋体" w:eastAsia="宋体" w:cs="宋体"/>
                <w:bdr w:val="none" w:color="auto" w:sz="0" w:space="0"/>
              </w:rPr>
              <w:t>其中：基本支出：</w:t>
            </w:r>
            <w:r>
              <w:rPr>
                <w:rFonts w:hint="eastAsia" w:ascii="宋体" w:hAnsi="宋体" w:eastAsia="宋体" w:cs="宋体"/>
                <w:bdr w:val="none" w:color="auto" w:sz="0" w:space="0"/>
                <w:lang w:val="en-US"/>
              </w:rPr>
              <w:t>18589.12</w:t>
            </w:r>
          </w:p>
        </w:tc>
      </w:tr>
      <w:tr w14:paraId="4B7A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907" w:type="dxa"/>
            <w:vMerge w:val="continue"/>
            <w:tcBorders>
              <w:top w:val="nil"/>
              <w:left w:val="single" w:color="auto" w:sz="4" w:space="0"/>
              <w:bottom w:val="single" w:color="auto" w:sz="4" w:space="0"/>
              <w:right w:val="single" w:color="auto" w:sz="4" w:space="0"/>
            </w:tcBorders>
            <w:shd w:val="clear"/>
            <w:vAlign w:val="center"/>
          </w:tcPr>
          <w:p w14:paraId="78FEFE3F">
            <w:pPr>
              <w:rPr>
                <w:rFonts w:hint="default" w:ascii="Times New Roman" w:hAnsi="Times New Roman" w:cs="Times New Roman"/>
                <w:sz w:val="20"/>
                <w:szCs w:val="20"/>
              </w:rPr>
            </w:pPr>
          </w:p>
        </w:tc>
        <w:tc>
          <w:tcPr>
            <w:tcW w:w="3695" w:type="dxa"/>
            <w:gridSpan w:val="5"/>
            <w:tcBorders>
              <w:top w:val="nil"/>
              <w:left w:val="nil"/>
              <w:bottom w:val="single" w:color="auto" w:sz="4" w:space="0"/>
              <w:right w:val="single" w:color="auto" w:sz="4" w:space="0"/>
            </w:tcBorders>
            <w:shd w:val="clear"/>
            <w:vAlign w:val="center"/>
          </w:tcPr>
          <w:p w14:paraId="18107B28">
            <w:pPr>
              <w:pStyle w:val="9"/>
              <w:widowControl/>
              <w:spacing w:before="0" w:beforeAutospacing="0" w:after="0" w:afterAutospacing="0" w:line="220" w:lineRule="exact"/>
              <w:ind w:left="0" w:leftChars="0" w:right="0" w:firstLine="600" w:firstLineChars="300"/>
              <w:rPr>
                <w:rFonts w:hint="eastAsia" w:ascii="宋体" w:hAnsi="宋体" w:eastAsia="宋体" w:cs="宋体"/>
                <w:bdr w:val="none" w:color="auto" w:sz="0" w:space="0"/>
                <w:lang w:val="en-US"/>
              </w:rPr>
            </w:pPr>
            <w:r>
              <w:rPr>
                <w:rFonts w:hint="eastAsia" w:ascii="宋体" w:hAnsi="宋体" w:eastAsia="宋体" w:cs="宋体"/>
                <w:bdr w:val="none" w:color="auto" w:sz="0" w:space="0"/>
              </w:rPr>
              <w:t>政府性基金拨款：</w:t>
            </w:r>
          </w:p>
        </w:tc>
        <w:tc>
          <w:tcPr>
            <w:tcW w:w="4441" w:type="dxa"/>
            <w:gridSpan w:val="8"/>
            <w:tcBorders>
              <w:top w:val="nil"/>
              <w:left w:val="nil"/>
              <w:bottom w:val="single" w:color="auto" w:sz="4" w:space="0"/>
              <w:right w:val="single" w:color="auto" w:sz="4" w:space="0"/>
            </w:tcBorders>
            <w:shd w:val="clear"/>
            <w:vAlign w:val="center"/>
          </w:tcPr>
          <w:p w14:paraId="58E0D0AD">
            <w:pPr>
              <w:pStyle w:val="9"/>
              <w:widowControl/>
              <w:spacing w:before="0" w:beforeAutospacing="0" w:after="0" w:afterAutospacing="0" w:line="220" w:lineRule="exact"/>
              <w:ind w:left="0" w:leftChars="0" w:right="0" w:firstLine="600" w:firstLineChars="300"/>
              <w:rPr>
                <w:rFonts w:hint="eastAsia" w:ascii="宋体" w:hAnsi="宋体" w:eastAsia="宋体" w:cs="宋体"/>
                <w:bdr w:val="none" w:color="auto" w:sz="0" w:space="0"/>
                <w:lang w:val="en-US"/>
              </w:rPr>
            </w:pPr>
            <w:r>
              <w:rPr>
                <w:rFonts w:hint="eastAsia" w:ascii="宋体" w:hAnsi="宋体" w:eastAsia="宋体" w:cs="宋体"/>
                <w:bdr w:val="none" w:color="auto" w:sz="0" w:space="0"/>
              </w:rPr>
              <w:t>项目支出：</w:t>
            </w:r>
            <w:r>
              <w:rPr>
                <w:rFonts w:hint="eastAsia" w:ascii="宋体" w:hAnsi="宋体" w:eastAsia="宋体" w:cs="宋体"/>
                <w:bdr w:val="none" w:color="auto" w:sz="0" w:space="0"/>
                <w:lang w:val="en-US"/>
              </w:rPr>
              <w:t>7801.39</w:t>
            </w:r>
          </w:p>
        </w:tc>
      </w:tr>
      <w:tr w14:paraId="05AE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 w:hRule="exact"/>
          <w:jc w:val="center"/>
        </w:trPr>
        <w:tc>
          <w:tcPr>
            <w:tcW w:w="907" w:type="dxa"/>
            <w:vMerge w:val="continue"/>
            <w:tcBorders>
              <w:top w:val="nil"/>
              <w:left w:val="single" w:color="auto" w:sz="4" w:space="0"/>
              <w:bottom w:val="single" w:color="auto" w:sz="4" w:space="0"/>
              <w:right w:val="single" w:color="auto" w:sz="4" w:space="0"/>
            </w:tcBorders>
            <w:shd w:val="clear"/>
            <w:vAlign w:val="center"/>
          </w:tcPr>
          <w:p w14:paraId="2CC6C797">
            <w:pPr>
              <w:rPr>
                <w:rFonts w:hint="default" w:ascii="Times New Roman" w:hAnsi="Times New Roman" w:cs="Times New Roman"/>
                <w:sz w:val="20"/>
                <w:szCs w:val="20"/>
              </w:rPr>
            </w:pPr>
          </w:p>
        </w:tc>
        <w:tc>
          <w:tcPr>
            <w:tcW w:w="3695" w:type="dxa"/>
            <w:gridSpan w:val="5"/>
            <w:tcBorders>
              <w:top w:val="nil"/>
              <w:left w:val="nil"/>
              <w:bottom w:val="single" w:color="auto" w:sz="4" w:space="0"/>
              <w:right w:val="single" w:color="auto" w:sz="4" w:space="0"/>
            </w:tcBorders>
            <w:shd w:val="clear"/>
            <w:vAlign w:val="center"/>
          </w:tcPr>
          <w:p w14:paraId="5B0293B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 xml:space="preserve">     </w:t>
            </w:r>
            <w:r>
              <w:rPr>
                <w:rFonts w:hint="eastAsia" w:ascii="宋体" w:hAnsi="宋体" w:eastAsia="宋体" w:cs="宋体"/>
                <w:bdr w:val="none" w:color="auto" w:sz="0" w:space="0"/>
              </w:rPr>
              <w:t>纳入专户管理的非税收入拨款：</w:t>
            </w:r>
          </w:p>
        </w:tc>
        <w:tc>
          <w:tcPr>
            <w:tcW w:w="4441" w:type="dxa"/>
            <w:gridSpan w:val="8"/>
            <w:tcBorders>
              <w:top w:val="nil"/>
              <w:left w:val="nil"/>
              <w:bottom w:val="single" w:color="auto" w:sz="4" w:space="0"/>
              <w:right w:val="single" w:color="auto" w:sz="4" w:space="0"/>
            </w:tcBorders>
            <w:shd w:val="clear"/>
            <w:vAlign w:val="center"/>
          </w:tcPr>
          <w:p w14:paraId="6EFA82B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p>
        </w:tc>
      </w:tr>
      <w:tr w14:paraId="5CDA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907" w:type="dxa"/>
            <w:vMerge w:val="continue"/>
            <w:tcBorders>
              <w:top w:val="nil"/>
              <w:left w:val="single" w:color="auto" w:sz="4" w:space="0"/>
              <w:bottom w:val="single" w:color="auto" w:sz="4" w:space="0"/>
              <w:right w:val="single" w:color="auto" w:sz="4" w:space="0"/>
            </w:tcBorders>
            <w:shd w:val="clear"/>
            <w:vAlign w:val="center"/>
          </w:tcPr>
          <w:p w14:paraId="28C79D8C">
            <w:pPr>
              <w:rPr>
                <w:rFonts w:hint="default" w:ascii="Times New Roman" w:hAnsi="Times New Roman" w:cs="Times New Roman"/>
                <w:sz w:val="20"/>
                <w:szCs w:val="20"/>
              </w:rPr>
            </w:pPr>
          </w:p>
        </w:tc>
        <w:tc>
          <w:tcPr>
            <w:tcW w:w="3695" w:type="dxa"/>
            <w:gridSpan w:val="5"/>
            <w:tcBorders>
              <w:top w:val="nil"/>
              <w:left w:val="nil"/>
              <w:bottom w:val="single" w:color="auto" w:sz="4" w:space="0"/>
              <w:right w:val="single" w:color="auto" w:sz="4" w:space="0"/>
            </w:tcBorders>
            <w:shd w:val="clear"/>
            <w:vAlign w:val="center"/>
          </w:tcPr>
          <w:p w14:paraId="54AD9C87">
            <w:pPr>
              <w:pStyle w:val="9"/>
              <w:widowControl/>
              <w:spacing w:before="0" w:beforeAutospacing="0" w:after="0" w:afterAutospacing="0" w:line="220" w:lineRule="exact"/>
              <w:ind w:left="0" w:leftChars="0" w:right="0" w:firstLine="600" w:firstLineChars="300"/>
              <w:rPr>
                <w:rFonts w:hint="eastAsia" w:ascii="宋体" w:hAnsi="宋体" w:eastAsia="宋体" w:cs="宋体"/>
                <w:bdr w:val="none" w:color="auto" w:sz="0" w:space="0"/>
                <w:lang w:val="en-US"/>
              </w:rPr>
            </w:pPr>
            <w:r>
              <w:rPr>
                <w:rFonts w:hint="eastAsia" w:ascii="宋体" w:hAnsi="宋体" w:eastAsia="宋体" w:cs="宋体"/>
                <w:bdr w:val="none" w:color="auto" w:sz="0" w:space="0"/>
              </w:rPr>
              <w:t>其他资金：</w:t>
            </w:r>
          </w:p>
        </w:tc>
        <w:tc>
          <w:tcPr>
            <w:tcW w:w="4441" w:type="dxa"/>
            <w:gridSpan w:val="8"/>
            <w:tcBorders>
              <w:top w:val="nil"/>
              <w:left w:val="nil"/>
              <w:bottom w:val="single" w:color="auto" w:sz="4" w:space="0"/>
              <w:right w:val="single" w:color="auto" w:sz="4" w:space="0"/>
            </w:tcBorders>
            <w:shd w:val="clear"/>
            <w:vAlign w:val="center"/>
          </w:tcPr>
          <w:p w14:paraId="3866312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p>
        </w:tc>
      </w:tr>
      <w:tr w14:paraId="7BFCA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 w:hRule="exact"/>
          <w:jc w:val="center"/>
        </w:trPr>
        <w:tc>
          <w:tcPr>
            <w:tcW w:w="907" w:type="dxa"/>
            <w:vMerge w:val="restart"/>
            <w:tcBorders>
              <w:top w:val="single" w:color="auto" w:sz="4" w:space="0"/>
              <w:left w:val="single" w:color="auto" w:sz="4" w:space="0"/>
              <w:bottom w:val="single" w:color="auto" w:sz="4" w:space="0"/>
              <w:right w:val="single" w:color="auto" w:sz="4" w:space="0"/>
            </w:tcBorders>
            <w:shd w:val="clear"/>
            <w:vAlign w:val="center"/>
          </w:tcPr>
          <w:p w14:paraId="346BE1C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年度总体目标</w:t>
            </w:r>
          </w:p>
        </w:tc>
        <w:tc>
          <w:tcPr>
            <w:tcW w:w="3695" w:type="dxa"/>
            <w:gridSpan w:val="5"/>
            <w:tcBorders>
              <w:top w:val="single" w:color="auto" w:sz="4" w:space="0"/>
              <w:left w:val="single" w:color="auto" w:sz="4" w:space="0"/>
              <w:bottom w:val="single" w:color="auto" w:sz="4" w:space="0"/>
              <w:right w:val="single" w:color="000000" w:sz="4" w:space="0"/>
            </w:tcBorders>
            <w:shd w:val="clear"/>
            <w:vAlign w:val="center"/>
          </w:tcPr>
          <w:p w14:paraId="17FD6AA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预期目标</w:t>
            </w:r>
          </w:p>
        </w:tc>
        <w:tc>
          <w:tcPr>
            <w:tcW w:w="4441" w:type="dxa"/>
            <w:gridSpan w:val="8"/>
            <w:tcBorders>
              <w:top w:val="single" w:color="auto" w:sz="4" w:space="0"/>
              <w:left w:val="nil"/>
              <w:bottom w:val="single" w:color="auto" w:sz="4" w:space="0"/>
              <w:right w:val="single" w:color="auto" w:sz="4" w:space="0"/>
            </w:tcBorders>
            <w:shd w:val="clear"/>
            <w:vAlign w:val="center"/>
          </w:tcPr>
          <w:p w14:paraId="32DAD81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实际完成情况</w:t>
            </w:r>
          </w:p>
        </w:tc>
      </w:tr>
      <w:tr w14:paraId="1958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36"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659D5B98">
            <w:pPr>
              <w:rPr>
                <w:rFonts w:hint="default" w:ascii="Times New Roman" w:hAnsi="Times New Roman" w:cs="Times New Roman"/>
                <w:sz w:val="20"/>
                <w:szCs w:val="20"/>
              </w:rPr>
            </w:pPr>
          </w:p>
        </w:tc>
        <w:tc>
          <w:tcPr>
            <w:tcW w:w="3695" w:type="dxa"/>
            <w:gridSpan w:val="5"/>
            <w:tcBorders>
              <w:top w:val="single" w:color="auto" w:sz="4" w:space="0"/>
              <w:left w:val="single" w:color="auto" w:sz="4" w:space="0"/>
              <w:bottom w:val="single" w:color="auto" w:sz="4" w:space="0"/>
              <w:right w:val="single" w:color="000000" w:sz="4" w:space="0"/>
            </w:tcBorders>
            <w:shd w:val="clear"/>
            <w:vAlign w:val="center"/>
          </w:tcPr>
          <w:p w14:paraId="66AB3A1B">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1.基本培训班培训目标。以培养造就忠诚干净担当的高素质专业化干部队伍为目标，校（院）本级全年计划举办基本培训班次70个以上，计划培训人数5000人次以上，高质量完成省委省政府安排的干部培训任务和省委组织部的调训计划。承办湘江大讲堂12期以上，计划参训人员约12000人次以上。湖南韶山干部学院计划举办基本培训班15期以上，计划培训人员1500人次以上。</w:t>
            </w:r>
          </w:p>
          <w:p w14:paraId="0D0A14EA">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2.教学工作目标。通过创新教学方式，全年力争安排教学方式创新专题120个以上，综合运用案例式、研究式、研讨式等教学方法，开设互动式教学专题70个以上，以党性教育馆为依托开展党性教育300场次以上，编写出版2部教材。</w:t>
            </w:r>
          </w:p>
          <w:p w14:paraId="40CF7D16">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3.科研成果目标。全年力争在省级以上报刊发表论文400篇以上，其中“三报一刊”10篇以上，CSCI来源期刊15篇以上，新增国家社科基金项目5项、省级重大项目6项、全国党校系统社科规划项目5项，立项省社科基金、省“马工程”等课题20项以上，立项增长率超20%。</w:t>
            </w:r>
          </w:p>
          <w:p w14:paraId="493CB80B">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sz w:val="20"/>
                <w:szCs w:val="20"/>
                <w:bdr w:val="none" w:color="auto" w:sz="0" w:space="0"/>
                <w:lang w:val="en-US"/>
              </w:rPr>
            </w:pPr>
            <w:r>
              <w:rPr>
                <w:rFonts w:hint="eastAsia" w:ascii="仿宋_GB2312" w:hAnsi="宋体" w:eastAsia="仿宋_GB2312" w:cs="宋体"/>
                <w:kern w:val="2"/>
                <w:sz w:val="20"/>
                <w:szCs w:val="20"/>
                <w:bdr w:val="none" w:color="auto" w:sz="0" w:space="0"/>
                <w:lang w:val="en-US" w:eastAsia="zh-CN" w:bidi="ar"/>
              </w:rPr>
              <w:t>4.凸显智库功能。围绕“国之大者”“省之大计”积极开展资政研究，推出一批有深度、有分量、有价值的决策咨询成果。力争40篇（含韶山干部学院）咨询成果获省部级以上领导批示。</w:t>
            </w:r>
          </w:p>
          <w:p w14:paraId="2D24AFA9">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5.学科建设、研究生教育目标。加强学科建设，提升学科实力，计划新建学科3个，争创国内省内先进学科。严格执行研究生招生相关规定，计划高标准录取研究生100人以上，严格教育管理、学籍管理和学术标准，努力提高研究生培养质量，提高研究生毕业率和就业率。</w:t>
            </w:r>
          </w:p>
          <w:p w14:paraId="5EDB04A2">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FF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6.党校系统建设目标。推动全省党校系统一张网、一盘棋、一体化建设，校（院）以“省主建、市县（行业）主用”模式推动建设一站式教学、科研和管理信息平台，高标准建设“三库两网两平台”，集聚了全国5000余名优秀师资、7000余门优质课程和一批可复制、可推广的典型案例。基本实现市县党校专通视频教学网络和互联网视频教学网络全覆盖，建设“湖南网上党校”、红麓网站集群，“红麓”融媒体宣传矩阵基本成型，基本建成全省党校系统干部教育培训的信息化底座。</w:t>
            </w:r>
          </w:p>
          <w:p w14:paraId="0EAE7963">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7.教师人才队伍建设目标。计划引进10名以上博士专职教师，公开招聘10名专业技术人员，优化教师队伍学历、年龄结构，充实师资队伍力量，提高师资队伍质量。</w:t>
            </w:r>
          </w:p>
          <w:p w14:paraId="7CF05FEC">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8.计划举办中部地区6省党校系统服务中部崛起能力专题研讨会，初步建立跨区域常态化协作机制。召开全省党校（行政学院）校长（院长）会议，对落实基本培训任务做出安排部署。</w:t>
            </w:r>
          </w:p>
          <w:p w14:paraId="1B8DFA8E">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9.积极推动传承优良家风涵养清风正气。严抓教师授课和外出讲学报备制度，报备率力争达到100%。严格学员管理，基本培训班次“四率”达98%以上，结业考试优良率达100%，学习之风、朴素之风、清朗之风蔚然成风。</w:t>
            </w:r>
          </w:p>
          <w:p w14:paraId="26D9A285">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10.推动东、西校区整合集约，依法依规对党校后街违建建筑进行拆除，并进行提质改造。对会议活动中心大会议室、羽毛球馆、本部教学楼停车坪改造。积极推动“八千湘女上天山”主题教室、党校教育主题教室改造。</w:t>
            </w:r>
          </w:p>
          <w:p w14:paraId="60EA60B9">
            <w:pPr>
              <w:keepNext w:val="0"/>
              <w:keepLines w:val="0"/>
              <w:widowControl w:val="0"/>
              <w:suppressLineNumbers w:val="0"/>
              <w:spacing w:before="0" w:beforeAutospacing="0" w:after="0" w:afterAutospacing="0" w:line="210" w:lineRule="exact"/>
              <w:ind w:left="0" w:right="0"/>
              <w:jc w:val="both"/>
              <w:rPr>
                <w:rFonts w:hint="eastAsia" w:ascii="仿宋_GB2312" w:hAnsi="宋体" w:eastAsia="仿宋_GB2312" w:cs="宋体"/>
                <w:sz w:val="20"/>
                <w:szCs w:val="20"/>
                <w:bdr w:val="none" w:color="auto" w:sz="0" w:space="0"/>
                <w:lang w:val="en-US"/>
              </w:rPr>
            </w:pPr>
            <w:r>
              <w:rPr>
                <w:rFonts w:hint="eastAsia" w:ascii="仿宋_GB2312" w:hAnsi="宋体" w:eastAsia="仿宋_GB2312" w:cs="宋体"/>
                <w:kern w:val="2"/>
                <w:sz w:val="20"/>
                <w:szCs w:val="20"/>
                <w:bdr w:val="none" w:color="auto" w:sz="0" w:space="0"/>
                <w:lang w:val="en-US" w:eastAsia="zh-CN" w:bidi="ar"/>
              </w:rPr>
              <w:t xml:space="preserve">    11.计划派出代表团对南非、肯尼亚、马达加斯加等国的国家行政学院、高等院校及孔子学院开展访问交流。</w:t>
            </w:r>
          </w:p>
          <w:p w14:paraId="52B1A271">
            <w:pPr>
              <w:pStyle w:val="9"/>
              <w:widowControl/>
              <w:spacing w:before="0" w:beforeAutospacing="0" w:after="0" w:afterAutospacing="0" w:line="210" w:lineRule="exact"/>
              <w:ind w:left="0" w:leftChars="0" w:right="0" w:firstLine="360" w:firstLineChars="180"/>
              <w:rPr>
                <w:rFonts w:hint="eastAsia" w:ascii="仿宋_GB2312" w:hAnsi="宋体" w:eastAsia="仿宋_GB2312" w:cs="宋体"/>
                <w:szCs w:val="20"/>
                <w:bdr w:val="none" w:color="auto" w:sz="0" w:space="0"/>
                <w:lang w:val="en-US"/>
              </w:rPr>
            </w:pPr>
          </w:p>
        </w:tc>
        <w:tc>
          <w:tcPr>
            <w:tcW w:w="4441" w:type="dxa"/>
            <w:gridSpan w:val="8"/>
            <w:tcBorders>
              <w:top w:val="single" w:color="auto" w:sz="4" w:space="0"/>
              <w:left w:val="nil"/>
              <w:bottom w:val="single" w:color="auto" w:sz="4" w:space="0"/>
              <w:right w:val="single" w:color="auto" w:sz="4" w:space="0"/>
            </w:tcBorders>
            <w:shd w:val="clear"/>
            <w:vAlign w:val="center"/>
          </w:tcPr>
          <w:p w14:paraId="13CCADAB">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2024年，在省委省政府的坚强领导下，校（院）委班子团结带领全校（院）教职员工，坚持以习近平新时代中国特色社会主义思想为指导，深入学习贯彻党的二十届三中全会精神和习近平总书记考察湖南重要讲话和指示精神，紧紧围绕“六个全面”工作布局，以落实基本培训任务为牵引，凝心聚力服务中心大局，实干笃行彰显责任担当，推动党校事业实现革命性锻造、体系性重塑、创新性发展，各项工作取得新进展新成效。主要体现在六个方面：</w:t>
            </w:r>
          </w:p>
          <w:p w14:paraId="420E678E">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一）聚焦党建铸魂，理论武装立根固本显成效。创新理论武装走深走实。坚持不懈用习近平新时代中国特色社会主义思想凝心铸魂。深入学习贯彻党的二十届三中全会精神，11人入选省委宣讲团、8人入选省直宣讲团。编写发行理论阐释读物《“三高四新”美好蓝图百问》。</w:t>
            </w:r>
          </w:p>
          <w:p w14:paraId="2D71704B">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党的政治建设常抓不懈。严格执行重大事项请示报告制度，2024年省委常委会会议专题研究和听取党校工作汇报1次，向省委专题报告重要工作69次，党校工作获得省领导批示147次。党纪学习教育经验在中央政治局常委会会议通过的《党纪学习教育总结报告》中被给予高度肯定。校（院）获评“湖南省思想政治工作先进单位”，校（院）工会获评“全国模范职工之家”。</w:t>
            </w:r>
          </w:p>
          <w:p w14:paraId="7F61D779">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二）深耕主责主业，全面完成基本培训任务。全年举办基本培训班次75个，培训6208人。完成中央党校视频培训班6个，培训学员4930余人次。承办湘江大讲堂14期，参训人员约14000余人次。湖南韶山干部学院举办基本培训班19期，培训1727人。</w:t>
            </w:r>
          </w:p>
          <w:p w14:paraId="536FF649">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加速扩展开放办学。完成重点委托班次101个，培训14790人次。加入IASIA（国际行政院校联合会）会员单位。举办第四期老挝地方政府中高级干部湖南研修班、墨西哥公共行政管理研修班、港澳青年科技人才国情研修班。</w:t>
            </w:r>
          </w:p>
          <w:p w14:paraId="7C351C8D">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积极开展国际合作交流。接待摩尔多瓦共产党人党干部考察团、古巴共产党干部考察团、印度共产党干部考察团。与老挝联合举办减贫经验交流视频会议。组织9人次出国学术交流，访问成果获省委书记沈晓明肯定性批示并批转至商务部，凯明同志撰写的《“湘”约非洲：历史越千年 前景胜万里》在美国、加拿大、南非、肯尼亚等国家主流媒体及国内20余家媒体发表或全文转载。</w:t>
            </w:r>
          </w:p>
          <w:p w14:paraId="6A54988A">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三）聚力科研攻坚，智库赋能决策咨政创新局。科研成果稳中有升。新增国家社科基金项目5项、省级重大项目9项、全国党校系统社科规划项目5项，立项省社科基金、省“马工程”等课题26项，立项增长率超20%。发表论文420余篇，其中“三报一刊”13篇，CSCI来源期刊18篇，发文刊物档次和数量上均实现新突破。</w:t>
            </w:r>
          </w:p>
          <w:p w14:paraId="686FDBD8">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决策咨询成效显著。决策咨询成果获副省级及以上领导批示40篇次，含正省级领导批示29篇次，获“献策湖南”金点子采纳9项，3项智库成果被省委十二届六次全会报告采纳。组织学员撰写的近20篇决策咨询报告分获省委书记沈晓明、省长毛伟明及其他省领导肯定性批示。向省委省政府提供了一大批高质量决策咨询成果。</w:t>
            </w:r>
          </w:p>
          <w:p w14:paraId="3E96BB20">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四）狠抓制度强基，从严治校作风优化树新风。办学制度建设见行见效。坚持以制度管人管事，系统梳理并完善83项制度形成38万余字的《从严治校质量立校制度汇编》。对《财务管理办法》《科研项目经费管理办法》《采购管理办法》《合同管理办法》等涉及财务、采购相关业务的管理规定，紧跟政策导向进行修改；创新“基本工作量”制度，深化校（院）工作高质量运行和年度经常性工作统筹推进“一图一表”成果运用，在2.0版基础上探索创新编制3.0版，提升管理效能。构建工作任务闭环管控机制，全面提升办学规范化水平。</w:t>
            </w:r>
          </w:p>
          <w:p w14:paraId="05A35A5F">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作风建设持之以恒。严抓教师授课纪律和外出讲学报备制度落实，报备率100%。严格学员管理，主体班学员“四率”达98％以上，结业考试考核优良率为100%，学员未出现任何违规违纪的情况，学习之风、朴素之风、清朗之风蔚然成风。</w:t>
            </w:r>
          </w:p>
          <w:p w14:paraId="636E0E83">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五）驱动数字转型，智慧党校系统建设强根基。校（院）以“省主建、市县（行业）主用”模式推动建设一站式教学、科研和管理信息平台，高标准建设“三库两网两平台”，集聚了全国5000余名优秀师资、7000余门优质课程和一批可复制、可推广的典型案例。基本实现市县党校专通视频教学网络和互联网视频教学网络全覆盖，开通了“湖南网上党校”，建成了红麓网站集群，“红麓”融媒体宣传矩阵基本成型，全省党校系统干部教育培训的信息化底座已基本建成。</w:t>
            </w:r>
          </w:p>
          <w:p w14:paraId="13DE3C8C">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hAnsi="宋体" w:eastAsia="仿宋_GB2312" w:cs="宋体"/>
                <w:color w:val="000000"/>
                <w:sz w:val="20"/>
                <w:szCs w:val="20"/>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六）紧盯节约增效，严格控制支出管理见真章。校（院）始终把严控“三公经费”作为从严治校、正风肃纪的重要工作来抓，严格执行“三公经费”各项管理制度，确保“三公”经费保持在合理范围内。坚决贯彻落实关于过“紧日子”和坚持厉行节约、反对铺张浪费的各项要求，继续压缩一般性支出预算，勤俭办学。</w:t>
            </w:r>
          </w:p>
          <w:p w14:paraId="0DC27D00">
            <w:pPr>
              <w:keepNext w:val="0"/>
              <w:keepLines w:val="0"/>
              <w:widowControl w:val="0"/>
              <w:suppressLineNumbers w:val="0"/>
              <w:spacing w:before="0" w:beforeAutospacing="0" w:after="0" w:afterAutospacing="0" w:line="210" w:lineRule="exact"/>
              <w:ind w:left="0" w:right="0" w:firstLine="400" w:firstLineChars="200"/>
              <w:jc w:val="both"/>
              <w:rPr>
                <w:rFonts w:hint="eastAsia" w:ascii="仿宋_GB2312" w:eastAsia="仿宋_GB2312" w:cs="仿宋_GB2312"/>
                <w:bdr w:val="none" w:color="auto" w:sz="0" w:space="0"/>
                <w:lang w:val="en-US"/>
              </w:rPr>
            </w:pPr>
            <w:r>
              <w:rPr>
                <w:rFonts w:hint="eastAsia" w:ascii="仿宋_GB2312" w:hAnsi="宋体" w:eastAsia="仿宋_GB2312" w:cs="宋体"/>
                <w:color w:val="000000"/>
                <w:kern w:val="2"/>
                <w:sz w:val="20"/>
                <w:szCs w:val="20"/>
                <w:bdr w:val="none" w:color="auto" w:sz="0" w:space="0"/>
                <w:lang w:val="en-US" w:eastAsia="zh-CN" w:bidi="ar"/>
              </w:rPr>
              <w:t>一年以来，校（院）始终坚持党校姓党、质量立校、人才强校、从严治校，全面优化学科布局和治理体系，努力以高质量干部教育培训推动高素质干部队伍建设。省委书记沈晓明对校（院）工作给予高度评价，“总的来讲，党校过去一年多工作有很大起色，可圈可点，有新的面貌，对党校工作，大家反映是好的”。</w:t>
            </w:r>
          </w:p>
        </w:tc>
      </w:tr>
      <w:tr w14:paraId="1E88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907" w:type="dxa"/>
            <w:vMerge w:val="restart"/>
            <w:tcBorders>
              <w:top w:val="single" w:color="auto" w:sz="4" w:space="0"/>
              <w:left w:val="single" w:color="auto" w:sz="4" w:space="0"/>
              <w:bottom w:val="single" w:color="auto" w:sz="4" w:space="0"/>
              <w:right w:val="single" w:color="auto" w:sz="4" w:space="0"/>
            </w:tcBorders>
            <w:shd w:val="clear"/>
            <w:vAlign w:val="center"/>
          </w:tcPr>
          <w:p w14:paraId="6F70451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绩</w:t>
            </w:r>
          </w:p>
          <w:p w14:paraId="71F92A8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效</w:t>
            </w:r>
          </w:p>
          <w:p w14:paraId="4B4EF39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w:t>
            </w:r>
          </w:p>
          <w:p w14:paraId="7C08F9D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标</w:t>
            </w:r>
          </w:p>
          <w:p w14:paraId="6864850A">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p>
        </w:tc>
        <w:tc>
          <w:tcPr>
            <w:tcW w:w="774" w:type="dxa"/>
            <w:tcBorders>
              <w:top w:val="single" w:color="auto" w:sz="4" w:space="0"/>
              <w:left w:val="single" w:color="auto" w:sz="4" w:space="0"/>
              <w:bottom w:val="single" w:color="auto" w:sz="4" w:space="0"/>
              <w:right w:val="single" w:color="auto" w:sz="4" w:space="0"/>
            </w:tcBorders>
            <w:shd w:val="clear"/>
            <w:vAlign w:val="center"/>
          </w:tcPr>
          <w:p w14:paraId="2E9CE32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一级</w:t>
            </w:r>
          </w:p>
          <w:p w14:paraId="4A687A4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指标</w:t>
            </w:r>
          </w:p>
        </w:tc>
        <w:tc>
          <w:tcPr>
            <w:tcW w:w="609" w:type="dxa"/>
            <w:tcBorders>
              <w:top w:val="single" w:color="auto" w:sz="4" w:space="0"/>
              <w:left w:val="single" w:color="auto" w:sz="4" w:space="0"/>
              <w:bottom w:val="single" w:color="auto" w:sz="4" w:space="0"/>
              <w:right w:val="single" w:color="auto" w:sz="4" w:space="0"/>
            </w:tcBorders>
            <w:shd w:val="clear"/>
            <w:vAlign w:val="center"/>
          </w:tcPr>
          <w:p w14:paraId="05FC2AC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二级指标</w:t>
            </w: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71D2E6CA">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三级指标</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3A0DC2B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年度</w:t>
            </w:r>
          </w:p>
          <w:p w14:paraId="4A03713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指标值</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7C92A500">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实际完成值</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24EF02A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分值</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172879D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得分</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3AAE4F7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偏差原因分析及改进措施</w:t>
            </w:r>
          </w:p>
        </w:tc>
      </w:tr>
      <w:tr w14:paraId="4033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4F975118">
            <w:pPr>
              <w:rPr>
                <w:rFonts w:hint="default" w:ascii="Times New Roman" w:hAnsi="Times New Roman" w:cs="Times New Roman"/>
                <w:sz w:val="20"/>
                <w:szCs w:val="20"/>
              </w:rPr>
            </w:pPr>
          </w:p>
        </w:tc>
        <w:tc>
          <w:tcPr>
            <w:tcW w:w="774" w:type="dxa"/>
            <w:vMerge w:val="restart"/>
            <w:tcBorders>
              <w:top w:val="single" w:color="auto" w:sz="4" w:space="0"/>
              <w:left w:val="single" w:color="auto" w:sz="4" w:space="0"/>
              <w:bottom w:val="single" w:color="auto" w:sz="4" w:space="0"/>
              <w:right w:val="single" w:color="auto" w:sz="4" w:space="0"/>
            </w:tcBorders>
            <w:shd w:val="clear"/>
            <w:vAlign w:val="center"/>
          </w:tcPr>
          <w:p w14:paraId="1FEA44E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产出</w:t>
            </w:r>
          </w:p>
          <w:p w14:paraId="7369DCC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指标</w:t>
            </w:r>
          </w:p>
          <w:p w14:paraId="5E477B73">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(50</w:t>
            </w:r>
            <w:r>
              <w:rPr>
                <w:rFonts w:hint="eastAsia" w:ascii="宋体" w:hAnsi="宋体" w:eastAsia="宋体" w:cs="宋体"/>
                <w:bdr w:val="none" w:color="auto" w:sz="0" w:space="0"/>
              </w:rPr>
              <w:t>分</w:t>
            </w:r>
            <w:r>
              <w:rPr>
                <w:rFonts w:hint="eastAsia" w:ascii="宋体" w:hAnsi="宋体" w:eastAsia="宋体" w:cs="宋体"/>
                <w:bdr w:val="none" w:color="auto" w:sz="0" w:space="0"/>
                <w:lang w:val="en-US"/>
              </w:rPr>
              <w:t>)</w:t>
            </w:r>
          </w:p>
        </w:tc>
        <w:tc>
          <w:tcPr>
            <w:tcW w:w="609" w:type="dxa"/>
            <w:vMerge w:val="restart"/>
            <w:tcBorders>
              <w:top w:val="single" w:color="auto" w:sz="4" w:space="0"/>
              <w:left w:val="single" w:color="auto" w:sz="4" w:space="0"/>
              <w:bottom w:val="single" w:color="auto" w:sz="4" w:space="0"/>
              <w:right w:val="single" w:color="auto" w:sz="4" w:space="0"/>
            </w:tcBorders>
            <w:shd w:val="clear"/>
            <w:vAlign w:val="center"/>
          </w:tcPr>
          <w:p w14:paraId="112ABDB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数</w:t>
            </w:r>
          </w:p>
          <w:p w14:paraId="5E34416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量</w:t>
            </w:r>
          </w:p>
          <w:p w14:paraId="2764E6A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w:t>
            </w:r>
          </w:p>
          <w:p w14:paraId="1150AAB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rPr>
              <w:t>标</w:t>
            </w: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25C79E5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基本培训班培训人数</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61BFB14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w:t>
            </w:r>
            <w:r>
              <w:rPr>
                <w:rFonts w:hint="eastAsia" w:ascii="宋体" w:hAnsi="宋体" w:eastAsia="宋体" w:cs="宋体"/>
                <w:color w:val="000000"/>
                <w:bdr w:val="none" w:color="auto" w:sz="0" w:space="0"/>
                <w:lang w:val="en-US"/>
              </w:rPr>
              <w:t>5000</w:t>
            </w:r>
            <w:r>
              <w:rPr>
                <w:rFonts w:hint="eastAsia" w:ascii="宋体" w:hAnsi="宋体" w:eastAsia="宋体" w:cs="宋体"/>
                <w:color w:val="000000"/>
                <w:bdr w:val="none" w:color="auto" w:sz="0" w:space="0"/>
              </w:rPr>
              <w:t>人次</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195F4183">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color w:val="000000"/>
                <w:bdr w:val="none" w:color="auto" w:sz="0" w:space="0"/>
                <w:lang w:val="en-US"/>
              </w:rPr>
              <w:t>6208</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7047517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5</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28470C2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5</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7902D0C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5210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6219FD36">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589138C1">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11E551BC">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773FFB2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湖南韶山干部学员基本培训班培训人数</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0B3A2F1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w:t>
            </w:r>
            <w:r>
              <w:rPr>
                <w:rFonts w:hint="eastAsia" w:ascii="宋体" w:hAnsi="宋体" w:eastAsia="宋体" w:cs="宋体"/>
                <w:color w:val="000000"/>
                <w:bdr w:val="none" w:color="auto" w:sz="0" w:space="0"/>
                <w:lang w:val="en-US"/>
              </w:rPr>
              <w:t>1500</w:t>
            </w:r>
            <w:r>
              <w:rPr>
                <w:rFonts w:hint="eastAsia" w:ascii="宋体" w:hAnsi="宋体" w:eastAsia="宋体" w:cs="宋体"/>
                <w:color w:val="000000"/>
                <w:bdr w:val="none" w:color="auto" w:sz="0" w:space="0"/>
              </w:rPr>
              <w:t>人次</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7383214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lang w:val="en-US"/>
              </w:rPr>
              <w:t>1727</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41523E5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383EBC5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0A3E9D5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5ECF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2242AA88">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43E58D3F">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28850252">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54CD472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color w:val="000000"/>
                <w:bdr w:val="none" w:color="auto" w:sz="0" w:space="0"/>
              </w:rPr>
              <w:t>研究生培养人数</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1515096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color w:val="000000"/>
                <w:bdr w:val="none" w:color="auto" w:sz="0" w:space="0"/>
              </w:rPr>
              <w:t>≥</w:t>
            </w:r>
            <w:r>
              <w:rPr>
                <w:rFonts w:hint="eastAsia" w:ascii="宋体" w:hAnsi="宋体" w:eastAsia="宋体" w:cs="宋体"/>
                <w:color w:val="000000"/>
                <w:bdr w:val="none" w:color="auto" w:sz="0" w:space="0"/>
                <w:lang w:val="en-US"/>
              </w:rPr>
              <w:t>250</w:t>
            </w:r>
            <w:r>
              <w:rPr>
                <w:rFonts w:hint="eastAsia" w:ascii="宋体" w:hAnsi="宋体" w:eastAsia="宋体" w:cs="宋体"/>
                <w:color w:val="000000"/>
                <w:bdr w:val="none" w:color="auto" w:sz="0" w:space="0"/>
              </w:rPr>
              <w:t>人次</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3DAD264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lang w:val="en-US"/>
              </w:rPr>
              <w:t>269</w:t>
            </w:r>
            <w:r>
              <w:rPr>
                <w:rFonts w:hint="eastAsia" w:ascii="宋体" w:hAnsi="宋体" w:eastAsia="宋体" w:cs="宋体"/>
                <w:bdr w:val="none" w:color="auto" w:sz="0" w:space="0"/>
              </w:rPr>
              <w:t>人次</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17363A2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3ED75DC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1B60E59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735D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06B3ACC7">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3DB3B422">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5B818B35">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5B65CF9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发表论文数量</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4B17108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w:t>
            </w:r>
            <w:r>
              <w:rPr>
                <w:rFonts w:hint="eastAsia" w:ascii="宋体" w:hAnsi="宋体" w:eastAsia="宋体" w:cs="宋体"/>
                <w:color w:val="000000"/>
                <w:bdr w:val="none" w:color="auto" w:sz="0" w:space="0"/>
                <w:lang w:val="en-US"/>
              </w:rPr>
              <w:t>400</w:t>
            </w:r>
            <w:r>
              <w:rPr>
                <w:rFonts w:hint="eastAsia" w:ascii="宋体" w:hAnsi="宋体" w:eastAsia="宋体" w:cs="宋体"/>
                <w:color w:val="000000"/>
                <w:bdr w:val="none" w:color="auto" w:sz="0" w:space="0"/>
              </w:rPr>
              <w:t>篇</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5A5DC77A">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420</w:t>
            </w:r>
            <w:r>
              <w:rPr>
                <w:rFonts w:hint="eastAsia" w:ascii="宋体" w:hAnsi="宋体" w:eastAsia="宋体" w:cs="宋体"/>
                <w:color w:val="000000"/>
                <w:bdr w:val="none" w:color="auto" w:sz="0" w:space="0"/>
              </w:rPr>
              <w:t>篇</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058682F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3</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7DF5316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3</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426A652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28F9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2"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49EBCC60">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4754ABFA">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47087EE5">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1162F2E9">
            <w:pPr>
              <w:pStyle w:val="9"/>
              <w:widowControl/>
              <w:spacing w:before="0" w:beforeAutospacing="0" w:after="0" w:afterAutospacing="0" w:line="220" w:lineRule="exact"/>
              <w:ind w:left="0" w:leftChars="0" w:right="0" w:firstLine="0" w:firstLineChars="0"/>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CSCI</w:t>
            </w:r>
            <w:r>
              <w:rPr>
                <w:rFonts w:hint="eastAsia" w:ascii="宋体" w:hAnsi="宋体" w:eastAsia="宋体" w:cs="宋体"/>
                <w:color w:val="000000"/>
                <w:bdr w:val="none" w:color="auto" w:sz="0" w:space="0"/>
              </w:rPr>
              <w:t>来源期刊</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0BD3BEAA">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w:t>
            </w:r>
            <w:r>
              <w:rPr>
                <w:rFonts w:hint="eastAsia" w:ascii="宋体" w:hAnsi="宋体" w:eastAsia="宋体" w:cs="宋体"/>
                <w:color w:val="000000"/>
                <w:bdr w:val="none" w:color="auto" w:sz="0" w:space="0"/>
                <w:lang w:val="en-US"/>
              </w:rPr>
              <w:t>15</w:t>
            </w:r>
            <w:r>
              <w:rPr>
                <w:rFonts w:hint="eastAsia" w:ascii="宋体" w:hAnsi="宋体" w:eastAsia="宋体" w:cs="宋体"/>
                <w:color w:val="000000"/>
                <w:bdr w:val="none" w:color="auto" w:sz="0" w:space="0"/>
              </w:rPr>
              <w:t>篇</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4A8FE71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18</w:t>
            </w:r>
            <w:r>
              <w:rPr>
                <w:rFonts w:hint="eastAsia" w:ascii="宋体" w:hAnsi="宋体" w:eastAsia="宋体" w:cs="宋体"/>
                <w:color w:val="000000"/>
                <w:bdr w:val="none" w:color="auto" w:sz="0" w:space="0"/>
              </w:rPr>
              <w:t>篇</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4E020EE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3DA4335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25CE09C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283C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1"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7D8344D3">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755AB290">
            <w:pPr>
              <w:rPr>
                <w:rFonts w:hint="default" w:ascii="Times New Roman" w:hAnsi="Times New Roman" w:cs="Times New Roman"/>
                <w:sz w:val="20"/>
                <w:szCs w:val="20"/>
              </w:rPr>
            </w:pPr>
          </w:p>
        </w:tc>
        <w:tc>
          <w:tcPr>
            <w:tcW w:w="609" w:type="dxa"/>
            <w:vMerge w:val="restart"/>
            <w:tcBorders>
              <w:top w:val="single" w:color="auto" w:sz="4" w:space="0"/>
              <w:left w:val="single" w:color="auto" w:sz="4" w:space="0"/>
              <w:bottom w:val="single" w:color="auto" w:sz="4" w:space="0"/>
              <w:right w:val="single" w:color="auto" w:sz="4" w:space="0"/>
            </w:tcBorders>
            <w:shd w:val="clear"/>
            <w:vAlign w:val="center"/>
          </w:tcPr>
          <w:p w14:paraId="6091F4D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质</w:t>
            </w:r>
          </w:p>
          <w:p w14:paraId="7C13E3F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量</w:t>
            </w:r>
          </w:p>
          <w:p w14:paraId="3D4F785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w:t>
            </w:r>
          </w:p>
          <w:p w14:paraId="1642D4C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rPr>
              <w:t>标</w:t>
            </w: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334DC60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基本培训班教学考核得分</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27182B6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w:t>
            </w:r>
            <w:r>
              <w:rPr>
                <w:rFonts w:hint="eastAsia" w:ascii="宋体" w:hAnsi="宋体" w:eastAsia="宋体" w:cs="宋体"/>
                <w:bdr w:val="none" w:color="auto" w:sz="0" w:space="0"/>
                <w:lang w:val="en-US"/>
              </w:rPr>
              <w:t>95</w:t>
            </w:r>
            <w:r>
              <w:rPr>
                <w:rFonts w:hint="eastAsia" w:ascii="宋体" w:hAnsi="宋体" w:eastAsia="宋体" w:cs="宋体"/>
                <w:bdr w:val="none" w:color="auto" w:sz="0" w:space="0"/>
              </w:rPr>
              <w:t>分</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19A369A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97.79</w:t>
            </w:r>
            <w:r>
              <w:rPr>
                <w:rFonts w:hint="eastAsia" w:ascii="宋体" w:hAnsi="宋体" w:eastAsia="宋体" w:cs="宋体"/>
                <w:bdr w:val="none" w:color="auto" w:sz="0" w:space="0"/>
              </w:rPr>
              <w:t>分</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412AC53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70C82BA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3A51E30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0134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3"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220AA20D">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7450FC83">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7B99D113">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4FB2CC1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研究生毕业率</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6AA25D2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w:t>
            </w:r>
            <w:r>
              <w:rPr>
                <w:rFonts w:hint="eastAsia" w:ascii="宋体" w:hAnsi="宋体" w:eastAsia="宋体" w:cs="宋体"/>
                <w:bdr w:val="none" w:color="auto" w:sz="0" w:space="0"/>
                <w:lang w:val="en-US"/>
              </w:rPr>
              <w:t>96%</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5961F6D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97.6%</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7BC13BE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52AAC46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7DB9A230">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48B7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25579176">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38340BE7">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6D90FA54">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3E16437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国家和省级课题立项数</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7B14B0B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w:t>
            </w:r>
            <w:r>
              <w:rPr>
                <w:rFonts w:hint="eastAsia" w:ascii="宋体" w:hAnsi="宋体" w:eastAsia="宋体" w:cs="宋体"/>
                <w:color w:val="000000"/>
                <w:bdr w:val="none" w:color="auto" w:sz="0" w:space="0"/>
                <w:lang w:val="en-US"/>
              </w:rPr>
              <w:t>10</w:t>
            </w:r>
            <w:r>
              <w:rPr>
                <w:rFonts w:hint="eastAsia" w:ascii="宋体" w:hAnsi="宋体" w:eastAsia="宋体" w:cs="宋体"/>
                <w:color w:val="000000"/>
                <w:bdr w:val="none" w:color="auto" w:sz="0" w:space="0"/>
              </w:rPr>
              <w:t>项</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6916B0A3">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45</w:t>
            </w:r>
            <w:r>
              <w:rPr>
                <w:rFonts w:hint="eastAsia" w:ascii="宋体" w:hAnsi="宋体" w:eastAsia="宋体" w:cs="宋体"/>
                <w:color w:val="000000"/>
                <w:bdr w:val="none" w:color="auto" w:sz="0" w:space="0"/>
              </w:rPr>
              <w:t>项</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4CFA67B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064552F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4E52E5C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0A23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40630639">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3CAA0BE3">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0564E5FC">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76CACF0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学术专著</w:t>
            </w:r>
          </w:p>
          <w:p w14:paraId="266D483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出版率</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7B24FDD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w:t>
            </w:r>
            <w:r>
              <w:rPr>
                <w:rFonts w:hint="eastAsia" w:ascii="宋体" w:hAnsi="宋体" w:eastAsia="宋体" w:cs="宋体"/>
                <w:color w:val="000000"/>
                <w:bdr w:val="none" w:color="auto" w:sz="0" w:space="0"/>
                <w:lang w:val="en-US"/>
              </w:rPr>
              <w:t>95%</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6B1A9AE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100%</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279C23B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31F13C8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23093833">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p>
        </w:tc>
      </w:tr>
      <w:tr w14:paraId="445B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2058E548">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4F0A164E">
            <w:pPr>
              <w:rPr>
                <w:rFonts w:hint="default" w:ascii="Times New Roman" w:hAnsi="Times New Roman" w:cs="Times New Roman"/>
                <w:sz w:val="20"/>
                <w:szCs w:val="20"/>
              </w:rPr>
            </w:pPr>
          </w:p>
        </w:tc>
        <w:tc>
          <w:tcPr>
            <w:tcW w:w="609" w:type="dxa"/>
            <w:vMerge w:val="restart"/>
            <w:tcBorders>
              <w:top w:val="single" w:color="auto" w:sz="4" w:space="0"/>
              <w:left w:val="single" w:color="auto" w:sz="4" w:space="0"/>
              <w:bottom w:val="single" w:color="auto" w:sz="4" w:space="0"/>
              <w:right w:val="single" w:color="auto" w:sz="4" w:space="0"/>
            </w:tcBorders>
            <w:shd w:val="clear"/>
            <w:vAlign w:val="center"/>
          </w:tcPr>
          <w:p w14:paraId="53666BF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时</w:t>
            </w:r>
          </w:p>
          <w:p w14:paraId="3DE34EB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效</w:t>
            </w:r>
          </w:p>
          <w:p w14:paraId="2EECF9C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w:t>
            </w:r>
          </w:p>
          <w:p w14:paraId="4DF3080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rPr>
              <w:t>标</w:t>
            </w: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73C3324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基本培训班、轮训班和读书班培训完成时间</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74B0D95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当年完成</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53C47EF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当年完成</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14DC3B7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7111307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6DE6FFE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6440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6"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36C95770">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57D2C0AA">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6F5B9474">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08BB603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研究生</w:t>
            </w:r>
          </w:p>
          <w:p w14:paraId="599877F3">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培养时间</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038688E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按研究生培养计划进行</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19393F8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按期完成</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0DEE500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05D351A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1274CB5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3104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3C2D63CA">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1F28D17C">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5AE02D4F">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0B823E9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国家级和省级课题完成时间</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1489190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pacing w:val="-8"/>
                <w:bdr w:val="none" w:color="auto" w:sz="0" w:space="0"/>
                <w:lang w:val="en-US"/>
              </w:rPr>
            </w:pPr>
            <w:r>
              <w:rPr>
                <w:rFonts w:hint="eastAsia" w:ascii="宋体" w:hAnsi="宋体" w:eastAsia="宋体" w:cs="宋体"/>
                <w:color w:val="000000"/>
                <w:spacing w:val="-8"/>
                <w:bdr w:val="none" w:color="auto" w:sz="0" w:space="0"/>
              </w:rPr>
              <w:t>按课题结项时间如期结项</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177609B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按课题计划进行</w:t>
            </w:r>
            <w:r>
              <w:rPr>
                <w:rFonts w:hint="eastAsia" w:ascii="宋体" w:hAnsi="宋体" w:eastAsia="宋体" w:cs="宋体"/>
                <w:color w:val="000000"/>
                <w:bdr w:val="none" w:color="auto" w:sz="0" w:space="0"/>
                <w:lang w:val="en-US"/>
              </w:rPr>
              <w:t xml:space="preserve"> </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787324B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3F08B2F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5CF3334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5ABB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52C3D496">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1D3D17FE">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24ECA22B">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794E1B5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学术专著出版</w:t>
            </w:r>
          </w:p>
          <w:p w14:paraId="51F89FA3">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时间</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692A86A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当年完成</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0B4E7D5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当年完成</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4C78D96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36DDCD50">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35DFC9F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707B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exac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43AE95F0">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6AF891B8">
            <w:pPr>
              <w:rPr>
                <w:rFonts w:hint="default" w:ascii="Times New Roman" w:hAnsi="Times New Roman" w:cs="Times New Roman"/>
                <w:sz w:val="20"/>
                <w:szCs w:val="20"/>
              </w:rPr>
            </w:pPr>
          </w:p>
        </w:tc>
        <w:tc>
          <w:tcPr>
            <w:tcW w:w="609" w:type="dxa"/>
            <w:vMerge w:val="restart"/>
            <w:tcBorders>
              <w:top w:val="single" w:color="auto" w:sz="4" w:space="0"/>
              <w:left w:val="single" w:color="auto" w:sz="4" w:space="0"/>
              <w:bottom w:val="single" w:color="auto" w:sz="4" w:space="0"/>
              <w:right w:val="single" w:color="auto" w:sz="4" w:space="0"/>
            </w:tcBorders>
            <w:shd w:val="clear"/>
            <w:vAlign w:val="center"/>
          </w:tcPr>
          <w:p w14:paraId="762B3C5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成</w:t>
            </w:r>
          </w:p>
          <w:p w14:paraId="7075859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本</w:t>
            </w:r>
          </w:p>
          <w:p w14:paraId="2F030A9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w:t>
            </w:r>
          </w:p>
          <w:p w14:paraId="7380355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rPr>
              <w:t>标</w:t>
            </w: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290A906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整体支出预算控制率</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2B98956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w:t>
            </w:r>
            <w:r>
              <w:rPr>
                <w:rFonts w:hint="eastAsia" w:ascii="宋体" w:hAnsi="宋体" w:eastAsia="宋体" w:cs="宋体"/>
                <w:bdr w:val="none" w:color="auto" w:sz="0" w:space="0"/>
                <w:lang w:val="en-US"/>
              </w:rPr>
              <w:t>100%</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7404767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120%</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22C38D0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5D57CFB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0FE393F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pacing w:val="-6"/>
                <w:sz w:val="13"/>
                <w:szCs w:val="13"/>
                <w:highlight w:val="yellow"/>
                <w:bdr w:val="none" w:color="auto" w:sz="0" w:space="0"/>
                <w:lang w:val="en-US"/>
              </w:rPr>
            </w:pPr>
            <w:r>
              <w:rPr>
                <w:rFonts w:hint="eastAsia" w:ascii="宋体" w:hAnsi="宋体" w:eastAsia="宋体" w:cs="宋体"/>
                <w:spacing w:val="-6"/>
                <w:sz w:val="13"/>
                <w:szCs w:val="13"/>
                <w:bdr w:val="none" w:color="auto" w:sz="0" w:space="0"/>
              </w:rPr>
              <w:t>年中追加生均经费、绩效奖。</w:t>
            </w:r>
          </w:p>
        </w:tc>
      </w:tr>
      <w:tr w14:paraId="2778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1"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4B76C6DC">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23A1DF58">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54101A6B">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315C6BB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w:t>
            </w:r>
            <w:r>
              <w:rPr>
                <w:rFonts w:hint="eastAsia" w:ascii="宋体" w:hAnsi="宋体" w:eastAsia="宋体" w:cs="宋体"/>
                <w:color w:val="000000"/>
                <w:bdr w:val="none" w:color="auto" w:sz="0" w:space="0"/>
              </w:rPr>
              <w:t>三公经费</w:t>
            </w:r>
            <w:r>
              <w:rPr>
                <w:rFonts w:hint="eastAsia" w:ascii="宋体" w:hAnsi="宋体" w:eastAsia="宋体" w:cs="宋体"/>
                <w:color w:val="000000"/>
                <w:bdr w:val="none" w:color="auto" w:sz="0" w:space="0"/>
                <w:lang w:val="en-US"/>
              </w:rPr>
              <w:t>”</w:t>
            </w:r>
            <w:r>
              <w:rPr>
                <w:rFonts w:hint="eastAsia" w:ascii="宋体" w:hAnsi="宋体" w:eastAsia="宋体" w:cs="宋体"/>
                <w:color w:val="000000"/>
                <w:bdr w:val="none" w:color="auto" w:sz="0" w:space="0"/>
              </w:rPr>
              <w:t>控制率</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75C301C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rPr>
              <w:t>≤</w:t>
            </w:r>
            <w:r>
              <w:rPr>
                <w:rFonts w:hint="eastAsia" w:ascii="宋体" w:hAnsi="宋体" w:eastAsia="宋体" w:cs="宋体"/>
                <w:color w:val="000000"/>
                <w:bdr w:val="none" w:color="auto" w:sz="0" w:space="0"/>
                <w:lang w:val="en-US"/>
              </w:rPr>
              <w:t>100%</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7E8F649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90%</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02DC92C3">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2</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6AFE200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bdr w:val="none" w:color="auto" w:sz="0" w:space="0"/>
                <w:lang w:val="en-US"/>
              </w:rPr>
            </w:pPr>
            <w:r>
              <w:rPr>
                <w:rFonts w:hint="eastAsia" w:ascii="宋体" w:hAnsi="宋体" w:eastAsia="宋体" w:cs="宋体"/>
                <w:color w:val="000000"/>
                <w:bdr w:val="none" w:color="auto" w:sz="0" w:space="0"/>
                <w:lang w:val="en-US"/>
              </w:rPr>
              <w:t>2</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6B6D09D8">
            <w:pPr>
              <w:pStyle w:val="9"/>
              <w:widowControl/>
              <w:spacing w:before="0" w:beforeAutospacing="0" w:after="0" w:afterAutospacing="0" w:line="220" w:lineRule="exact"/>
              <w:ind w:left="0" w:leftChars="0" w:right="0" w:firstLine="0" w:firstLineChars="0"/>
              <w:jc w:val="left"/>
              <w:rPr>
                <w:rFonts w:hint="eastAsia" w:ascii="宋体" w:hAnsi="宋体" w:eastAsia="宋体" w:cs="宋体"/>
                <w:color w:val="000000"/>
                <w:bdr w:val="none" w:color="auto" w:sz="0" w:space="0"/>
                <w:lang w:val="en-US"/>
              </w:rPr>
            </w:pPr>
          </w:p>
        </w:tc>
      </w:tr>
      <w:tr w14:paraId="77B0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60BCFA39">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371A3EC6">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7BFC31DF">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5D4DDA3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公用经费控制率</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65A4016A">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w:t>
            </w:r>
            <w:r>
              <w:rPr>
                <w:rFonts w:hint="eastAsia" w:ascii="宋体" w:hAnsi="宋体" w:eastAsia="宋体" w:cs="宋体"/>
                <w:bdr w:val="none" w:color="auto" w:sz="0" w:space="0"/>
                <w:lang w:val="en-US"/>
              </w:rPr>
              <w:t>100%</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67053EC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99%</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7213F57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5CA8502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 xml:space="preserve">2     </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7BF89DC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580A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6CA9A3A8">
            <w:pPr>
              <w:rPr>
                <w:rFonts w:hint="default" w:ascii="Times New Roman" w:hAnsi="Times New Roman" w:cs="Times New Roman"/>
                <w:sz w:val="20"/>
                <w:szCs w:val="20"/>
              </w:rPr>
            </w:pPr>
          </w:p>
        </w:tc>
        <w:tc>
          <w:tcPr>
            <w:tcW w:w="774" w:type="dxa"/>
            <w:vMerge w:val="restart"/>
            <w:tcBorders>
              <w:top w:val="single" w:color="auto" w:sz="4" w:space="0"/>
              <w:left w:val="single" w:color="auto" w:sz="4" w:space="0"/>
              <w:bottom w:val="single" w:color="auto" w:sz="4" w:space="0"/>
              <w:right w:val="single" w:color="auto" w:sz="4" w:space="0"/>
            </w:tcBorders>
            <w:shd w:val="clear"/>
            <w:vAlign w:val="center"/>
          </w:tcPr>
          <w:p w14:paraId="579A756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效益指标</w:t>
            </w:r>
          </w:p>
          <w:p w14:paraId="2EDB19D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(30</w:t>
            </w:r>
            <w:r>
              <w:rPr>
                <w:rFonts w:hint="eastAsia" w:ascii="宋体" w:hAnsi="宋体" w:eastAsia="宋体" w:cs="宋体"/>
                <w:bdr w:val="none" w:color="auto" w:sz="0" w:space="0"/>
              </w:rPr>
              <w:t>分</w:t>
            </w:r>
            <w:r>
              <w:rPr>
                <w:rFonts w:hint="eastAsia" w:ascii="宋体" w:hAnsi="宋体" w:eastAsia="宋体" w:cs="宋体"/>
                <w:bdr w:val="none" w:color="auto" w:sz="0" w:space="0"/>
                <w:lang w:val="en-US"/>
              </w:rPr>
              <w:t>)</w:t>
            </w:r>
          </w:p>
        </w:tc>
        <w:tc>
          <w:tcPr>
            <w:tcW w:w="609" w:type="dxa"/>
            <w:tcBorders>
              <w:top w:val="single" w:color="auto" w:sz="4" w:space="0"/>
              <w:left w:val="single" w:color="auto" w:sz="4" w:space="0"/>
              <w:bottom w:val="single" w:color="auto" w:sz="4" w:space="0"/>
              <w:right w:val="single" w:color="auto" w:sz="4" w:space="0"/>
            </w:tcBorders>
            <w:shd w:val="clear"/>
            <w:vAlign w:val="center"/>
          </w:tcPr>
          <w:p w14:paraId="308ED1A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经济</w:t>
            </w:r>
          </w:p>
          <w:p w14:paraId="721D596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效益</w:t>
            </w:r>
          </w:p>
          <w:p w14:paraId="0DD4CF7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指标</w:t>
            </w:r>
          </w:p>
        </w:tc>
        <w:tc>
          <w:tcPr>
            <w:tcW w:w="1613" w:type="dxa"/>
            <w:gridSpan w:val="2"/>
            <w:tcBorders>
              <w:top w:val="single" w:color="auto" w:sz="4" w:space="0"/>
              <w:left w:val="single" w:color="auto" w:sz="4" w:space="0"/>
              <w:bottom w:val="single" w:color="auto" w:sz="4" w:space="0"/>
              <w:right w:val="single" w:color="auto" w:sz="4" w:space="0"/>
            </w:tcBorders>
            <w:shd w:val="clear"/>
            <w:vAlign w:val="center"/>
          </w:tcPr>
          <w:p w14:paraId="62CC14A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乡村振兴点集体经营收入</w:t>
            </w:r>
          </w:p>
        </w:tc>
        <w:tc>
          <w:tcPr>
            <w:tcW w:w="1335" w:type="dxa"/>
            <w:gridSpan w:val="2"/>
            <w:tcBorders>
              <w:top w:val="single" w:color="auto" w:sz="4" w:space="0"/>
              <w:left w:val="single" w:color="auto" w:sz="4" w:space="0"/>
              <w:bottom w:val="single" w:color="auto" w:sz="4" w:space="0"/>
              <w:right w:val="single" w:color="auto" w:sz="4" w:space="0"/>
            </w:tcBorders>
            <w:shd w:val="clear"/>
            <w:vAlign w:val="center"/>
          </w:tcPr>
          <w:p w14:paraId="7318040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bdr w:val="none" w:color="auto" w:sz="0" w:space="0"/>
              </w:rPr>
              <w:t>≥</w:t>
            </w:r>
            <w:r>
              <w:rPr>
                <w:rFonts w:hint="eastAsia" w:ascii="宋体" w:hAnsi="宋体" w:eastAsia="宋体" w:cs="宋体"/>
                <w:color w:val="000000"/>
                <w:bdr w:val="none" w:color="auto" w:sz="0" w:space="0"/>
                <w:lang w:val="en-US"/>
              </w:rPr>
              <w:t>30</w:t>
            </w:r>
            <w:r>
              <w:rPr>
                <w:rFonts w:hint="eastAsia" w:ascii="宋体" w:hAnsi="宋体" w:eastAsia="宋体" w:cs="宋体"/>
                <w:color w:val="000000"/>
                <w:bdr w:val="none" w:color="auto" w:sz="0" w:space="0"/>
              </w:rPr>
              <w:t>万元</w:t>
            </w:r>
          </w:p>
        </w:tc>
        <w:tc>
          <w:tcPr>
            <w:tcW w:w="1332" w:type="dxa"/>
            <w:gridSpan w:val="2"/>
            <w:tcBorders>
              <w:top w:val="single" w:color="auto" w:sz="4" w:space="0"/>
              <w:left w:val="single" w:color="auto" w:sz="4" w:space="0"/>
              <w:bottom w:val="single" w:color="auto" w:sz="4" w:space="0"/>
              <w:right w:val="single" w:color="auto" w:sz="4" w:space="0"/>
            </w:tcBorders>
            <w:shd w:val="clear"/>
            <w:vAlign w:val="center"/>
          </w:tcPr>
          <w:p w14:paraId="327B239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lang w:val="en-US"/>
              </w:rPr>
              <w:t>100</w:t>
            </w:r>
            <w:r>
              <w:rPr>
                <w:rFonts w:hint="eastAsia" w:ascii="宋体" w:hAnsi="宋体" w:eastAsia="宋体" w:cs="宋体"/>
                <w:color w:val="000000"/>
                <w:szCs w:val="22"/>
                <w:bdr w:val="none" w:color="auto" w:sz="0" w:space="0"/>
              </w:rPr>
              <w:t>万元</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34E729C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4</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102525C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4</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52F9075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szCs w:val="22"/>
                <w:bdr w:val="none" w:color="auto" w:sz="0" w:space="0"/>
                <w:lang w:val="en-US"/>
              </w:rPr>
            </w:pPr>
          </w:p>
        </w:tc>
      </w:tr>
      <w:tr w14:paraId="1CF2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3"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7BC9A656">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1CDB4A76">
            <w:pPr>
              <w:rPr>
                <w:rFonts w:hint="default" w:ascii="Times New Roman" w:hAnsi="Times New Roman" w:cs="Times New Roman"/>
                <w:sz w:val="20"/>
                <w:szCs w:val="20"/>
              </w:rPr>
            </w:pPr>
          </w:p>
        </w:tc>
        <w:tc>
          <w:tcPr>
            <w:tcW w:w="609" w:type="dxa"/>
            <w:vMerge w:val="restart"/>
            <w:tcBorders>
              <w:top w:val="single" w:color="auto" w:sz="4" w:space="0"/>
              <w:left w:val="single" w:color="auto" w:sz="4" w:space="0"/>
              <w:bottom w:val="single" w:color="auto" w:sz="4" w:space="0"/>
              <w:right w:val="single" w:color="auto" w:sz="4" w:space="0"/>
            </w:tcBorders>
            <w:shd w:val="clear"/>
            <w:vAlign w:val="center"/>
          </w:tcPr>
          <w:p w14:paraId="2B21E4D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社</w:t>
            </w:r>
          </w:p>
          <w:p w14:paraId="5BABC6D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会</w:t>
            </w:r>
          </w:p>
          <w:p w14:paraId="1FB9ECF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效</w:t>
            </w:r>
          </w:p>
          <w:p w14:paraId="6FD7EA5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益</w:t>
            </w:r>
          </w:p>
          <w:p w14:paraId="40BA4B7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w:t>
            </w:r>
          </w:p>
          <w:p w14:paraId="6C7DEBD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rPr>
              <w:t>标</w:t>
            </w:r>
          </w:p>
        </w:tc>
        <w:tc>
          <w:tcPr>
            <w:tcW w:w="1613"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09D700E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社会影响力</w:t>
            </w:r>
          </w:p>
        </w:tc>
        <w:tc>
          <w:tcPr>
            <w:tcW w:w="1335"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138C1813">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pacing w:val="-6"/>
                <w:szCs w:val="22"/>
                <w:bdr w:val="none" w:color="auto" w:sz="0" w:space="0"/>
                <w:lang w:val="en-US"/>
              </w:rPr>
            </w:pPr>
            <w:r>
              <w:rPr>
                <w:rFonts w:hint="eastAsia" w:ascii="宋体" w:hAnsi="宋体" w:eastAsia="宋体" w:cs="宋体"/>
                <w:color w:val="000000"/>
                <w:spacing w:val="-6"/>
                <w:szCs w:val="22"/>
                <w:bdr w:val="none" w:color="auto" w:sz="0" w:space="0"/>
              </w:rPr>
              <w:t>发挥党校教师理论优势，学员实践优势，学校决策咨询功能，推动湖南干部教育培训事业的发展。</w:t>
            </w:r>
          </w:p>
        </w:tc>
        <w:tc>
          <w:tcPr>
            <w:tcW w:w="1332"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6B00162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pacing w:val="-6"/>
                <w:szCs w:val="22"/>
                <w:bdr w:val="none" w:color="auto" w:sz="0" w:space="0"/>
                <w:lang w:val="en-US"/>
              </w:rPr>
            </w:pPr>
            <w:r>
              <w:rPr>
                <w:rFonts w:hint="eastAsia" w:ascii="宋体" w:hAnsi="宋体" w:eastAsia="宋体" w:cs="宋体"/>
                <w:color w:val="000000"/>
                <w:spacing w:val="-6"/>
                <w:szCs w:val="22"/>
                <w:bdr w:val="none" w:color="auto" w:sz="0" w:space="0"/>
              </w:rPr>
              <w:t>充分发挥了党校干部培训主渠道、思想建设主阵地作用，推动了湖南干部教育培训事业的发展。</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2F70CF7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5</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1346510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5</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25CA2E6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szCs w:val="22"/>
                <w:bdr w:val="none" w:color="auto" w:sz="0" w:space="0"/>
                <w:lang w:val="en-US"/>
              </w:rPr>
            </w:pPr>
          </w:p>
        </w:tc>
      </w:tr>
      <w:tr w14:paraId="27BE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91"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6BF55143">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4C1267D1">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15261E8C">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6D822F1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基本培训班学员党性修养和政治素养</w:t>
            </w:r>
          </w:p>
        </w:tc>
        <w:tc>
          <w:tcPr>
            <w:tcW w:w="1335"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25CCF8C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提高主体班学员的党性修养、政治素养和管理能力，能够更好的为党的事业和湖南省的建设贡献力量。</w:t>
            </w:r>
          </w:p>
        </w:tc>
        <w:tc>
          <w:tcPr>
            <w:tcW w:w="1332"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4628CBBD">
            <w:pPr>
              <w:pStyle w:val="9"/>
              <w:widowControl/>
              <w:spacing w:before="0" w:beforeAutospacing="0" w:after="0" w:afterAutospacing="0" w:line="220" w:lineRule="exact"/>
              <w:ind w:left="0" w:leftChars="0" w:right="0" w:firstLine="0" w:firstLineChars="0"/>
              <w:rPr>
                <w:rFonts w:hint="eastAsia" w:ascii="宋体" w:hAnsi="宋体" w:eastAsia="宋体" w:cs="宋体"/>
                <w:color w:val="000000"/>
                <w:spacing w:val="-6"/>
                <w:szCs w:val="22"/>
                <w:bdr w:val="none" w:color="auto" w:sz="0" w:space="0"/>
                <w:lang w:val="en-US"/>
              </w:rPr>
            </w:pPr>
            <w:r>
              <w:rPr>
                <w:rFonts w:hint="eastAsia" w:ascii="宋体" w:hAnsi="宋体" w:eastAsia="宋体" w:cs="宋体"/>
                <w:color w:val="000000"/>
                <w:spacing w:val="-6"/>
                <w:szCs w:val="22"/>
                <w:bdr w:val="none" w:color="auto" w:sz="0" w:space="0"/>
              </w:rPr>
              <w:t>通过培训，有力促进了党员干部政治素质、理论素养、党性修养和履职本领的提高，使其在湖南</w:t>
            </w:r>
            <w:r>
              <w:rPr>
                <w:rFonts w:hint="eastAsia" w:ascii="宋体" w:hAnsi="宋体" w:eastAsia="宋体" w:cs="宋体"/>
                <w:color w:val="000000"/>
                <w:spacing w:val="-6"/>
                <w:szCs w:val="22"/>
                <w:bdr w:val="none" w:color="auto" w:sz="0" w:space="0"/>
                <w:lang w:val="en-US"/>
              </w:rPr>
              <w:t>“</w:t>
            </w:r>
            <w:r>
              <w:rPr>
                <w:rFonts w:hint="eastAsia" w:ascii="宋体" w:hAnsi="宋体" w:eastAsia="宋体" w:cs="宋体"/>
                <w:color w:val="000000"/>
                <w:spacing w:val="-6"/>
                <w:szCs w:val="22"/>
                <w:bdr w:val="none" w:color="auto" w:sz="0" w:space="0"/>
              </w:rPr>
              <w:t>三高四新</w:t>
            </w:r>
            <w:r>
              <w:rPr>
                <w:rFonts w:hint="eastAsia" w:ascii="宋体" w:hAnsi="宋体" w:eastAsia="宋体" w:cs="宋体"/>
                <w:color w:val="000000"/>
                <w:spacing w:val="-6"/>
                <w:szCs w:val="22"/>
                <w:bdr w:val="none" w:color="auto" w:sz="0" w:space="0"/>
                <w:lang w:val="en-US"/>
              </w:rPr>
              <w:t>”</w:t>
            </w:r>
            <w:r>
              <w:rPr>
                <w:rFonts w:hint="eastAsia" w:ascii="宋体" w:hAnsi="宋体" w:eastAsia="宋体" w:cs="宋体"/>
                <w:color w:val="000000"/>
                <w:spacing w:val="-6"/>
                <w:szCs w:val="22"/>
                <w:bdr w:val="none" w:color="auto" w:sz="0" w:space="0"/>
              </w:rPr>
              <w:t>美好蓝图建设中更好地发挥作用。</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11802BD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6</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24E3059A">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6</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07C0A4C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szCs w:val="22"/>
                <w:bdr w:val="none" w:color="auto" w:sz="0" w:space="0"/>
                <w:lang w:val="en-US"/>
              </w:rPr>
            </w:pPr>
          </w:p>
        </w:tc>
      </w:tr>
      <w:tr w14:paraId="434D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31"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20112204">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02637238">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3AB0D1D6">
            <w:pPr>
              <w:rPr>
                <w:rFonts w:hint="default" w:ascii="Times New Roman" w:hAnsi="Times New Roman" w:cs="Times New Roman"/>
                <w:sz w:val="20"/>
                <w:szCs w:val="20"/>
              </w:rPr>
            </w:pPr>
          </w:p>
        </w:tc>
        <w:tc>
          <w:tcPr>
            <w:tcW w:w="1613"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075291D0">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研究生专业能力</w:t>
            </w:r>
          </w:p>
        </w:tc>
        <w:tc>
          <w:tcPr>
            <w:tcW w:w="1335"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61DB143D">
            <w:pPr>
              <w:pStyle w:val="9"/>
              <w:widowControl/>
              <w:spacing w:before="0" w:beforeAutospacing="0" w:after="0" w:afterAutospacing="0" w:line="220" w:lineRule="exact"/>
              <w:ind w:left="0" w:leftChars="0" w:right="0" w:firstLine="0" w:firstLineChars="0"/>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提高学生的专业能力和综合素质，使他们能够在工作岗位发挥所长，推动社会进步和发展。</w:t>
            </w:r>
          </w:p>
        </w:tc>
        <w:tc>
          <w:tcPr>
            <w:tcW w:w="1332"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290BE425">
            <w:pPr>
              <w:pStyle w:val="9"/>
              <w:widowControl/>
              <w:spacing w:before="0" w:beforeAutospacing="0" w:after="0" w:afterAutospacing="0" w:line="220" w:lineRule="exact"/>
              <w:ind w:left="0" w:leftChars="0" w:right="0" w:firstLine="0" w:firstLineChars="0"/>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培养了一批专业能力强和综合素质高的硕士研究生，研究生的就业和创业能力进一步提升</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652F7EAA">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4</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2D09CB2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4</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5536173E">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szCs w:val="22"/>
                <w:bdr w:val="none" w:color="auto" w:sz="0" w:space="0"/>
                <w:lang w:val="en-US"/>
              </w:rPr>
            </w:pPr>
          </w:p>
        </w:tc>
      </w:tr>
      <w:tr w14:paraId="68CD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6"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5D4D2D82">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6164962E">
            <w:pPr>
              <w:rPr>
                <w:rFonts w:hint="default" w:ascii="Times New Roman" w:hAnsi="Times New Roman" w:cs="Times New Roman"/>
                <w:sz w:val="20"/>
                <w:szCs w:val="20"/>
              </w:rPr>
            </w:pPr>
          </w:p>
        </w:tc>
        <w:tc>
          <w:tcPr>
            <w:tcW w:w="609" w:type="dxa"/>
            <w:vMerge w:val="restart"/>
            <w:tcBorders>
              <w:top w:val="single" w:color="auto" w:sz="4" w:space="0"/>
              <w:left w:val="single" w:color="auto" w:sz="4" w:space="0"/>
              <w:bottom w:val="single" w:color="auto" w:sz="4" w:space="0"/>
              <w:right w:val="single" w:color="auto" w:sz="4" w:space="0"/>
            </w:tcBorders>
            <w:shd w:val="clear"/>
            <w:vAlign w:val="center"/>
          </w:tcPr>
          <w:p w14:paraId="4266C6F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rPr>
              <w:t>生态效益指标</w:t>
            </w:r>
          </w:p>
        </w:tc>
        <w:tc>
          <w:tcPr>
            <w:tcW w:w="1613"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2069CE65">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帮扶村生活</w:t>
            </w:r>
          </w:p>
          <w:p w14:paraId="317E273A">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环境</w:t>
            </w:r>
          </w:p>
        </w:tc>
        <w:tc>
          <w:tcPr>
            <w:tcW w:w="1335"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6203BBCE">
            <w:pPr>
              <w:pStyle w:val="9"/>
              <w:widowControl/>
              <w:spacing w:before="0" w:beforeAutospacing="0" w:after="0" w:afterAutospacing="0" w:line="220" w:lineRule="exact"/>
              <w:ind w:left="0" w:leftChars="0" w:right="0" w:firstLine="0" w:firstLineChars="0"/>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提高帮扶村居民的生活环境质量。</w:t>
            </w:r>
          </w:p>
        </w:tc>
        <w:tc>
          <w:tcPr>
            <w:tcW w:w="1332" w:type="dxa"/>
            <w:gridSpan w:val="2"/>
            <w:tcBorders>
              <w:top w:val="single" w:color="auto" w:sz="4" w:space="0"/>
              <w:left w:val="single" w:color="auto" w:sz="4" w:space="0"/>
              <w:bottom w:val="single" w:color="auto" w:sz="4" w:space="0"/>
              <w:right w:val="single" w:color="auto" w:sz="4" w:space="0"/>
            </w:tcBorders>
            <w:shd w:val="clear"/>
            <w:tcMar>
              <w:left w:w="51" w:type="dxa"/>
              <w:right w:w="51" w:type="dxa"/>
            </w:tcMar>
            <w:vAlign w:val="center"/>
          </w:tcPr>
          <w:p w14:paraId="5BFCE698">
            <w:pPr>
              <w:pStyle w:val="9"/>
              <w:widowControl/>
              <w:spacing w:before="0" w:beforeAutospacing="0" w:after="0" w:afterAutospacing="0" w:line="220" w:lineRule="exact"/>
              <w:ind w:left="0" w:leftChars="0" w:right="0" w:firstLine="0" w:firstLineChars="0"/>
              <w:rPr>
                <w:rFonts w:hint="eastAsia" w:ascii="宋体" w:hAnsi="宋体" w:eastAsia="宋体" w:cs="宋体"/>
                <w:color w:val="000000"/>
                <w:spacing w:val="-8"/>
                <w:szCs w:val="22"/>
                <w:bdr w:val="none" w:color="auto" w:sz="0" w:space="0"/>
                <w:lang w:val="en-US"/>
              </w:rPr>
            </w:pPr>
            <w:r>
              <w:rPr>
                <w:rFonts w:hint="eastAsia" w:ascii="宋体" w:hAnsi="宋体" w:eastAsia="宋体" w:cs="宋体"/>
                <w:color w:val="000000"/>
                <w:spacing w:val="-8"/>
                <w:szCs w:val="22"/>
                <w:bdr w:val="none" w:color="auto" w:sz="0" w:space="0"/>
              </w:rPr>
              <w:t>开展驻村结对帮扶，完善了振兴点基础设施，改善了人居环境。</w:t>
            </w:r>
          </w:p>
        </w:tc>
        <w:tc>
          <w:tcPr>
            <w:tcW w:w="699" w:type="dxa"/>
            <w:gridSpan w:val="2"/>
            <w:tcBorders>
              <w:top w:val="single" w:color="auto" w:sz="4" w:space="0"/>
              <w:left w:val="single" w:color="auto" w:sz="4" w:space="0"/>
              <w:bottom w:val="single" w:color="auto" w:sz="4" w:space="0"/>
              <w:right w:val="single" w:color="auto" w:sz="4" w:space="0"/>
            </w:tcBorders>
            <w:shd w:val="clear"/>
            <w:vAlign w:val="center"/>
          </w:tcPr>
          <w:p w14:paraId="76E33A8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3</w:t>
            </w:r>
          </w:p>
        </w:tc>
        <w:tc>
          <w:tcPr>
            <w:tcW w:w="751" w:type="dxa"/>
            <w:gridSpan w:val="2"/>
            <w:tcBorders>
              <w:top w:val="single" w:color="auto" w:sz="4" w:space="0"/>
              <w:left w:val="single" w:color="auto" w:sz="4" w:space="0"/>
              <w:bottom w:val="single" w:color="auto" w:sz="4" w:space="0"/>
              <w:right w:val="single" w:color="auto" w:sz="4" w:space="0"/>
            </w:tcBorders>
            <w:shd w:val="clear"/>
            <w:vAlign w:val="center"/>
          </w:tcPr>
          <w:p w14:paraId="63565BA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3</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3980D89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szCs w:val="22"/>
                <w:bdr w:val="none" w:color="auto" w:sz="0" w:space="0"/>
                <w:lang w:val="en-US"/>
              </w:rPr>
            </w:pPr>
          </w:p>
        </w:tc>
      </w:tr>
      <w:tr w14:paraId="181F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25CFDD0B">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1011A993">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2601EE2A">
            <w:pPr>
              <w:rPr>
                <w:rFonts w:hint="default" w:ascii="Times New Roman" w:hAnsi="Times New Roman" w:cs="Times New Roman"/>
                <w:sz w:val="20"/>
                <w:szCs w:val="20"/>
              </w:rPr>
            </w:pPr>
          </w:p>
        </w:tc>
        <w:tc>
          <w:tcPr>
            <w:tcW w:w="1613" w:type="dxa"/>
            <w:gridSpan w:val="2"/>
            <w:tcBorders>
              <w:top w:val="single" w:color="auto" w:sz="4" w:space="0"/>
              <w:left w:val="nil"/>
              <w:bottom w:val="single" w:color="auto" w:sz="4" w:space="0"/>
              <w:right w:val="single" w:color="auto" w:sz="4" w:space="0"/>
            </w:tcBorders>
            <w:shd w:val="clear"/>
            <w:tcMar>
              <w:left w:w="51" w:type="dxa"/>
              <w:right w:w="51" w:type="dxa"/>
            </w:tcMar>
            <w:vAlign w:val="center"/>
          </w:tcPr>
          <w:p w14:paraId="1DF3E33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校（院）环境</w:t>
            </w:r>
          </w:p>
        </w:tc>
        <w:tc>
          <w:tcPr>
            <w:tcW w:w="1335" w:type="dxa"/>
            <w:gridSpan w:val="2"/>
            <w:tcBorders>
              <w:top w:val="single" w:color="auto" w:sz="4" w:space="0"/>
              <w:left w:val="nil"/>
              <w:bottom w:val="single" w:color="auto" w:sz="4" w:space="0"/>
              <w:right w:val="single" w:color="auto" w:sz="4" w:space="0"/>
            </w:tcBorders>
            <w:shd w:val="clear"/>
            <w:tcMar>
              <w:left w:w="51" w:type="dxa"/>
              <w:right w:w="51" w:type="dxa"/>
            </w:tcMar>
            <w:vAlign w:val="center"/>
          </w:tcPr>
          <w:p w14:paraId="6BACE4D1">
            <w:pPr>
              <w:pStyle w:val="9"/>
              <w:widowControl/>
              <w:spacing w:before="0" w:beforeAutospacing="0" w:after="0" w:afterAutospacing="0" w:line="220" w:lineRule="exact"/>
              <w:ind w:left="0" w:leftChars="0" w:right="0" w:firstLine="0" w:firstLineChars="0"/>
              <w:rPr>
                <w:rFonts w:hint="eastAsia" w:ascii="宋体" w:hAnsi="宋体" w:eastAsia="宋体" w:cs="宋体"/>
                <w:color w:val="000000"/>
                <w:szCs w:val="22"/>
                <w:bdr w:val="none" w:color="auto" w:sz="0" w:space="0"/>
                <w:lang w:val="en-US"/>
              </w:rPr>
            </w:pPr>
            <w:r>
              <w:rPr>
                <w:rFonts w:hint="eastAsia" w:ascii="宋体" w:hAnsi="宋体" w:eastAsia="宋体" w:cs="宋体"/>
                <w:color w:val="000000"/>
                <w:szCs w:val="22"/>
                <w:bdr w:val="none" w:color="auto" w:sz="0" w:space="0"/>
              </w:rPr>
              <w:t>依法依规对党校后街违建建筑进行拆除，并进行提质改造。</w:t>
            </w:r>
          </w:p>
        </w:tc>
        <w:tc>
          <w:tcPr>
            <w:tcW w:w="1332" w:type="dxa"/>
            <w:gridSpan w:val="2"/>
            <w:tcBorders>
              <w:top w:val="single" w:color="auto" w:sz="4" w:space="0"/>
              <w:left w:val="nil"/>
              <w:bottom w:val="single" w:color="auto" w:sz="4" w:space="0"/>
              <w:right w:val="single" w:color="auto" w:sz="4" w:space="0"/>
            </w:tcBorders>
            <w:shd w:val="clear"/>
            <w:tcMar>
              <w:left w:w="51" w:type="dxa"/>
              <w:right w:w="51" w:type="dxa"/>
            </w:tcMar>
            <w:vAlign w:val="center"/>
          </w:tcPr>
          <w:p w14:paraId="3E7C23F9">
            <w:pPr>
              <w:pStyle w:val="9"/>
              <w:widowControl/>
              <w:spacing w:before="0" w:beforeAutospacing="0" w:after="0" w:afterAutospacing="0" w:line="220" w:lineRule="exact"/>
              <w:ind w:left="0" w:leftChars="0" w:right="0" w:firstLine="0" w:firstLineChars="0"/>
              <w:rPr>
                <w:rFonts w:hint="eastAsia" w:ascii="宋体" w:hAnsi="宋体" w:eastAsia="宋体" w:cs="宋体"/>
                <w:color w:val="FF0000"/>
                <w:spacing w:val="-12"/>
                <w:szCs w:val="22"/>
                <w:bdr w:val="none" w:color="auto" w:sz="0" w:space="0"/>
                <w:lang w:val="en-US"/>
              </w:rPr>
            </w:pPr>
            <w:r>
              <w:rPr>
                <w:rFonts w:hint="eastAsia" w:ascii="宋体" w:hAnsi="宋体" w:eastAsia="宋体" w:cs="宋体"/>
                <w:spacing w:val="-12"/>
                <w:szCs w:val="22"/>
                <w:bdr w:val="none" w:color="auto" w:sz="0" w:space="0"/>
              </w:rPr>
              <w:t>校园环境得到明显改善。</w:t>
            </w:r>
          </w:p>
        </w:tc>
        <w:tc>
          <w:tcPr>
            <w:tcW w:w="699" w:type="dxa"/>
            <w:gridSpan w:val="2"/>
            <w:tcBorders>
              <w:top w:val="single" w:color="auto" w:sz="4" w:space="0"/>
              <w:left w:val="nil"/>
              <w:bottom w:val="single" w:color="auto" w:sz="4" w:space="0"/>
              <w:right w:val="single" w:color="auto" w:sz="4" w:space="0"/>
            </w:tcBorders>
            <w:shd w:val="clear"/>
            <w:vAlign w:val="center"/>
          </w:tcPr>
          <w:p w14:paraId="6709AAA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3</w:t>
            </w:r>
          </w:p>
        </w:tc>
        <w:tc>
          <w:tcPr>
            <w:tcW w:w="751" w:type="dxa"/>
            <w:gridSpan w:val="2"/>
            <w:tcBorders>
              <w:top w:val="single" w:color="auto" w:sz="4" w:space="0"/>
              <w:left w:val="nil"/>
              <w:bottom w:val="single" w:color="auto" w:sz="4" w:space="0"/>
              <w:right w:val="single" w:color="auto" w:sz="4" w:space="0"/>
            </w:tcBorders>
            <w:shd w:val="clear"/>
            <w:vAlign w:val="center"/>
          </w:tcPr>
          <w:p w14:paraId="2797DC6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3</w:t>
            </w:r>
          </w:p>
        </w:tc>
        <w:tc>
          <w:tcPr>
            <w:tcW w:w="1023" w:type="dxa"/>
            <w:tcBorders>
              <w:top w:val="single" w:color="auto" w:sz="4" w:space="0"/>
              <w:left w:val="nil"/>
              <w:bottom w:val="single" w:color="auto" w:sz="4" w:space="0"/>
              <w:right w:val="single" w:color="auto" w:sz="4" w:space="0"/>
            </w:tcBorders>
            <w:shd w:val="clear"/>
            <w:vAlign w:val="center"/>
          </w:tcPr>
          <w:p w14:paraId="7891BAB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szCs w:val="22"/>
                <w:bdr w:val="none" w:color="auto" w:sz="0" w:space="0"/>
                <w:lang w:val="en-US"/>
              </w:rPr>
            </w:pPr>
          </w:p>
        </w:tc>
      </w:tr>
      <w:tr w14:paraId="0D60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58ED1992">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65E347E9">
            <w:pPr>
              <w:rPr>
                <w:rFonts w:hint="default" w:ascii="Times New Roman" w:hAnsi="Times New Roman" w:cs="Times New Roman"/>
                <w:sz w:val="20"/>
                <w:szCs w:val="20"/>
              </w:rPr>
            </w:pPr>
          </w:p>
        </w:tc>
        <w:tc>
          <w:tcPr>
            <w:tcW w:w="609" w:type="dxa"/>
            <w:tcBorders>
              <w:top w:val="single" w:color="auto" w:sz="4" w:space="0"/>
              <w:left w:val="nil"/>
              <w:bottom w:val="single" w:color="auto" w:sz="4" w:space="0"/>
              <w:right w:val="single" w:color="auto" w:sz="4" w:space="0"/>
            </w:tcBorders>
            <w:shd w:val="clear"/>
            <w:vAlign w:val="center"/>
          </w:tcPr>
          <w:p w14:paraId="164490C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r>
              <w:rPr>
                <w:rFonts w:hint="eastAsia" w:ascii="宋体" w:hAnsi="宋体" w:eastAsia="宋体" w:cs="宋体"/>
                <w:bdr w:val="none" w:color="auto" w:sz="0" w:space="0"/>
              </w:rPr>
              <w:t>可持续影响指标</w:t>
            </w:r>
          </w:p>
        </w:tc>
        <w:tc>
          <w:tcPr>
            <w:tcW w:w="1613" w:type="dxa"/>
            <w:gridSpan w:val="2"/>
            <w:tcBorders>
              <w:top w:val="single" w:color="auto" w:sz="4" w:space="0"/>
              <w:left w:val="nil"/>
              <w:bottom w:val="single" w:color="auto" w:sz="4" w:space="0"/>
              <w:right w:val="single" w:color="auto" w:sz="4" w:space="0"/>
            </w:tcBorders>
            <w:shd w:val="clear"/>
            <w:tcMar>
              <w:left w:w="51" w:type="dxa"/>
              <w:right w:w="51" w:type="dxa"/>
            </w:tcMar>
            <w:vAlign w:val="center"/>
          </w:tcPr>
          <w:p w14:paraId="02DBD52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szCs w:val="22"/>
                <w:bdr w:val="none" w:color="auto" w:sz="0" w:space="0"/>
                <w:lang w:val="en-US"/>
              </w:rPr>
            </w:pPr>
            <w:r>
              <w:rPr>
                <w:rFonts w:hint="eastAsia" w:ascii="宋体" w:hAnsi="宋体" w:eastAsia="宋体" w:cs="宋体"/>
                <w:color w:val="000000"/>
                <w:szCs w:val="22"/>
                <w:bdr w:val="none" w:color="auto" w:sz="0" w:space="0"/>
              </w:rPr>
              <w:t>办学条件和能力</w:t>
            </w:r>
          </w:p>
        </w:tc>
        <w:tc>
          <w:tcPr>
            <w:tcW w:w="1335" w:type="dxa"/>
            <w:gridSpan w:val="2"/>
            <w:tcBorders>
              <w:top w:val="single" w:color="auto" w:sz="4" w:space="0"/>
              <w:left w:val="nil"/>
              <w:bottom w:val="single" w:color="auto" w:sz="4" w:space="0"/>
              <w:right w:val="single" w:color="auto" w:sz="4" w:space="0"/>
            </w:tcBorders>
            <w:shd w:val="clear"/>
            <w:tcMar>
              <w:left w:w="51" w:type="dxa"/>
              <w:right w:w="51" w:type="dxa"/>
            </w:tcMar>
            <w:vAlign w:val="center"/>
          </w:tcPr>
          <w:p w14:paraId="4ED5AFD7">
            <w:pPr>
              <w:pStyle w:val="9"/>
              <w:widowControl/>
              <w:spacing w:before="0" w:beforeAutospacing="0" w:after="0" w:afterAutospacing="0" w:line="220" w:lineRule="exact"/>
              <w:ind w:left="0" w:leftChars="0" w:right="0" w:firstLine="0" w:firstLineChars="0"/>
              <w:rPr>
                <w:rFonts w:hint="eastAsia" w:ascii="宋体" w:hAnsi="宋体" w:eastAsia="宋体" w:cs="宋体"/>
                <w:color w:val="FF0000"/>
                <w:szCs w:val="22"/>
                <w:bdr w:val="none" w:color="auto" w:sz="0" w:space="0"/>
                <w:lang w:val="en-US"/>
              </w:rPr>
            </w:pPr>
            <w:r>
              <w:rPr>
                <w:rFonts w:hint="eastAsia" w:ascii="宋体" w:hAnsi="宋体" w:eastAsia="宋体" w:cs="宋体"/>
                <w:color w:val="000000"/>
                <w:szCs w:val="22"/>
                <w:bdr w:val="none" w:color="auto" w:sz="0" w:space="0"/>
              </w:rPr>
              <w:t>通过人才建设、基础设施改善、信息化建设加强，不断提高校（院）的办学条件和办学能力。</w:t>
            </w:r>
          </w:p>
        </w:tc>
        <w:tc>
          <w:tcPr>
            <w:tcW w:w="1332" w:type="dxa"/>
            <w:gridSpan w:val="2"/>
            <w:tcBorders>
              <w:top w:val="single" w:color="auto" w:sz="4" w:space="0"/>
              <w:left w:val="nil"/>
              <w:bottom w:val="single" w:color="auto" w:sz="4" w:space="0"/>
              <w:right w:val="single" w:color="auto" w:sz="4" w:space="0"/>
            </w:tcBorders>
            <w:shd w:val="clear"/>
            <w:tcMar>
              <w:left w:w="51" w:type="dxa"/>
              <w:right w:w="51" w:type="dxa"/>
            </w:tcMar>
            <w:vAlign w:val="center"/>
          </w:tcPr>
          <w:p w14:paraId="46CABE3C">
            <w:pPr>
              <w:pStyle w:val="9"/>
              <w:widowControl/>
              <w:spacing w:before="0" w:beforeAutospacing="0" w:after="0" w:afterAutospacing="0" w:line="220" w:lineRule="exact"/>
              <w:ind w:left="0" w:leftChars="0" w:right="0" w:firstLine="0" w:firstLineChars="0"/>
              <w:rPr>
                <w:rFonts w:hint="eastAsia" w:ascii="宋体" w:hAnsi="宋体" w:eastAsia="宋体" w:cs="宋体"/>
                <w:color w:val="FF0000"/>
                <w:spacing w:val="-4"/>
                <w:szCs w:val="22"/>
                <w:bdr w:val="none" w:color="auto" w:sz="0" w:space="0"/>
                <w:lang w:val="en-US"/>
              </w:rPr>
            </w:pPr>
            <w:r>
              <w:rPr>
                <w:rFonts w:hint="eastAsia" w:ascii="宋体" w:hAnsi="宋体" w:eastAsia="宋体" w:cs="宋体"/>
                <w:color w:val="000000"/>
                <w:spacing w:val="-4"/>
                <w:szCs w:val="22"/>
                <w:bdr w:val="none" w:color="auto" w:sz="0" w:space="0"/>
              </w:rPr>
              <w:t>通过人才建设、基础设施改善、信息化建设加强，校（院）的办学条件和办学能力不断向好，校（院）不断向高质量发展。</w:t>
            </w:r>
          </w:p>
        </w:tc>
        <w:tc>
          <w:tcPr>
            <w:tcW w:w="699" w:type="dxa"/>
            <w:gridSpan w:val="2"/>
            <w:tcBorders>
              <w:top w:val="single" w:color="auto" w:sz="4" w:space="0"/>
              <w:left w:val="nil"/>
              <w:bottom w:val="single" w:color="auto" w:sz="4" w:space="0"/>
              <w:right w:val="single" w:color="auto" w:sz="4" w:space="0"/>
            </w:tcBorders>
            <w:shd w:val="clear"/>
            <w:vAlign w:val="center"/>
          </w:tcPr>
          <w:p w14:paraId="644BD694">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5</w:t>
            </w:r>
          </w:p>
        </w:tc>
        <w:tc>
          <w:tcPr>
            <w:tcW w:w="751" w:type="dxa"/>
            <w:gridSpan w:val="2"/>
            <w:tcBorders>
              <w:top w:val="single" w:color="auto" w:sz="4" w:space="0"/>
              <w:left w:val="nil"/>
              <w:bottom w:val="single" w:color="auto" w:sz="4" w:space="0"/>
              <w:right w:val="single" w:color="auto" w:sz="4" w:space="0"/>
            </w:tcBorders>
            <w:shd w:val="clear"/>
            <w:vAlign w:val="center"/>
          </w:tcPr>
          <w:p w14:paraId="52C94F7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szCs w:val="22"/>
                <w:bdr w:val="none" w:color="auto" w:sz="0" w:space="0"/>
                <w:lang w:val="en-US"/>
              </w:rPr>
            </w:pPr>
            <w:r>
              <w:rPr>
                <w:rFonts w:hint="eastAsia" w:ascii="宋体" w:hAnsi="宋体" w:eastAsia="宋体" w:cs="宋体"/>
                <w:szCs w:val="22"/>
                <w:bdr w:val="none" w:color="auto" w:sz="0" w:space="0"/>
                <w:lang w:val="en-US"/>
              </w:rPr>
              <w:t>5</w:t>
            </w:r>
          </w:p>
        </w:tc>
        <w:tc>
          <w:tcPr>
            <w:tcW w:w="1023" w:type="dxa"/>
            <w:tcBorders>
              <w:top w:val="single" w:color="auto" w:sz="4" w:space="0"/>
              <w:left w:val="nil"/>
              <w:bottom w:val="single" w:color="auto" w:sz="4" w:space="0"/>
              <w:right w:val="single" w:color="auto" w:sz="4" w:space="0"/>
            </w:tcBorders>
            <w:shd w:val="clear"/>
            <w:vAlign w:val="center"/>
          </w:tcPr>
          <w:p w14:paraId="2F4E943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szCs w:val="22"/>
                <w:bdr w:val="none" w:color="auto" w:sz="0" w:space="0"/>
                <w:lang w:val="en-US"/>
              </w:rPr>
            </w:pPr>
          </w:p>
        </w:tc>
      </w:tr>
      <w:tr w14:paraId="0D24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9"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01B5FB48">
            <w:pPr>
              <w:rPr>
                <w:rFonts w:hint="default" w:ascii="Times New Roman" w:hAnsi="Times New Roman" w:cs="Times New Roman"/>
                <w:sz w:val="20"/>
                <w:szCs w:val="20"/>
              </w:rPr>
            </w:pPr>
          </w:p>
        </w:tc>
        <w:tc>
          <w:tcPr>
            <w:tcW w:w="774" w:type="dxa"/>
            <w:vMerge w:val="restart"/>
            <w:tcBorders>
              <w:top w:val="single" w:color="auto" w:sz="4" w:space="0"/>
              <w:left w:val="single" w:color="auto" w:sz="4" w:space="0"/>
              <w:bottom w:val="single" w:color="auto" w:sz="4" w:space="0"/>
              <w:right w:val="single" w:color="auto" w:sz="4" w:space="0"/>
            </w:tcBorders>
            <w:shd w:val="clear"/>
            <w:vAlign w:val="center"/>
          </w:tcPr>
          <w:p w14:paraId="605C3DB0">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满意度</w:t>
            </w:r>
          </w:p>
          <w:p w14:paraId="705B59E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指标</w:t>
            </w:r>
          </w:p>
          <w:p w14:paraId="3977A4B9">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(10</w:t>
            </w:r>
            <w:r>
              <w:rPr>
                <w:rFonts w:hint="eastAsia" w:ascii="宋体" w:hAnsi="宋体" w:eastAsia="宋体" w:cs="宋体"/>
                <w:bdr w:val="none" w:color="auto" w:sz="0" w:space="0"/>
              </w:rPr>
              <w:t>分</w:t>
            </w:r>
            <w:r>
              <w:rPr>
                <w:rFonts w:hint="eastAsia" w:ascii="宋体" w:hAnsi="宋体" w:eastAsia="宋体" w:cs="宋体"/>
                <w:bdr w:val="none" w:color="auto" w:sz="0" w:space="0"/>
                <w:lang w:val="en-US"/>
              </w:rPr>
              <w:t>)</w:t>
            </w:r>
          </w:p>
        </w:tc>
        <w:tc>
          <w:tcPr>
            <w:tcW w:w="609" w:type="dxa"/>
            <w:vMerge w:val="restart"/>
            <w:tcBorders>
              <w:top w:val="single" w:color="auto" w:sz="4" w:space="0"/>
              <w:left w:val="single" w:color="auto" w:sz="4" w:space="0"/>
              <w:bottom w:val="single" w:color="auto" w:sz="4" w:space="0"/>
              <w:right w:val="single" w:color="auto" w:sz="4" w:space="0"/>
            </w:tcBorders>
            <w:shd w:val="clear"/>
            <w:vAlign w:val="center"/>
          </w:tcPr>
          <w:p w14:paraId="6D3034E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服务对象满意度指标</w:t>
            </w:r>
          </w:p>
        </w:tc>
        <w:tc>
          <w:tcPr>
            <w:tcW w:w="1613" w:type="dxa"/>
            <w:gridSpan w:val="2"/>
            <w:tcBorders>
              <w:top w:val="nil"/>
              <w:left w:val="nil"/>
              <w:bottom w:val="single" w:color="auto" w:sz="4" w:space="0"/>
              <w:right w:val="single" w:color="auto" w:sz="4" w:space="0"/>
            </w:tcBorders>
            <w:shd w:val="clear"/>
            <w:vAlign w:val="center"/>
          </w:tcPr>
          <w:p w14:paraId="0878E31F">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学员满意度</w:t>
            </w:r>
          </w:p>
        </w:tc>
        <w:tc>
          <w:tcPr>
            <w:tcW w:w="1335" w:type="dxa"/>
            <w:gridSpan w:val="2"/>
            <w:tcBorders>
              <w:top w:val="nil"/>
              <w:left w:val="nil"/>
              <w:bottom w:val="single" w:color="auto" w:sz="4" w:space="0"/>
              <w:right w:val="single" w:color="auto" w:sz="4" w:space="0"/>
            </w:tcBorders>
            <w:shd w:val="clear"/>
            <w:vAlign w:val="center"/>
          </w:tcPr>
          <w:p w14:paraId="3D1C1F7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w:t>
            </w:r>
            <w:r>
              <w:rPr>
                <w:rFonts w:hint="eastAsia" w:ascii="宋体" w:hAnsi="宋体" w:eastAsia="宋体" w:cs="宋体"/>
                <w:bdr w:val="none" w:color="auto" w:sz="0" w:space="0"/>
                <w:lang w:val="en-US"/>
              </w:rPr>
              <w:t>95%</w:t>
            </w:r>
          </w:p>
        </w:tc>
        <w:tc>
          <w:tcPr>
            <w:tcW w:w="1332" w:type="dxa"/>
            <w:gridSpan w:val="2"/>
            <w:tcBorders>
              <w:top w:val="nil"/>
              <w:left w:val="nil"/>
              <w:bottom w:val="single" w:color="auto" w:sz="4" w:space="0"/>
              <w:right w:val="single" w:color="auto" w:sz="4" w:space="0"/>
            </w:tcBorders>
            <w:shd w:val="clear"/>
            <w:vAlign w:val="center"/>
          </w:tcPr>
          <w:p w14:paraId="71DC423D">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100%</w:t>
            </w:r>
          </w:p>
        </w:tc>
        <w:tc>
          <w:tcPr>
            <w:tcW w:w="699" w:type="dxa"/>
            <w:gridSpan w:val="2"/>
            <w:tcBorders>
              <w:top w:val="nil"/>
              <w:left w:val="nil"/>
              <w:bottom w:val="single" w:color="auto" w:sz="4" w:space="0"/>
              <w:right w:val="single" w:color="auto" w:sz="4" w:space="0"/>
            </w:tcBorders>
            <w:shd w:val="clear"/>
            <w:vAlign w:val="center"/>
          </w:tcPr>
          <w:p w14:paraId="7F0C9527">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6</w:t>
            </w:r>
          </w:p>
        </w:tc>
        <w:tc>
          <w:tcPr>
            <w:tcW w:w="751" w:type="dxa"/>
            <w:gridSpan w:val="2"/>
            <w:tcBorders>
              <w:top w:val="nil"/>
              <w:left w:val="nil"/>
              <w:bottom w:val="single" w:color="auto" w:sz="4" w:space="0"/>
              <w:right w:val="single" w:color="auto" w:sz="4" w:space="0"/>
            </w:tcBorders>
            <w:shd w:val="clear"/>
            <w:vAlign w:val="center"/>
          </w:tcPr>
          <w:p w14:paraId="5059B01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6</w:t>
            </w:r>
          </w:p>
        </w:tc>
        <w:tc>
          <w:tcPr>
            <w:tcW w:w="1023" w:type="dxa"/>
            <w:tcBorders>
              <w:top w:val="nil"/>
              <w:left w:val="nil"/>
              <w:bottom w:val="single" w:color="auto" w:sz="4" w:space="0"/>
              <w:right w:val="single" w:color="auto" w:sz="4" w:space="0"/>
            </w:tcBorders>
            <w:shd w:val="clear"/>
            <w:vAlign w:val="center"/>
          </w:tcPr>
          <w:p w14:paraId="3C9E6A21">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179F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907" w:type="dxa"/>
            <w:vMerge w:val="continue"/>
            <w:tcBorders>
              <w:top w:val="single" w:color="auto" w:sz="4" w:space="0"/>
              <w:left w:val="single" w:color="auto" w:sz="4" w:space="0"/>
              <w:bottom w:val="single" w:color="auto" w:sz="4" w:space="0"/>
              <w:right w:val="single" w:color="auto" w:sz="4" w:space="0"/>
            </w:tcBorders>
            <w:shd w:val="clear"/>
            <w:vAlign w:val="center"/>
          </w:tcPr>
          <w:p w14:paraId="326C9C4B">
            <w:pPr>
              <w:rPr>
                <w:rFonts w:hint="default" w:ascii="Times New Roman" w:hAnsi="Times New Roman" w:cs="Times New Roman"/>
                <w:sz w:val="20"/>
                <w:szCs w:val="20"/>
              </w:rPr>
            </w:pPr>
          </w:p>
        </w:tc>
        <w:tc>
          <w:tcPr>
            <w:tcW w:w="774" w:type="dxa"/>
            <w:vMerge w:val="continue"/>
            <w:tcBorders>
              <w:top w:val="single" w:color="auto" w:sz="4" w:space="0"/>
              <w:left w:val="single" w:color="auto" w:sz="4" w:space="0"/>
              <w:bottom w:val="single" w:color="auto" w:sz="4" w:space="0"/>
              <w:right w:val="single" w:color="auto" w:sz="4" w:space="0"/>
            </w:tcBorders>
            <w:shd w:val="clear"/>
            <w:vAlign w:val="center"/>
          </w:tcPr>
          <w:p w14:paraId="388DC12D">
            <w:pPr>
              <w:rPr>
                <w:rFonts w:hint="default" w:ascii="Times New Roman" w:hAnsi="Times New Roman" w:cs="Times New Roman"/>
                <w:sz w:val="20"/>
                <w:szCs w:val="20"/>
              </w:rPr>
            </w:pPr>
          </w:p>
        </w:tc>
        <w:tc>
          <w:tcPr>
            <w:tcW w:w="609" w:type="dxa"/>
            <w:vMerge w:val="continue"/>
            <w:tcBorders>
              <w:top w:val="single" w:color="auto" w:sz="4" w:space="0"/>
              <w:left w:val="single" w:color="auto" w:sz="4" w:space="0"/>
              <w:bottom w:val="single" w:color="auto" w:sz="4" w:space="0"/>
              <w:right w:val="single" w:color="auto" w:sz="4" w:space="0"/>
            </w:tcBorders>
            <w:shd w:val="clear"/>
            <w:vAlign w:val="center"/>
          </w:tcPr>
          <w:p w14:paraId="36F5624E">
            <w:pPr>
              <w:rPr>
                <w:rFonts w:hint="default" w:ascii="Times New Roman" w:hAnsi="Times New Roman" w:cs="Times New Roman"/>
                <w:sz w:val="20"/>
                <w:szCs w:val="20"/>
              </w:rPr>
            </w:pPr>
          </w:p>
        </w:tc>
        <w:tc>
          <w:tcPr>
            <w:tcW w:w="1613" w:type="dxa"/>
            <w:gridSpan w:val="2"/>
            <w:tcBorders>
              <w:top w:val="nil"/>
              <w:left w:val="nil"/>
              <w:bottom w:val="single" w:color="auto" w:sz="4" w:space="0"/>
              <w:right w:val="single" w:color="auto" w:sz="4" w:space="0"/>
            </w:tcBorders>
            <w:shd w:val="clear"/>
            <w:vAlign w:val="center"/>
          </w:tcPr>
          <w:p w14:paraId="3E8BC87B">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社会公众投诉率</w:t>
            </w:r>
            <w:r>
              <w:rPr>
                <w:rFonts w:hint="eastAsia" w:ascii="宋体" w:hAnsi="宋体" w:eastAsia="宋体" w:cs="宋体"/>
                <w:bdr w:val="none" w:color="auto" w:sz="0" w:space="0"/>
                <w:lang w:val="en-US"/>
              </w:rPr>
              <w:t>/</w:t>
            </w:r>
            <w:r>
              <w:rPr>
                <w:rFonts w:hint="eastAsia" w:ascii="宋体" w:hAnsi="宋体" w:eastAsia="宋体" w:cs="宋体"/>
                <w:bdr w:val="none" w:color="auto" w:sz="0" w:space="0"/>
              </w:rPr>
              <w:t>投诉次数</w:t>
            </w:r>
          </w:p>
        </w:tc>
        <w:tc>
          <w:tcPr>
            <w:tcW w:w="1335" w:type="dxa"/>
            <w:gridSpan w:val="2"/>
            <w:tcBorders>
              <w:top w:val="nil"/>
              <w:left w:val="nil"/>
              <w:bottom w:val="single" w:color="auto" w:sz="4" w:space="0"/>
              <w:right w:val="single" w:color="auto" w:sz="4" w:space="0"/>
            </w:tcBorders>
            <w:shd w:val="clear"/>
            <w:vAlign w:val="center"/>
          </w:tcPr>
          <w:p w14:paraId="48704F00">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w:t>
            </w:r>
            <w:r>
              <w:rPr>
                <w:rFonts w:hint="eastAsia" w:ascii="宋体" w:hAnsi="宋体" w:eastAsia="宋体" w:cs="宋体"/>
                <w:bdr w:val="none" w:color="auto" w:sz="0" w:space="0"/>
                <w:lang w:val="en-US"/>
              </w:rPr>
              <w:t>3</w:t>
            </w:r>
            <w:r>
              <w:rPr>
                <w:rFonts w:hint="eastAsia" w:ascii="宋体" w:hAnsi="宋体" w:eastAsia="宋体" w:cs="宋体"/>
                <w:bdr w:val="none" w:color="auto" w:sz="0" w:space="0"/>
              </w:rPr>
              <w:t>次</w:t>
            </w:r>
          </w:p>
        </w:tc>
        <w:tc>
          <w:tcPr>
            <w:tcW w:w="1332" w:type="dxa"/>
            <w:gridSpan w:val="2"/>
            <w:tcBorders>
              <w:top w:val="nil"/>
              <w:left w:val="nil"/>
              <w:bottom w:val="single" w:color="auto" w:sz="4" w:space="0"/>
              <w:right w:val="single" w:color="auto" w:sz="4" w:space="0"/>
            </w:tcBorders>
            <w:shd w:val="clear"/>
            <w:vAlign w:val="center"/>
          </w:tcPr>
          <w:p w14:paraId="1D3B6952">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0</w:t>
            </w:r>
            <w:r>
              <w:rPr>
                <w:rFonts w:hint="eastAsia" w:ascii="宋体" w:hAnsi="宋体" w:eastAsia="宋体" w:cs="宋体"/>
                <w:bdr w:val="none" w:color="auto" w:sz="0" w:space="0"/>
              </w:rPr>
              <w:t>次</w:t>
            </w:r>
          </w:p>
        </w:tc>
        <w:tc>
          <w:tcPr>
            <w:tcW w:w="699" w:type="dxa"/>
            <w:gridSpan w:val="2"/>
            <w:tcBorders>
              <w:top w:val="nil"/>
              <w:left w:val="nil"/>
              <w:bottom w:val="single" w:color="auto" w:sz="4" w:space="0"/>
              <w:right w:val="single" w:color="auto" w:sz="4" w:space="0"/>
            </w:tcBorders>
            <w:shd w:val="clear"/>
            <w:vAlign w:val="center"/>
          </w:tcPr>
          <w:p w14:paraId="7D5CC666">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w:t>
            </w:r>
          </w:p>
        </w:tc>
        <w:tc>
          <w:tcPr>
            <w:tcW w:w="751" w:type="dxa"/>
            <w:gridSpan w:val="2"/>
            <w:tcBorders>
              <w:top w:val="nil"/>
              <w:left w:val="nil"/>
              <w:bottom w:val="single" w:color="auto" w:sz="4" w:space="0"/>
              <w:right w:val="single" w:color="auto" w:sz="4" w:space="0"/>
            </w:tcBorders>
            <w:shd w:val="clear"/>
            <w:vAlign w:val="center"/>
          </w:tcPr>
          <w:p w14:paraId="4C1695FC">
            <w:pPr>
              <w:pStyle w:val="9"/>
              <w:widowControl/>
              <w:spacing w:before="0" w:beforeAutospacing="0" w:after="0" w:afterAutospacing="0" w:line="22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w:t>
            </w:r>
          </w:p>
        </w:tc>
        <w:tc>
          <w:tcPr>
            <w:tcW w:w="1023" w:type="dxa"/>
            <w:tcBorders>
              <w:top w:val="nil"/>
              <w:left w:val="nil"/>
              <w:bottom w:val="single" w:color="auto" w:sz="4" w:space="0"/>
              <w:right w:val="single" w:color="auto" w:sz="4" w:space="0"/>
            </w:tcBorders>
            <w:shd w:val="clear"/>
            <w:vAlign w:val="center"/>
          </w:tcPr>
          <w:p w14:paraId="0EC322F8">
            <w:pPr>
              <w:pStyle w:val="9"/>
              <w:widowControl/>
              <w:spacing w:before="0" w:beforeAutospacing="0" w:after="0" w:afterAutospacing="0" w:line="220" w:lineRule="exact"/>
              <w:ind w:left="0" w:leftChars="0" w:right="0" w:firstLine="0" w:firstLineChars="0"/>
              <w:jc w:val="center"/>
              <w:rPr>
                <w:rFonts w:hint="eastAsia" w:ascii="宋体" w:hAnsi="宋体" w:eastAsia="宋体" w:cs="宋体"/>
                <w:color w:val="FF0000"/>
                <w:bdr w:val="none" w:color="auto" w:sz="0" w:space="0"/>
                <w:lang w:val="en-US"/>
              </w:rPr>
            </w:pPr>
          </w:p>
        </w:tc>
      </w:tr>
      <w:tr w14:paraId="4BE9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1" w:hRule="atLeast"/>
          <w:jc w:val="center"/>
        </w:trPr>
        <w:tc>
          <w:tcPr>
            <w:tcW w:w="6570" w:type="dxa"/>
            <w:gridSpan w:val="9"/>
            <w:tcBorders>
              <w:top w:val="single" w:color="auto" w:sz="4" w:space="0"/>
              <w:left w:val="single" w:color="auto" w:sz="4" w:space="0"/>
              <w:bottom w:val="single" w:color="auto" w:sz="4" w:space="0"/>
              <w:right w:val="single" w:color="000000" w:sz="4" w:space="0"/>
            </w:tcBorders>
            <w:shd w:val="clear"/>
            <w:vAlign w:val="center"/>
          </w:tcPr>
          <w:p w14:paraId="11EADED2">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总分</w:t>
            </w:r>
          </w:p>
        </w:tc>
        <w:tc>
          <w:tcPr>
            <w:tcW w:w="699" w:type="dxa"/>
            <w:gridSpan w:val="2"/>
            <w:tcBorders>
              <w:top w:val="nil"/>
              <w:left w:val="nil"/>
              <w:bottom w:val="single" w:color="auto" w:sz="4" w:space="0"/>
              <w:right w:val="single" w:color="auto" w:sz="4" w:space="0"/>
            </w:tcBorders>
            <w:shd w:val="clear"/>
            <w:vAlign w:val="center"/>
          </w:tcPr>
          <w:p w14:paraId="2F2916DC">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100</w:t>
            </w:r>
          </w:p>
        </w:tc>
        <w:tc>
          <w:tcPr>
            <w:tcW w:w="751" w:type="dxa"/>
            <w:gridSpan w:val="2"/>
            <w:tcBorders>
              <w:top w:val="nil"/>
              <w:left w:val="nil"/>
              <w:bottom w:val="single" w:color="auto" w:sz="4" w:space="0"/>
              <w:right w:val="single" w:color="auto" w:sz="4" w:space="0"/>
            </w:tcBorders>
            <w:shd w:val="clear"/>
            <w:vAlign w:val="center"/>
          </w:tcPr>
          <w:p w14:paraId="7A5FF3E8">
            <w:pPr>
              <w:pStyle w:val="9"/>
              <w:widowControl/>
              <w:spacing w:before="0" w:beforeAutospacing="0" w:after="0" w:afterAutospacing="0" w:line="240" w:lineRule="exact"/>
              <w:ind w:left="0" w:leftChars="0" w:right="0" w:firstLine="0" w:firstLineChars="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98.05</w:t>
            </w:r>
          </w:p>
        </w:tc>
        <w:tc>
          <w:tcPr>
            <w:tcW w:w="1023" w:type="dxa"/>
            <w:tcBorders>
              <w:top w:val="nil"/>
              <w:left w:val="nil"/>
              <w:bottom w:val="single" w:color="auto" w:sz="4" w:space="0"/>
              <w:right w:val="single" w:color="auto" w:sz="4" w:space="0"/>
            </w:tcBorders>
            <w:shd w:val="clear"/>
            <w:vAlign w:val="center"/>
          </w:tcPr>
          <w:p w14:paraId="4C5FE35D">
            <w:pPr>
              <w:pStyle w:val="9"/>
              <w:widowControl/>
              <w:spacing w:before="0" w:beforeAutospacing="0" w:after="0" w:afterAutospacing="0" w:line="240" w:lineRule="exact"/>
              <w:ind w:left="0" w:leftChars="0" w:right="0" w:firstLine="0" w:firstLineChars="0"/>
              <w:jc w:val="center"/>
              <w:rPr>
                <w:rFonts w:hint="eastAsia" w:ascii="宋体" w:hAnsi="宋体" w:eastAsia="宋体" w:cs="宋体"/>
                <w:color w:val="FF0000"/>
                <w:bdr w:val="none" w:color="auto" w:sz="0" w:space="0"/>
                <w:lang w:val="en-US"/>
              </w:rPr>
            </w:pPr>
          </w:p>
        </w:tc>
      </w:tr>
    </w:tbl>
    <w:p w14:paraId="619DCF64">
      <w:pPr>
        <w:keepNext w:val="0"/>
        <w:keepLines w:val="0"/>
        <w:widowControl w:val="0"/>
        <w:suppressLineNumbers w:val="0"/>
        <w:spacing w:before="190" w:beforeLines="30" w:beforeAutospacing="0" w:after="0" w:afterAutospacing="0" w:line="240" w:lineRule="exact"/>
        <w:ind w:left="0" w:right="0"/>
        <w:jc w:val="both"/>
        <w:rPr>
          <w:rFonts w:hint="eastAsia" w:ascii="仿宋_GB2312"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填表人：吴丹                             填报日期：2025年4月17日</w:t>
      </w:r>
    </w:p>
    <w:p w14:paraId="7B912F32">
      <w:pPr>
        <w:keepNext w:val="0"/>
        <w:keepLines w:val="0"/>
        <w:widowControl w:val="0"/>
        <w:suppressLineNumbers w:val="0"/>
        <w:spacing w:before="0" w:beforeAutospacing="0" w:after="0" w:afterAutospacing="0" w:line="240" w:lineRule="exact"/>
        <w:ind w:left="0" w:right="0"/>
        <w:jc w:val="both"/>
        <w:rPr>
          <w:rFonts w:hint="eastAsia" w:ascii="仿宋_GB2312"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联系电话：18570802181                    单位负责人签字：</w:t>
      </w:r>
    </w:p>
    <w:p w14:paraId="30C86704">
      <w:pPr>
        <w:pStyle w:val="9"/>
        <w:widowControl/>
        <w:spacing w:before="0" w:beforeAutospacing="0" w:after="120" w:afterAutospacing="0"/>
        <w:ind w:left="0" w:leftChars="0" w:right="0" w:firstLine="0" w:firstLineChars="0"/>
        <w:rPr>
          <w:lang w:val="en-US"/>
        </w:rPr>
      </w:pPr>
      <w:r>
        <w:rPr>
          <w:rFonts w:hint="eastAsia" w:ascii="黑体" w:hAnsi="宋体" w:eastAsia="黑体" w:cs="黑体"/>
          <w:sz w:val="32"/>
          <w:szCs w:val="32"/>
          <w:lang w:eastAsia="zh-CN"/>
        </w:rPr>
        <w:t>附件</w:t>
      </w:r>
      <w:r>
        <w:rPr>
          <w:rFonts w:hint="eastAsia" w:ascii="黑体" w:hAnsi="宋体" w:eastAsia="黑体" w:cs="黑体"/>
          <w:sz w:val="32"/>
          <w:szCs w:val="32"/>
          <w:lang w:val="en-US"/>
        </w:rPr>
        <w:t>3</w:t>
      </w:r>
    </w:p>
    <w:p w14:paraId="4E715DDC">
      <w:pPr>
        <w:pStyle w:val="9"/>
        <w:widowControl/>
        <w:spacing w:before="0" w:beforeAutospacing="0" w:after="0" w:afterAutospacing="0" w:line="600" w:lineRule="exact"/>
        <w:ind w:left="0" w:leftChars="0" w:right="0" w:firstLine="0" w:firstLineChars="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2024</w:t>
      </w:r>
      <w:r>
        <w:rPr>
          <w:rFonts w:hint="eastAsia" w:ascii="方正小标宋简体" w:hAnsi="方正小标宋简体" w:eastAsia="方正小标宋简体" w:cs="方正小标宋简体"/>
          <w:sz w:val="44"/>
          <w:szCs w:val="44"/>
          <w:lang w:eastAsia="zh-CN"/>
        </w:rPr>
        <w:t>年度项目支出绩效自评表</w:t>
      </w:r>
    </w:p>
    <w:p w14:paraId="2C6E0D8D">
      <w:pPr>
        <w:pStyle w:val="9"/>
        <w:widowControl/>
        <w:spacing w:before="0" w:beforeAutospacing="0" w:after="0" w:afterAutospacing="0" w:line="600" w:lineRule="exact"/>
        <w:ind w:left="0" w:leftChars="0" w:right="0" w:firstLine="0" w:firstLineChars="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eastAsia="zh-CN"/>
        </w:rPr>
        <w:t>（业务工作经费）</w:t>
      </w:r>
    </w:p>
    <w:tbl>
      <w:tblPr>
        <w:tblStyle w:val="10"/>
        <w:tblW w:w="8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88"/>
        <w:gridCol w:w="921"/>
        <w:gridCol w:w="517"/>
        <w:gridCol w:w="1451"/>
        <w:gridCol w:w="1037"/>
        <w:gridCol w:w="1057"/>
        <w:gridCol w:w="814"/>
        <w:gridCol w:w="854"/>
        <w:gridCol w:w="842"/>
      </w:tblGrid>
      <w:tr w14:paraId="5612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jc w:val="center"/>
        </w:trPr>
        <w:tc>
          <w:tcPr>
            <w:tcW w:w="1487" w:type="dxa"/>
            <w:tcBorders>
              <w:top w:val="single" w:color="auto" w:sz="4" w:space="0"/>
              <w:left w:val="single" w:color="auto" w:sz="4" w:space="0"/>
              <w:bottom w:val="single" w:color="auto" w:sz="4" w:space="0"/>
              <w:right w:val="single" w:color="auto" w:sz="4" w:space="0"/>
            </w:tcBorders>
            <w:shd w:val="clear"/>
            <w:vAlign w:val="center"/>
          </w:tcPr>
          <w:p w14:paraId="5C040B5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项目支</w:t>
            </w:r>
          </w:p>
          <w:p w14:paraId="274376B8">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出名称</w:t>
            </w:r>
          </w:p>
        </w:tc>
        <w:tc>
          <w:tcPr>
            <w:tcW w:w="7492" w:type="dxa"/>
            <w:gridSpan w:val="8"/>
            <w:tcBorders>
              <w:top w:val="single" w:color="auto" w:sz="4" w:space="0"/>
              <w:left w:val="nil"/>
              <w:bottom w:val="single" w:color="auto" w:sz="4" w:space="0"/>
              <w:right w:val="single" w:color="auto" w:sz="4" w:space="0"/>
            </w:tcBorders>
            <w:shd w:val="clear"/>
            <w:vAlign w:val="center"/>
          </w:tcPr>
          <w:p w14:paraId="1638696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业务工作经费</w:t>
            </w:r>
          </w:p>
        </w:tc>
      </w:tr>
      <w:tr w14:paraId="65AA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1487" w:type="dxa"/>
            <w:tcBorders>
              <w:top w:val="nil"/>
              <w:left w:val="single" w:color="auto" w:sz="4" w:space="0"/>
              <w:bottom w:val="single" w:color="auto" w:sz="4" w:space="0"/>
              <w:right w:val="single" w:color="auto" w:sz="4" w:space="0"/>
            </w:tcBorders>
            <w:shd w:val="clear"/>
            <w:vAlign w:val="center"/>
          </w:tcPr>
          <w:p w14:paraId="6844ADF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主管</w:t>
            </w:r>
          </w:p>
          <w:p w14:paraId="7E48AD8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部门</w:t>
            </w:r>
          </w:p>
        </w:tc>
        <w:tc>
          <w:tcPr>
            <w:tcW w:w="3925" w:type="dxa"/>
            <w:gridSpan w:val="4"/>
            <w:tcBorders>
              <w:top w:val="single" w:color="auto" w:sz="4" w:space="0"/>
              <w:left w:val="nil"/>
              <w:bottom w:val="single" w:color="auto" w:sz="4" w:space="0"/>
              <w:right w:val="single" w:color="auto" w:sz="4" w:space="0"/>
            </w:tcBorders>
            <w:shd w:val="clear"/>
            <w:vAlign w:val="center"/>
          </w:tcPr>
          <w:p w14:paraId="4DAF20B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p>
        </w:tc>
        <w:tc>
          <w:tcPr>
            <w:tcW w:w="1057" w:type="dxa"/>
            <w:tcBorders>
              <w:top w:val="single" w:color="auto" w:sz="4" w:space="0"/>
              <w:left w:val="nil"/>
              <w:bottom w:val="single" w:color="auto" w:sz="4" w:space="0"/>
              <w:right w:val="single" w:color="000000" w:sz="4" w:space="0"/>
            </w:tcBorders>
            <w:shd w:val="clear"/>
            <w:vAlign w:val="center"/>
          </w:tcPr>
          <w:p w14:paraId="7718D76D">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实施单位</w:t>
            </w:r>
          </w:p>
        </w:tc>
        <w:tc>
          <w:tcPr>
            <w:tcW w:w="2510" w:type="dxa"/>
            <w:gridSpan w:val="3"/>
            <w:tcBorders>
              <w:top w:val="single" w:color="auto" w:sz="4" w:space="0"/>
              <w:left w:val="nil"/>
              <w:bottom w:val="single" w:color="auto" w:sz="4" w:space="0"/>
              <w:right w:val="single" w:color="auto" w:sz="4" w:space="0"/>
            </w:tcBorders>
            <w:shd w:val="clear"/>
            <w:vAlign w:val="center"/>
          </w:tcPr>
          <w:p w14:paraId="7C04494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p>
        </w:tc>
      </w:tr>
      <w:tr w14:paraId="5201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5" w:hRule="atLeast"/>
          <w:jc w:val="center"/>
        </w:trPr>
        <w:tc>
          <w:tcPr>
            <w:tcW w:w="1487" w:type="dxa"/>
            <w:vMerge w:val="restart"/>
            <w:tcBorders>
              <w:top w:val="nil"/>
              <w:left w:val="single" w:color="auto" w:sz="4" w:space="0"/>
              <w:bottom w:val="single" w:color="000000" w:sz="4" w:space="0"/>
              <w:right w:val="single" w:color="auto" w:sz="4" w:space="0"/>
            </w:tcBorders>
            <w:shd w:val="clear"/>
            <w:vAlign w:val="center"/>
          </w:tcPr>
          <w:p w14:paraId="7B6701D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项目</w:t>
            </w:r>
          </w:p>
          <w:p w14:paraId="1660DB4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资金</w:t>
            </w:r>
            <w:r>
              <w:rPr>
                <w:rFonts w:hint="eastAsia" w:ascii="宋体" w:hAnsi="宋体" w:eastAsia="宋体" w:cs="宋体"/>
                <w:szCs w:val="20"/>
                <w:bdr w:val="none" w:color="auto" w:sz="0" w:space="0"/>
                <w:lang w:val="en-US"/>
              </w:rPr>
              <w:br w:type="textWrapping"/>
            </w:r>
            <w:r>
              <w:rPr>
                <w:rFonts w:hint="eastAsia" w:ascii="宋体" w:hAnsi="宋体" w:eastAsia="宋体" w:cs="宋体"/>
                <w:szCs w:val="20"/>
                <w:bdr w:val="none" w:color="auto" w:sz="0" w:space="0"/>
              </w:rPr>
              <w:t>（万元）</w:t>
            </w:r>
          </w:p>
        </w:tc>
        <w:tc>
          <w:tcPr>
            <w:tcW w:w="1438" w:type="dxa"/>
            <w:gridSpan w:val="2"/>
            <w:tcBorders>
              <w:top w:val="nil"/>
              <w:left w:val="nil"/>
              <w:bottom w:val="single" w:color="auto" w:sz="4" w:space="0"/>
              <w:right w:val="single" w:color="auto" w:sz="4" w:space="0"/>
            </w:tcBorders>
            <w:shd w:val="clear"/>
            <w:vAlign w:val="center"/>
          </w:tcPr>
          <w:p w14:paraId="5E6088F4">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c>
          <w:tcPr>
            <w:tcW w:w="1450" w:type="dxa"/>
            <w:tcBorders>
              <w:top w:val="nil"/>
              <w:left w:val="nil"/>
              <w:bottom w:val="single" w:color="auto" w:sz="4" w:space="0"/>
              <w:right w:val="single" w:color="auto" w:sz="4" w:space="0"/>
            </w:tcBorders>
            <w:shd w:val="clear"/>
            <w:vAlign w:val="center"/>
          </w:tcPr>
          <w:p w14:paraId="76936F4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年初</w:t>
            </w:r>
          </w:p>
          <w:p w14:paraId="2E2AEC66">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预算数</w:t>
            </w:r>
          </w:p>
        </w:tc>
        <w:tc>
          <w:tcPr>
            <w:tcW w:w="1037" w:type="dxa"/>
            <w:tcBorders>
              <w:top w:val="nil"/>
              <w:left w:val="nil"/>
              <w:bottom w:val="single" w:color="auto" w:sz="4" w:space="0"/>
              <w:right w:val="single" w:color="auto" w:sz="4" w:space="0"/>
            </w:tcBorders>
            <w:shd w:val="clear"/>
            <w:vAlign w:val="center"/>
          </w:tcPr>
          <w:p w14:paraId="3CDB649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全年</w:t>
            </w:r>
          </w:p>
          <w:p w14:paraId="61FFE6F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预算数</w:t>
            </w:r>
          </w:p>
        </w:tc>
        <w:tc>
          <w:tcPr>
            <w:tcW w:w="1057" w:type="dxa"/>
            <w:tcBorders>
              <w:top w:val="nil"/>
              <w:left w:val="nil"/>
              <w:bottom w:val="single" w:color="auto" w:sz="4" w:space="0"/>
              <w:right w:val="single" w:color="auto" w:sz="4" w:space="0"/>
            </w:tcBorders>
            <w:shd w:val="clear"/>
            <w:vAlign w:val="center"/>
          </w:tcPr>
          <w:p w14:paraId="5B181B7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全年</w:t>
            </w:r>
          </w:p>
          <w:p w14:paraId="022EE5B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执行数</w:t>
            </w:r>
          </w:p>
        </w:tc>
        <w:tc>
          <w:tcPr>
            <w:tcW w:w="814" w:type="dxa"/>
            <w:tcBorders>
              <w:top w:val="nil"/>
              <w:left w:val="nil"/>
              <w:bottom w:val="single" w:color="auto" w:sz="4" w:space="0"/>
              <w:right w:val="single" w:color="auto" w:sz="4" w:space="0"/>
            </w:tcBorders>
            <w:shd w:val="clear"/>
            <w:vAlign w:val="center"/>
          </w:tcPr>
          <w:p w14:paraId="3DF9F1E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分值</w:t>
            </w:r>
          </w:p>
        </w:tc>
        <w:tc>
          <w:tcPr>
            <w:tcW w:w="854" w:type="dxa"/>
            <w:tcBorders>
              <w:top w:val="nil"/>
              <w:left w:val="nil"/>
              <w:bottom w:val="single" w:color="auto" w:sz="4" w:space="0"/>
              <w:right w:val="single" w:color="auto" w:sz="4" w:space="0"/>
            </w:tcBorders>
            <w:shd w:val="clear"/>
            <w:vAlign w:val="center"/>
          </w:tcPr>
          <w:p w14:paraId="06DCEE6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执行率</w:t>
            </w:r>
          </w:p>
        </w:tc>
        <w:tc>
          <w:tcPr>
            <w:tcW w:w="842" w:type="dxa"/>
            <w:tcBorders>
              <w:top w:val="nil"/>
              <w:left w:val="nil"/>
              <w:bottom w:val="single" w:color="auto" w:sz="4" w:space="0"/>
              <w:right w:val="single" w:color="auto" w:sz="4" w:space="0"/>
            </w:tcBorders>
            <w:shd w:val="clear"/>
            <w:vAlign w:val="center"/>
          </w:tcPr>
          <w:p w14:paraId="2192DD5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得分</w:t>
            </w:r>
          </w:p>
        </w:tc>
      </w:tr>
      <w:tr w14:paraId="7AE0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jc w:val="center"/>
        </w:trPr>
        <w:tc>
          <w:tcPr>
            <w:tcW w:w="1487" w:type="dxa"/>
            <w:vMerge w:val="continue"/>
            <w:tcBorders>
              <w:top w:val="nil"/>
              <w:left w:val="single" w:color="auto" w:sz="4" w:space="0"/>
              <w:bottom w:val="single" w:color="000000" w:sz="4" w:space="0"/>
              <w:right w:val="single" w:color="auto" w:sz="4" w:space="0"/>
            </w:tcBorders>
            <w:shd w:val="clear"/>
            <w:vAlign w:val="center"/>
          </w:tcPr>
          <w:p w14:paraId="3500E761">
            <w:pPr>
              <w:rPr>
                <w:rFonts w:hint="default" w:ascii="Times New Roman" w:hAnsi="Times New Roman" w:cs="Times New Roman"/>
                <w:sz w:val="20"/>
                <w:szCs w:val="20"/>
              </w:rPr>
            </w:pPr>
          </w:p>
        </w:tc>
        <w:tc>
          <w:tcPr>
            <w:tcW w:w="1438" w:type="dxa"/>
            <w:gridSpan w:val="2"/>
            <w:tcBorders>
              <w:top w:val="nil"/>
              <w:left w:val="nil"/>
              <w:bottom w:val="single" w:color="auto" w:sz="4" w:space="0"/>
              <w:right w:val="single" w:color="auto" w:sz="4" w:space="0"/>
            </w:tcBorders>
            <w:shd w:val="clear"/>
            <w:vAlign w:val="center"/>
          </w:tcPr>
          <w:p w14:paraId="45E889EB">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年度资金总额　</w:t>
            </w:r>
          </w:p>
        </w:tc>
        <w:tc>
          <w:tcPr>
            <w:tcW w:w="1450" w:type="dxa"/>
            <w:tcBorders>
              <w:top w:val="nil"/>
              <w:left w:val="nil"/>
              <w:bottom w:val="single" w:color="auto" w:sz="4" w:space="0"/>
              <w:right w:val="single" w:color="auto" w:sz="4" w:space="0"/>
            </w:tcBorders>
            <w:shd w:val="clear"/>
            <w:vAlign w:val="center"/>
          </w:tcPr>
          <w:p w14:paraId="633CE3FC">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lang w:val="en-US"/>
              </w:rPr>
              <w:t>1805.80</w:t>
            </w:r>
          </w:p>
        </w:tc>
        <w:tc>
          <w:tcPr>
            <w:tcW w:w="1037" w:type="dxa"/>
            <w:tcBorders>
              <w:top w:val="nil"/>
              <w:left w:val="nil"/>
              <w:bottom w:val="single" w:color="auto" w:sz="4" w:space="0"/>
              <w:right w:val="single" w:color="auto" w:sz="4" w:space="0"/>
            </w:tcBorders>
            <w:shd w:val="clear"/>
            <w:vAlign w:val="center"/>
          </w:tcPr>
          <w:p w14:paraId="1AC75325">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bdr w:val="none" w:color="auto" w:sz="0" w:space="0"/>
                <w:lang w:val="en-US"/>
              </w:rPr>
              <w:t>2356.97</w:t>
            </w:r>
          </w:p>
        </w:tc>
        <w:tc>
          <w:tcPr>
            <w:tcW w:w="1057" w:type="dxa"/>
            <w:tcBorders>
              <w:top w:val="nil"/>
              <w:left w:val="nil"/>
              <w:bottom w:val="single" w:color="auto" w:sz="4" w:space="0"/>
              <w:right w:val="single" w:color="auto" w:sz="4" w:space="0"/>
            </w:tcBorders>
            <w:shd w:val="clear"/>
            <w:vAlign w:val="center"/>
          </w:tcPr>
          <w:p w14:paraId="5B2296FF">
            <w:pPr>
              <w:pStyle w:val="9"/>
              <w:widowControl/>
              <w:spacing w:before="0" w:beforeAutospacing="0" w:after="12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bdr w:val="none" w:color="auto" w:sz="0" w:space="0"/>
                <w:lang w:val="en-US"/>
              </w:rPr>
              <w:t>1204.00</w:t>
            </w:r>
          </w:p>
        </w:tc>
        <w:tc>
          <w:tcPr>
            <w:tcW w:w="814" w:type="dxa"/>
            <w:tcBorders>
              <w:top w:val="nil"/>
              <w:left w:val="nil"/>
              <w:bottom w:val="single" w:color="auto" w:sz="4" w:space="0"/>
              <w:right w:val="single" w:color="auto" w:sz="4" w:space="0"/>
            </w:tcBorders>
            <w:shd w:val="clear"/>
            <w:vAlign w:val="center"/>
          </w:tcPr>
          <w:p w14:paraId="7E16844C">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lang w:val="en-US"/>
              </w:rPr>
              <w:t>10</w:t>
            </w:r>
          </w:p>
        </w:tc>
        <w:tc>
          <w:tcPr>
            <w:tcW w:w="854" w:type="dxa"/>
            <w:tcBorders>
              <w:top w:val="nil"/>
              <w:left w:val="nil"/>
              <w:bottom w:val="single" w:color="auto" w:sz="4" w:space="0"/>
              <w:right w:val="single" w:color="auto" w:sz="4" w:space="0"/>
            </w:tcBorders>
            <w:shd w:val="clear"/>
            <w:vAlign w:val="center"/>
          </w:tcPr>
          <w:p w14:paraId="7F362BD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color w:val="000000"/>
                <w:szCs w:val="20"/>
                <w:highlight w:val="yellow"/>
                <w:bdr w:val="none" w:color="auto" w:sz="0" w:space="0"/>
                <w:lang w:val="en-US"/>
              </w:rPr>
            </w:pPr>
            <w:r>
              <w:rPr>
                <w:rFonts w:hint="eastAsia" w:ascii="宋体" w:hAnsi="宋体" w:eastAsia="宋体" w:cs="宋体"/>
                <w:color w:val="000000"/>
                <w:szCs w:val="20"/>
                <w:bdr w:val="none" w:color="auto" w:sz="0" w:space="0"/>
                <w:lang w:val="en-US"/>
              </w:rPr>
              <w:t>51.08%</w:t>
            </w:r>
          </w:p>
        </w:tc>
        <w:tc>
          <w:tcPr>
            <w:tcW w:w="842" w:type="dxa"/>
            <w:tcBorders>
              <w:top w:val="nil"/>
              <w:left w:val="nil"/>
              <w:bottom w:val="single" w:color="auto" w:sz="4" w:space="0"/>
              <w:right w:val="single" w:color="auto" w:sz="4" w:space="0"/>
            </w:tcBorders>
            <w:shd w:val="clear"/>
            <w:vAlign w:val="center"/>
          </w:tcPr>
          <w:p w14:paraId="49B66018">
            <w:pPr>
              <w:pStyle w:val="9"/>
              <w:widowControl/>
              <w:spacing w:before="0" w:beforeAutospacing="0" w:after="0" w:afterAutospacing="0" w:line="240" w:lineRule="exact"/>
              <w:ind w:left="0" w:leftChars="0" w:right="0" w:firstLine="0" w:firstLineChars="0"/>
              <w:jc w:val="center"/>
              <w:rPr>
                <w:rFonts w:hint="eastAsia" w:ascii="宋体" w:hAnsi="宋体" w:eastAsia="宋体" w:cs="宋体"/>
                <w:color w:val="000000"/>
                <w:szCs w:val="20"/>
                <w:highlight w:val="yellow"/>
                <w:bdr w:val="none" w:color="auto" w:sz="0" w:space="0"/>
                <w:lang w:val="en-US"/>
              </w:rPr>
            </w:pPr>
            <w:r>
              <w:rPr>
                <w:rFonts w:hint="eastAsia" w:ascii="宋体" w:hAnsi="宋体" w:eastAsia="宋体" w:cs="宋体"/>
                <w:color w:val="000000"/>
                <w:szCs w:val="20"/>
                <w:bdr w:val="none" w:color="auto" w:sz="0" w:space="0"/>
                <w:lang w:val="en-US"/>
              </w:rPr>
              <w:t>6</w:t>
            </w:r>
          </w:p>
        </w:tc>
      </w:tr>
      <w:tr w14:paraId="5296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jc w:val="center"/>
        </w:trPr>
        <w:tc>
          <w:tcPr>
            <w:tcW w:w="1487" w:type="dxa"/>
            <w:vMerge w:val="continue"/>
            <w:tcBorders>
              <w:top w:val="nil"/>
              <w:left w:val="single" w:color="auto" w:sz="4" w:space="0"/>
              <w:bottom w:val="single" w:color="000000" w:sz="4" w:space="0"/>
              <w:right w:val="single" w:color="auto" w:sz="4" w:space="0"/>
            </w:tcBorders>
            <w:shd w:val="clear"/>
            <w:vAlign w:val="center"/>
          </w:tcPr>
          <w:p w14:paraId="04F38180">
            <w:pPr>
              <w:rPr>
                <w:rFonts w:hint="default" w:ascii="Times New Roman" w:hAnsi="Times New Roman" w:cs="Times New Roman"/>
                <w:sz w:val="20"/>
                <w:szCs w:val="20"/>
              </w:rPr>
            </w:pPr>
          </w:p>
        </w:tc>
        <w:tc>
          <w:tcPr>
            <w:tcW w:w="1438" w:type="dxa"/>
            <w:gridSpan w:val="2"/>
            <w:tcBorders>
              <w:top w:val="nil"/>
              <w:left w:val="nil"/>
              <w:bottom w:val="single" w:color="auto" w:sz="4" w:space="0"/>
              <w:right w:val="single" w:color="auto" w:sz="4" w:space="0"/>
            </w:tcBorders>
            <w:shd w:val="clear"/>
            <w:vAlign w:val="center"/>
          </w:tcPr>
          <w:p w14:paraId="42C50186">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其中：当年财政拨款　</w:t>
            </w:r>
          </w:p>
        </w:tc>
        <w:tc>
          <w:tcPr>
            <w:tcW w:w="1450" w:type="dxa"/>
            <w:tcBorders>
              <w:top w:val="nil"/>
              <w:left w:val="nil"/>
              <w:bottom w:val="single" w:color="auto" w:sz="4" w:space="0"/>
              <w:right w:val="single" w:color="auto" w:sz="4" w:space="0"/>
            </w:tcBorders>
            <w:shd w:val="clear"/>
            <w:vAlign w:val="center"/>
          </w:tcPr>
          <w:p w14:paraId="1514E23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1705.00</w:t>
            </w:r>
          </w:p>
        </w:tc>
        <w:tc>
          <w:tcPr>
            <w:tcW w:w="1037" w:type="dxa"/>
            <w:tcBorders>
              <w:top w:val="nil"/>
              <w:left w:val="nil"/>
              <w:bottom w:val="single" w:color="auto" w:sz="4" w:space="0"/>
              <w:right w:val="single" w:color="auto" w:sz="4" w:space="0"/>
            </w:tcBorders>
            <w:shd w:val="clear"/>
            <w:vAlign w:val="center"/>
          </w:tcPr>
          <w:p w14:paraId="3A968F8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1805.80</w:t>
            </w:r>
          </w:p>
        </w:tc>
        <w:tc>
          <w:tcPr>
            <w:tcW w:w="1057" w:type="dxa"/>
            <w:tcBorders>
              <w:top w:val="nil"/>
              <w:left w:val="nil"/>
              <w:bottom w:val="single" w:color="auto" w:sz="4" w:space="0"/>
              <w:right w:val="single" w:color="auto" w:sz="4" w:space="0"/>
            </w:tcBorders>
            <w:shd w:val="clear"/>
            <w:vAlign w:val="center"/>
          </w:tcPr>
          <w:p w14:paraId="113967F5">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889.26</w:t>
            </w:r>
          </w:p>
        </w:tc>
        <w:tc>
          <w:tcPr>
            <w:tcW w:w="814" w:type="dxa"/>
            <w:tcBorders>
              <w:top w:val="nil"/>
              <w:left w:val="nil"/>
              <w:bottom w:val="single" w:color="auto" w:sz="4" w:space="0"/>
              <w:right w:val="single" w:color="auto" w:sz="4" w:space="0"/>
            </w:tcBorders>
            <w:shd w:val="clear"/>
            <w:vAlign w:val="center"/>
          </w:tcPr>
          <w:p w14:paraId="4CF1B39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p>
        </w:tc>
        <w:tc>
          <w:tcPr>
            <w:tcW w:w="854" w:type="dxa"/>
            <w:tcBorders>
              <w:top w:val="nil"/>
              <w:left w:val="nil"/>
              <w:bottom w:val="single" w:color="auto" w:sz="4" w:space="0"/>
              <w:right w:val="single" w:color="auto" w:sz="4" w:space="0"/>
            </w:tcBorders>
            <w:shd w:val="clear"/>
            <w:vAlign w:val="center"/>
          </w:tcPr>
          <w:p w14:paraId="599551B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p>
        </w:tc>
        <w:tc>
          <w:tcPr>
            <w:tcW w:w="842" w:type="dxa"/>
            <w:tcBorders>
              <w:top w:val="nil"/>
              <w:left w:val="nil"/>
              <w:bottom w:val="single" w:color="auto" w:sz="4" w:space="0"/>
              <w:right w:val="single" w:color="auto" w:sz="4" w:space="0"/>
            </w:tcBorders>
            <w:shd w:val="clear"/>
            <w:vAlign w:val="center"/>
          </w:tcPr>
          <w:p w14:paraId="67557A3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p>
        </w:tc>
      </w:tr>
      <w:tr w14:paraId="4F71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jc w:val="center"/>
        </w:trPr>
        <w:tc>
          <w:tcPr>
            <w:tcW w:w="1487" w:type="dxa"/>
            <w:vMerge w:val="continue"/>
            <w:tcBorders>
              <w:top w:val="nil"/>
              <w:left w:val="single" w:color="auto" w:sz="4" w:space="0"/>
              <w:bottom w:val="single" w:color="000000" w:sz="4" w:space="0"/>
              <w:right w:val="single" w:color="auto" w:sz="4" w:space="0"/>
            </w:tcBorders>
            <w:shd w:val="clear"/>
            <w:vAlign w:val="center"/>
          </w:tcPr>
          <w:p w14:paraId="03F5CF36">
            <w:pPr>
              <w:rPr>
                <w:rFonts w:hint="default" w:ascii="Times New Roman" w:hAnsi="Times New Roman" w:cs="Times New Roman"/>
                <w:sz w:val="20"/>
                <w:szCs w:val="20"/>
              </w:rPr>
            </w:pPr>
          </w:p>
        </w:tc>
        <w:tc>
          <w:tcPr>
            <w:tcW w:w="1438" w:type="dxa"/>
            <w:gridSpan w:val="2"/>
            <w:tcBorders>
              <w:top w:val="nil"/>
              <w:left w:val="nil"/>
              <w:bottom w:val="single" w:color="auto" w:sz="4" w:space="0"/>
              <w:right w:val="single" w:color="auto" w:sz="4" w:space="0"/>
            </w:tcBorders>
            <w:shd w:val="clear"/>
            <w:vAlign w:val="center"/>
          </w:tcPr>
          <w:p w14:paraId="478C24B5">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上年结转资金</w:t>
            </w:r>
          </w:p>
        </w:tc>
        <w:tc>
          <w:tcPr>
            <w:tcW w:w="1450" w:type="dxa"/>
            <w:tcBorders>
              <w:top w:val="nil"/>
              <w:left w:val="nil"/>
              <w:bottom w:val="single" w:color="auto" w:sz="4" w:space="0"/>
              <w:right w:val="single" w:color="auto" w:sz="4" w:space="0"/>
            </w:tcBorders>
            <w:shd w:val="clear"/>
            <w:vAlign w:val="center"/>
          </w:tcPr>
          <w:p w14:paraId="79BDDE65">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100.80</w:t>
            </w:r>
          </w:p>
        </w:tc>
        <w:tc>
          <w:tcPr>
            <w:tcW w:w="1037" w:type="dxa"/>
            <w:tcBorders>
              <w:top w:val="nil"/>
              <w:left w:val="nil"/>
              <w:bottom w:val="single" w:color="auto" w:sz="4" w:space="0"/>
              <w:right w:val="single" w:color="auto" w:sz="4" w:space="0"/>
            </w:tcBorders>
            <w:shd w:val="clear"/>
            <w:vAlign w:val="center"/>
          </w:tcPr>
          <w:p w14:paraId="76CF282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551.17</w:t>
            </w:r>
          </w:p>
        </w:tc>
        <w:tc>
          <w:tcPr>
            <w:tcW w:w="1057" w:type="dxa"/>
            <w:tcBorders>
              <w:top w:val="nil"/>
              <w:left w:val="nil"/>
              <w:bottom w:val="single" w:color="auto" w:sz="4" w:space="0"/>
              <w:right w:val="single" w:color="auto" w:sz="4" w:space="0"/>
            </w:tcBorders>
            <w:shd w:val="clear"/>
            <w:vAlign w:val="center"/>
          </w:tcPr>
          <w:p w14:paraId="3A9684F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314.74</w:t>
            </w:r>
          </w:p>
        </w:tc>
        <w:tc>
          <w:tcPr>
            <w:tcW w:w="814" w:type="dxa"/>
            <w:tcBorders>
              <w:top w:val="nil"/>
              <w:left w:val="nil"/>
              <w:bottom w:val="single" w:color="auto" w:sz="4" w:space="0"/>
              <w:right w:val="single" w:color="auto" w:sz="4" w:space="0"/>
            </w:tcBorders>
            <w:shd w:val="clear"/>
            <w:vAlign w:val="center"/>
          </w:tcPr>
          <w:p w14:paraId="3D827ED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p>
        </w:tc>
        <w:tc>
          <w:tcPr>
            <w:tcW w:w="854" w:type="dxa"/>
            <w:tcBorders>
              <w:top w:val="nil"/>
              <w:left w:val="nil"/>
              <w:bottom w:val="single" w:color="auto" w:sz="4" w:space="0"/>
              <w:right w:val="single" w:color="auto" w:sz="4" w:space="0"/>
            </w:tcBorders>
            <w:shd w:val="clear"/>
            <w:vAlign w:val="center"/>
          </w:tcPr>
          <w:p w14:paraId="211CB11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p>
        </w:tc>
        <w:tc>
          <w:tcPr>
            <w:tcW w:w="842" w:type="dxa"/>
            <w:tcBorders>
              <w:top w:val="nil"/>
              <w:left w:val="nil"/>
              <w:bottom w:val="single" w:color="auto" w:sz="4" w:space="0"/>
              <w:right w:val="single" w:color="auto" w:sz="4" w:space="0"/>
            </w:tcBorders>
            <w:shd w:val="clear"/>
            <w:vAlign w:val="center"/>
          </w:tcPr>
          <w:p w14:paraId="06D259B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p>
        </w:tc>
      </w:tr>
      <w:tr w14:paraId="7544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487" w:type="dxa"/>
            <w:vMerge w:val="continue"/>
            <w:tcBorders>
              <w:top w:val="nil"/>
              <w:left w:val="single" w:color="auto" w:sz="4" w:space="0"/>
              <w:bottom w:val="single" w:color="000000" w:sz="4" w:space="0"/>
              <w:right w:val="single" w:color="auto" w:sz="4" w:space="0"/>
            </w:tcBorders>
            <w:shd w:val="clear"/>
            <w:vAlign w:val="center"/>
          </w:tcPr>
          <w:p w14:paraId="5B20342C">
            <w:pPr>
              <w:rPr>
                <w:rFonts w:hint="default" w:ascii="Times New Roman" w:hAnsi="Times New Roman" w:cs="Times New Roman"/>
                <w:sz w:val="20"/>
                <w:szCs w:val="20"/>
              </w:rPr>
            </w:pPr>
          </w:p>
        </w:tc>
        <w:tc>
          <w:tcPr>
            <w:tcW w:w="1438" w:type="dxa"/>
            <w:gridSpan w:val="2"/>
            <w:tcBorders>
              <w:top w:val="nil"/>
              <w:left w:val="nil"/>
              <w:bottom w:val="single" w:color="auto" w:sz="4" w:space="0"/>
              <w:right w:val="single" w:color="auto" w:sz="4" w:space="0"/>
            </w:tcBorders>
            <w:shd w:val="clear"/>
            <w:vAlign w:val="center"/>
          </w:tcPr>
          <w:p w14:paraId="303B8249">
            <w:pPr>
              <w:pStyle w:val="9"/>
              <w:widowControl/>
              <w:spacing w:before="0" w:beforeAutospacing="0" w:after="0" w:afterAutospacing="0" w:line="240" w:lineRule="exact"/>
              <w:ind w:left="0" w:leftChars="0" w:right="0" w:firstLine="200" w:firstLineChars="10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其他资金</w:t>
            </w:r>
            <w:r>
              <w:rPr>
                <w:rFonts w:hint="eastAsia" w:ascii="宋体" w:hAnsi="宋体" w:eastAsia="宋体" w:cs="宋体"/>
                <w:szCs w:val="20"/>
                <w:bdr w:val="none" w:color="auto" w:sz="0" w:space="0"/>
                <w:lang w:val="en-US"/>
              </w:rPr>
              <w:t xml:space="preserve">                                                                                                           </w:t>
            </w:r>
          </w:p>
        </w:tc>
        <w:tc>
          <w:tcPr>
            <w:tcW w:w="1450" w:type="dxa"/>
            <w:tcBorders>
              <w:top w:val="nil"/>
              <w:left w:val="nil"/>
              <w:bottom w:val="single" w:color="auto" w:sz="4" w:space="0"/>
              <w:right w:val="single" w:color="auto" w:sz="4" w:space="0"/>
            </w:tcBorders>
            <w:shd w:val="clear"/>
            <w:vAlign w:val="center"/>
          </w:tcPr>
          <w:p w14:paraId="25796BED">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c>
          <w:tcPr>
            <w:tcW w:w="1037" w:type="dxa"/>
            <w:tcBorders>
              <w:top w:val="nil"/>
              <w:left w:val="nil"/>
              <w:bottom w:val="single" w:color="auto" w:sz="4" w:space="0"/>
              <w:right w:val="single" w:color="auto" w:sz="4" w:space="0"/>
            </w:tcBorders>
            <w:shd w:val="clear"/>
            <w:vAlign w:val="center"/>
          </w:tcPr>
          <w:p w14:paraId="27D428F8">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c>
          <w:tcPr>
            <w:tcW w:w="1057" w:type="dxa"/>
            <w:tcBorders>
              <w:top w:val="nil"/>
              <w:left w:val="nil"/>
              <w:bottom w:val="single" w:color="auto" w:sz="4" w:space="0"/>
              <w:right w:val="single" w:color="auto" w:sz="4" w:space="0"/>
            </w:tcBorders>
            <w:shd w:val="clear"/>
            <w:vAlign w:val="center"/>
          </w:tcPr>
          <w:p w14:paraId="16A91C32">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c>
          <w:tcPr>
            <w:tcW w:w="814" w:type="dxa"/>
            <w:tcBorders>
              <w:top w:val="nil"/>
              <w:left w:val="nil"/>
              <w:bottom w:val="single" w:color="auto" w:sz="4" w:space="0"/>
              <w:right w:val="single" w:color="auto" w:sz="4" w:space="0"/>
            </w:tcBorders>
            <w:shd w:val="clear"/>
            <w:vAlign w:val="center"/>
          </w:tcPr>
          <w:p w14:paraId="4D5DAE47">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c>
          <w:tcPr>
            <w:tcW w:w="854" w:type="dxa"/>
            <w:tcBorders>
              <w:top w:val="nil"/>
              <w:left w:val="nil"/>
              <w:bottom w:val="single" w:color="auto" w:sz="4" w:space="0"/>
              <w:right w:val="single" w:color="auto" w:sz="4" w:space="0"/>
            </w:tcBorders>
            <w:shd w:val="clear"/>
            <w:vAlign w:val="center"/>
          </w:tcPr>
          <w:p w14:paraId="1DAD5ED0">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c>
          <w:tcPr>
            <w:tcW w:w="842" w:type="dxa"/>
            <w:tcBorders>
              <w:top w:val="nil"/>
              <w:left w:val="nil"/>
              <w:bottom w:val="single" w:color="auto" w:sz="4" w:space="0"/>
              <w:right w:val="single" w:color="auto" w:sz="4" w:space="0"/>
            </w:tcBorders>
            <w:shd w:val="clear"/>
            <w:vAlign w:val="center"/>
          </w:tcPr>
          <w:p w14:paraId="547FEB29">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r w14:paraId="251D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jc w:val="center"/>
        </w:trPr>
        <w:tc>
          <w:tcPr>
            <w:tcW w:w="1487" w:type="dxa"/>
            <w:vMerge w:val="restart"/>
            <w:tcBorders>
              <w:top w:val="nil"/>
              <w:left w:val="single" w:color="auto" w:sz="4" w:space="0"/>
              <w:bottom w:val="single" w:color="auto" w:sz="4" w:space="0"/>
              <w:right w:val="single" w:color="auto" w:sz="4" w:space="0"/>
            </w:tcBorders>
            <w:shd w:val="clear"/>
            <w:vAlign w:val="center"/>
          </w:tcPr>
          <w:p w14:paraId="646C12DC">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年度总体目标</w:t>
            </w:r>
          </w:p>
        </w:tc>
        <w:tc>
          <w:tcPr>
            <w:tcW w:w="3925" w:type="dxa"/>
            <w:gridSpan w:val="4"/>
            <w:tcBorders>
              <w:top w:val="single" w:color="auto" w:sz="4" w:space="0"/>
              <w:left w:val="nil"/>
              <w:bottom w:val="single" w:color="auto" w:sz="4" w:space="0"/>
              <w:right w:val="single" w:color="000000" w:sz="4" w:space="0"/>
            </w:tcBorders>
            <w:shd w:val="clear"/>
            <w:vAlign w:val="center"/>
          </w:tcPr>
          <w:p w14:paraId="23224385">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预期目标</w:t>
            </w:r>
          </w:p>
        </w:tc>
        <w:tc>
          <w:tcPr>
            <w:tcW w:w="3567" w:type="dxa"/>
            <w:gridSpan w:val="4"/>
            <w:tcBorders>
              <w:top w:val="single" w:color="auto" w:sz="4" w:space="0"/>
              <w:left w:val="nil"/>
              <w:bottom w:val="single" w:color="auto" w:sz="4" w:space="0"/>
              <w:right w:val="single" w:color="auto" w:sz="4" w:space="0"/>
            </w:tcBorders>
            <w:shd w:val="clear"/>
            <w:vAlign w:val="center"/>
          </w:tcPr>
          <w:p w14:paraId="37BF7BC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实际完成情况</w:t>
            </w:r>
          </w:p>
        </w:tc>
      </w:tr>
      <w:tr w14:paraId="1A6C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61" w:hRule="exact"/>
          <w:jc w:val="center"/>
        </w:trPr>
        <w:tc>
          <w:tcPr>
            <w:tcW w:w="1487" w:type="dxa"/>
            <w:vMerge w:val="continue"/>
            <w:tcBorders>
              <w:top w:val="nil"/>
              <w:left w:val="single" w:color="auto" w:sz="4" w:space="0"/>
              <w:bottom w:val="single" w:color="auto" w:sz="4" w:space="0"/>
              <w:right w:val="single" w:color="auto" w:sz="4" w:space="0"/>
            </w:tcBorders>
            <w:shd w:val="clear"/>
            <w:vAlign w:val="center"/>
          </w:tcPr>
          <w:p w14:paraId="6D31D364">
            <w:pPr>
              <w:rPr>
                <w:rFonts w:hint="default" w:ascii="Times New Roman" w:hAnsi="Times New Roman" w:cs="Times New Roman"/>
                <w:sz w:val="20"/>
                <w:szCs w:val="20"/>
              </w:rPr>
            </w:pPr>
          </w:p>
        </w:tc>
        <w:tc>
          <w:tcPr>
            <w:tcW w:w="3925" w:type="dxa"/>
            <w:gridSpan w:val="4"/>
            <w:tcBorders>
              <w:top w:val="single" w:color="auto" w:sz="4" w:space="0"/>
              <w:left w:val="nil"/>
              <w:bottom w:val="single" w:color="auto" w:sz="4" w:space="0"/>
              <w:right w:val="single" w:color="000000" w:sz="4" w:space="0"/>
            </w:tcBorders>
            <w:shd w:val="clear"/>
            <w:vAlign w:val="center"/>
          </w:tcPr>
          <w:p w14:paraId="7508B8DD">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r>
              <w:rPr>
                <w:rFonts w:hint="eastAsia" w:ascii="仿宋_GB2312" w:hAnsi="仿宋_GB2312" w:eastAsia="仿宋_GB2312" w:cs="仿宋_GB2312"/>
                <w:szCs w:val="20"/>
                <w:bdr w:val="none" w:color="auto" w:sz="0" w:space="0"/>
                <w:lang w:val="en-US"/>
              </w:rPr>
              <w:t>1.</w:t>
            </w:r>
            <w:r>
              <w:rPr>
                <w:rFonts w:hint="eastAsia" w:ascii="仿宋_GB2312" w:hAnsi="仿宋_GB2312" w:eastAsia="仿宋_GB2312" w:cs="仿宋_GB2312"/>
                <w:szCs w:val="20"/>
                <w:bdr w:val="none" w:color="auto" w:sz="0" w:space="0"/>
              </w:rPr>
              <w:t>坚守“为党育才”初心，扩大培训规模，加强学员管理，在培养造就堪当民族复兴重任的执政骨干队伍上积极作为。全年计划举办基本培训班次</w:t>
            </w:r>
            <w:r>
              <w:rPr>
                <w:rFonts w:hint="eastAsia" w:ascii="仿宋_GB2312" w:hAnsi="仿宋_GB2312" w:eastAsia="仿宋_GB2312" w:cs="仿宋_GB2312"/>
                <w:szCs w:val="20"/>
                <w:bdr w:val="none" w:color="auto" w:sz="0" w:space="0"/>
                <w:lang w:val="en-US"/>
              </w:rPr>
              <w:t>85</w:t>
            </w:r>
            <w:r>
              <w:rPr>
                <w:rFonts w:hint="eastAsia" w:ascii="仿宋_GB2312" w:hAnsi="仿宋_GB2312" w:eastAsia="仿宋_GB2312" w:cs="仿宋_GB2312"/>
                <w:szCs w:val="20"/>
                <w:bdr w:val="none" w:color="auto" w:sz="0" w:space="0"/>
              </w:rPr>
              <w:t>个以上，学员到课率、自学率、住校率、就餐率、结业优良率达</w:t>
            </w:r>
            <w:r>
              <w:rPr>
                <w:rFonts w:hint="eastAsia" w:ascii="仿宋_GB2312" w:hAnsi="仿宋_GB2312" w:eastAsia="仿宋_GB2312" w:cs="仿宋_GB2312"/>
                <w:szCs w:val="20"/>
                <w:bdr w:val="none" w:color="auto" w:sz="0" w:space="0"/>
                <w:lang w:val="en-US"/>
              </w:rPr>
              <w:t>97%</w:t>
            </w:r>
            <w:r>
              <w:rPr>
                <w:rFonts w:hint="eastAsia" w:ascii="仿宋_GB2312" w:hAnsi="仿宋_GB2312" w:eastAsia="仿宋_GB2312" w:cs="仿宋_GB2312"/>
                <w:szCs w:val="20"/>
                <w:bdr w:val="none" w:color="auto" w:sz="0" w:space="0"/>
              </w:rPr>
              <w:t>以上。</w:t>
            </w:r>
          </w:p>
          <w:p w14:paraId="57406C7A">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r>
              <w:rPr>
                <w:rFonts w:hint="eastAsia" w:ascii="仿宋_GB2312" w:hAnsi="仿宋_GB2312" w:eastAsia="仿宋_GB2312" w:cs="仿宋_GB2312"/>
                <w:szCs w:val="20"/>
                <w:bdr w:val="none" w:color="auto" w:sz="0" w:space="0"/>
                <w:lang w:val="en-US"/>
              </w:rPr>
              <w:t>2.</w:t>
            </w:r>
            <w:r>
              <w:rPr>
                <w:rFonts w:hint="eastAsia" w:ascii="仿宋_GB2312" w:hAnsi="仿宋_GB2312" w:eastAsia="仿宋_GB2312" w:cs="仿宋_GB2312"/>
                <w:szCs w:val="20"/>
                <w:bdr w:val="none" w:color="auto" w:sz="0" w:space="0"/>
              </w:rPr>
              <w:t>严格研究生教育管理，努力提高研究生培养质量，提高研究生学术成果数量和质量，提升学生就业创业能力。</w:t>
            </w:r>
          </w:p>
          <w:p w14:paraId="0E7A04A1">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r>
              <w:rPr>
                <w:rFonts w:hint="eastAsia" w:ascii="仿宋_GB2312" w:hAnsi="仿宋_GB2312" w:eastAsia="仿宋_GB2312" w:cs="仿宋_GB2312"/>
                <w:szCs w:val="20"/>
                <w:bdr w:val="none" w:color="auto" w:sz="0" w:space="0"/>
                <w:lang w:val="en-US"/>
              </w:rPr>
              <w:t>3.</w:t>
            </w:r>
            <w:r>
              <w:rPr>
                <w:rFonts w:hint="eastAsia" w:ascii="仿宋_GB2312" w:hAnsi="仿宋_GB2312" w:eastAsia="仿宋_GB2312" w:cs="仿宋_GB2312"/>
                <w:szCs w:val="20"/>
                <w:bdr w:val="none" w:color="auto" w:sz="0" w:space="0"/>
              </w:rPr>
              <w:t>加强教学管理，创新教学方式，提升教学水平。通过不断开发新课程、打造新专题，满足学员学习需求和调动学员学习积极性。</w:t>
            </w:r>
          </w:p>
          <w:p w14:paraId="15C596FE">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r>
              <w:rPr>
                <w:rFonts w:hint="eastAsia" w:ascii="仿宋_GB2312" w:hAnsi="仿宋_GB2312" w:eastAsia="仿宋_GB2312" w:cs="仿宋_GB2312"/>
                <w:szCs w:val="20"/>
                <w:bdr w:val="none" w:color="auto" w:sz="0" w:space="0"/>
                <w:lang w:val="en-US"/>
              </w:rPr>
              <w:t>4.</w:t>
            </w:r>
            <w:r>
              <w:rPr>
                <w:rFonts w:hint="eastAsia" w:ascii="仿宋_GB2312" w:hAnsi="仿宋_GB2312" w:eastAsia="仿宋_GB2312" w:cs="仿宋_GB2312"/>
                <w:szCs w:val="20"/>
                <w:bdr w:val="none" w:color="auto" w:sz="0" w:space="0"/>
              </w:rPr>
              <w:t>创新科研服务和管理工作，调动全体教职工加强理论研究和重大现实问题研究的积极性，提升校（院）整体的科研水平和决策咨询能力。</w:t>
            </w:r>
          </w:p>
          <w:p w14:paraId="1DAC391D">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r>
              <w:rPr>
                <w:rFonts w:hint="eastAsia" w:ascii="仿宋_GB2312" w:hAnsi="仿宋_GB2312" w:eastAsia="仿宋_GB2312" w:cs="仿宋_GB2312"/>
                <w:szCs w:val="20"/>
                <w:bdr w:val="none" w:color="auto" w:sz="0" w:space="0"/>
                <w:lang w:val="en-US"/>
              </w:rPr>
              <w:t>5.</w:t>
            </w:r>
            <w:r>
              <w:rPr>
                <w:rFonts w:hint="eastAsia" w:ascii="仿宋_GB2312" w:hAnsi="仿宋_GB2312" w:eastAsia="仿宋_GB2312" w:cs="仿宋_GB2312"/>
                <w:szCs w:val="20"/>
                <w:bdr w:val="none" w:color="auto" w:sz="0" w:space="0"/>
              </w:rPr>
              <w:t>引进优秀人才，组织人才队伍培训，切实加强师资队伍建设，提高校（院）办学水平。</w:t>
            </w:r>
          </w:p>
          <w:p w14:paraId="7EB0DBA2">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p>
          <w:p w14:paraId="0D957707">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p>
          <w:p w14:paraId="45808FF3">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p>
          <w:p w14:paraId="7D3FD45A">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p>
          <w:p w14:paraId="775FE76E">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p>
          <w:p w14:paraId="4B0CE292">
            <w:pPr>
              <w:pStyle w:val="9"/>
              <w:widowControl/>
              <w:spacing w:before="0" w:beforeAutospacing="0" w:after="0" w:afterAutospacing="0" w:line="220" w:lineRule="exact"/>
              <w:ind w:left="0" w:leftChars="0" w:right="0" w:firstLine="360" w:firstLineChars="180"/>
              <w:rPr>
                <w:rFonts w:hint="eastAsia" w:ascii="仿宋_GB2312" w:hAnsi="仿宋_GB2312" w:eastAsia="仿宋_GB2312" w:cs="仿宋_GB2312"/>
                <w:szCs w:val="20"/>
                <w:bdr w:val="none" w:color="auto" w:sz="0" w:space="0"/>
                <w:lang w:val="en-US"/>
              </w:rPr>
            </w:pPr>
          </w:p>
        </w:tc>
        <w:tc>
          <w:tcPr>
            <w:tcW w:w="3567" w:type="dxa"/>
            <w:gridSpan w:val="4"/>
            <w:tcBorders>
              <w:top w:val="single" w:color="auto" w:sz="4" w:space="0"/>
              <w:left w:val="nil"/>
              <w:bottom w:val="single" w:color="auto" w:sz="4" w:space="0"/>
              <w:right w:val="single" w:color="auto" w:sz="4" w:space="0"/>
            </w:tcBorders>
            <w:shd w:val="clear"/>
            <w:vAlign w:val="center"/>
          </w:tcPr>
          <w:p w14:paraId="46A3AAF0">
            <w:pPr>
              <w:pStyle w:val="9"/>
              <w:widowControl/>
              <w:spacing w:before="0" w:beforeAutospacing="0" w:after="0" w:afterAutospacing="0" w:line="240" w:lineRule="exact"/>
              <w:ind w:left="0" w:leftChars="0" w:right="0" w:firstLine="0" w:firstLineChars="0"/>
              <w:rPr>
                <w:rFonts w:hint="eastAsia" w:ascii="仿宋_GB2312" w:hAnsi="仿宋_GB2312" w:eastAsia="仿宋_GB2312" w:cs="仿宋_GB2312"/>
                <w:szCs w:val="20"/>
                <w:bdr w:val="none" w:color="auto" w:sz="0" w:space="0"/>
                <w:lang w:val="en-US"/>
              </w:rPr>
            </w:pPr>
            <w:r>
              <w:rPr>
                <w:rFonts w:hint="eastAsia" w:ascii="仿宋_GB2312" w:hAnsi="仿宋_GB2312" w:eastAsia="仿宋_GB2312" w:cs="仿宋_GB2312"/>
                <w:szCs w:val="20"/>
                <w:bdr w:val="none" w:color="auto" w:sz="0" w:space="0"/>
                <w:lang w:val="en-US"/>
              </w:rPr>
              <w:t xml:space="preserve">    1.</w:t>
            </w:r>
            <w:r>
              <w:rPr>
                <w:rFonts w:hint="eastAsia" w:ascii="仿宋_GB2312" w:hAnsi="仿宋_GB2312" w:eastAsia="仿宋_GB2312" w:cs="仿宋_GB2312"/>
                <w:szCs w:val="20"/>
                <w:bdr w:val="none" w:color="auto" w:sz="0" w:space="0"/>
              </w:rPr>
              <w:t>全年共培训主体班次</w:t>
            </w:r>
            <w:r>
              <w:rPr>
                <w:rFonts w:hint="eastAsia" w:ascii="仿宋_GB2312" w:hAnsi="仿宋_GB2312" w:eastAsia="仿宋_GB2312" w:cs="仿宋_GB2312"/>
                <w:szCs w:val="20"/>
                <w:bdr w:val="none" w:color="auto" w:sz="0" w:space="0"/>
                <w:lang w:val="en-US"/>
              </w:rPr>
              <w:t>94</w:t>
            </w:r>
            <w:r>
              <w:rPr>
                <w:rFonts w:hint="eastAsia" w:ascii="仿宋_GB2312" w:hAnsi="仿宋_GB2312" w:eastAsia="仿宋_GB2312" w:cs="仿宋_GB2312"/>
                <w:szCs w:val="20"/>
                <w:bdr w:val="none" w:color="auto" w:sz="0" w:space="0"/>
              </w:rPr>
              <w:t>个，其中校（院）本级</w:t>
            </w:r>
            <w:r>
              <w:rPr>
                <w:rFonts w:hint="eastAsia" w:ascii="仿宋_GB2312" w:hAnsi="仿宋_GB2312" w:eastAsia="仿宋_GB2312" w:cs="仿宋_GB2312"/>
                <w:szCs w:val="20"/>
                <w:bdr w:val="none" w:color="auto" w:sz="0" w:space="0"/>
                <w:lang w:val="en-US"/>
              </w:rPr>
              <w:t>75</w:t>
            </w:r>
            <w:r>
              <w:rPr>
                <w:rFonts w:hint="eastAsia" w:ascii="仿宋_GB2312" w:hAnsi="仿宋_GB2312" w:eastAsia="仿宋_GB2312" w:cs="仿宋_GB2312"/>
                <w:szCs w:val="20"/>
                <w:bdr w:val="none" w:color="auto" w:sz="0" w:space="0"/>
              </w:rPr>
              <w:t>个，韶山干部学院</w:t>
            </w:r>
            <w:r>
              <w:rPr>
                <w:rFonts w:hint="eastAsia" w:ascii="仿宋_GB2312" w:hAnsi="仿宋_GB2312" w:eastAsia="仿宋_GB2312" w:cs="仿宋_GB2312"/>
                <w:szCs w:val="20"/>
                <w:bdr w:val="none" w:color="auto" w:sz="0" w:space="0"/>
                <w:lang w:val="en-US"/>
              </w:rPr>
              <w:t>19</w:t>
            </w:r>
            <w:r>
              <w:rPr>
                <w:rFonts w:hint="eastAsia" w:ascii="仿宋_GB2312" w:hAnsi="仿宋_GB2312" w:eastAsia="仿宋_GB2312" w:cs="仿宋_GB2312"/>
                <w:szCs w:val="20"/>
                <w:bdr w:val="none" w:color="auto" w:sz="0" w:space="0"/>
              </w:rPr>
              <w:t>个，培训人次共计</w:t>
            </w:r>
            <w:r>
              <w:rPr>
                <w:rFonts w:hint="eastAsia" w:ascii="仿宋_GB2312" w:hAnsi="仿宋_GB2312" w:eastAsia="仿宋_GB2312" w:cs="仿宋_GB2312"/>
                <w:szCs w:val="20"/>
                <w:bdr w:val="none" w:color="auto" w:sz="0" w:space="0"/>
                <w:lang w:val="en-US"/>
              </w:rPr>
              <w:t>7935</w:t>
            </w:r>
            <w:r>
              <w:rPr>
                <w:rFonts w:hint="eastAsia" w:ascii="仿宋_GB2312" w:hAnsi="仿宋_GB2312" w:eastAsia="仿宋_GB2312" w:cs="仿宋_GB2312"/>
                <w:szCs w:val="20"/>
                <w:bdr w:val="none" w:color="auto" w:sz="0" w:space="0"/>
              </w:rPr>
              <w:t>人，高质量高标准完成省委省政府安排的干部培训任务和省委组织部的调训计划。强化学员管理，主体班全年到课率、住校率、就餐率均在</w:t>
            </w:r>
            <w:r>
              <w:rPr>
                <w:rFonts w:hint="eastAsia" w:ascii="仿宋_GB2312" w:hAnsi="仿宋_GB2312" w:eastAsia="仿宋_GB2312" w:cs="仿宋_GB2312"/>
                <w:szCs w:val="20"/>
                <w:bdr w:val="none" w:color="auto" w:sz="0" w:space="0"/>
                <w:lang w:val="en-US"/>
              </w:rPr>
              <w:t>98%</w:t>
            </w:r>
            <w:r>
              <w:rPr>
                <w:rFonts w:hint="eastAsia" w:ascii="仿宋_GB2312" w:hAnsi="仿宋_GB2312" w:eastAsia="仿宋_GB2312" w:cs="仿宋_GB2312"/>
                <w:szCs w:val="20"/>
                <w:bdr w:val="none" w:color="auto" w:sz="0" w:space="0"/>
              </w:rPr>
              <w:t>以上，结业考试考核优良率为</w:t>
            </w:r>
            <w:r>
              <w:rPr>
                <w:rFonts w:hint="eastAsia" w:ascii="仿宋_GB2312" w:hAnsi="仿宋_GB2312" w:eastAsia="仿宋_GB2312" w:cs="仿宋_GB2312"/>
                <w:szCs w:val="20"/>
                <w:bdr w:val="none" w:color="auto" w:sz="0" w:space="0"/>
                <w:lang w:val="en-US"/>
              </w:rPr>
              <w:t>100%</w:t>
            </w:r>
            <w:r>
              <w:rPr>
                <w:rFonts w:hint="eastAsia" w:ascii="仿宋_GB2312" w:hAnsi="仿宋_GB2312" w:eastAsia="仿宋_GB2312" w:cs="仿宋_GB2312"/>
                <w:szCs w:val="20"/>
                <w:bdr w:val="none" w:color="auto" w:sz="0" w:space="0"/>
              </w:rPr>
              <w:t>，教学考核得分</w:t>
            </w:r>
            <w:r>
              <w:rPr>
                <w:rFonts w:hint="eastAsia" w:ascii="仿宋_GB2312" w:hAnsi="仿宋_GB2312" w:eastAsia="仿宋_GB2312" w:cs="仿宋_GB2312"/>
                <w:szCs w:val="20"/>
                <w:bdr w:val="none" w:color="auto" w:sz="0" w:space="0"/>
                <w:lang w:val="en-US"/>
              </w:rPr>
              <w:t>97.79</w:t>
            </w:r>
            <w:r>
              <w:rPr>
                <w:rFonts w:hint="eastAsia" w:ascii="仿宋_GB2312" w:hAnsi="仿宋_GB2312" w:eastAsia="仿宋_GB2312" w:cs="仿宋_GB2312"/>
                <w:szCs w:val="20"/>
                <w:bdr w:val="none" w:color="auto" w:sz="0" w:space="0"/>
              </w:rPr>
              <w:t>分，学员满意度</w:t>
            </w:r>
            <w:r>
              <w:rPr>
                <w:rFonts w:hint="eastAsia" w:ascii="仿宋_GB2312" w:hAnsi="仿宋_GB2312" w:eastAsia="仿宋_GB2312" w:cs="仿宋_GB2312"/>
                <w:szCs w:val="20"/>
                <w:bdr w:val="none" w:color="auto" w:sz="0" w:space="0"/>
                <w:lang w:val="en-US"/>
              </w:rPr>
              <w:t>100%</w:t>
            </w:r>
            <w:r>
              <w:rPr>
                <w:rFonts w:hint="eastAsia" w:ascii="仿宋_GB2312" w:hAnsi="仿宋_GB2312" w:eastAsia="仿宋_GB2312" w:cs="仿宋_GB2312"/>
                <w:szCs w:val="20"/>
                <w:bdr w:val="none" w:color="auto" w:sz="0" w:space="0"/>
              </w:rPr>
              <w:t>。</w:t>
            </w:r>
          </w:p>
          <w:p w14:paraId="4CC99FED">
            <w:pPr>
              <w:keepNext w:val="0"/>
              <w:keepLines w:val="0"/>
              <w:widowControl w:val="0"/>
              <w:suppressLineNumbers w:val="0"/>
              <w:overflowPunct w:val="0"/>
              <w:spacing w:before="0" w:beforeAutospacing="0" w:after="0" w:afterAutospacing="0" w:line="240" w:lineRule="exact"/>
              <w:ind w:left="0" w:right="0" w:firstLine="400" w:firstLineChars="200"/>
              <w:jc w:val="both"/>
              <w:rPr>
                <w:rFonts w:hint="eastAsia" w:ascii="仿宋_GB2312" w:hAnsi="仿宋_GB2312" w:eastAsia="仿宋_GB2312" w:cs="仿宋_GB2312"/>
                <w:kern w:val="0"/>
                <w:sz w:val="20"/>
                <w:szCs w:val="20"/>
                <w:bdr w:val="none" w:color="auto" w:sz="0" w:space="0"/>
                <w:lang w:val="en-US"/>
              </w:rPr>
            </w:pPr>
            <w:r>
              <w:rPr>
                <w:rFonts w:hint="eastAsia" w:ascii="仿宋_GB2312" w:hAnsi="仿宋_GB2312" w:eastAsia="仿宋_GB2312" w:cs="仿宋_GB2312"/>
                <w:kern w:val="2"/>
                <w:sz w:val="20"/>
                <w:szCs w:val="20"/>
                <w:bdr w:val="none" w:color="auto" w:sz="0" w:space="0"/>
                <w:lang w:val="en-US" w:eastAsia="zh-CN" w:bidi="ar"/>
              </w:rPr>
              <w:t>2.组织厅干班等7个基本培训班次分别赴厦门市委党校、贵州省委党校、江西省委党校、山西省委党校等进行为期6天的互换式教学。校（院）中青班与9所市级党校中青班学员混合编班分赴上海、深圳等地开展异地教学。落实领导干部上讲台制度，今年受邀来校讲课领导共89人，占基本培训班总课时的29.56%。改革教学方法，创新开展体验式、研讨式、行动学习等教学方法，安排教学方式创新专题150余个。举办2023—2024年度校（院）精品课评选和全省党</w:t>
            </w:r>
            <w:r>
              <w:rPr>
                <w:rFonts w:hint="eastAsia" w:ascii="仿宋_GB2312" w:hAnsi="仿宋_GB2312" w:eastAsia="仿宋_GB2312" w:cs="仿宋_GB2312"/>
                <w:kern w:val="0"/>
                <w:sz w:val="20"/>
                <w:szCs w:val="20"/>
                <w:bdr w:val="none" w:color="auto" w:sz="0" w:space="0"/>
                <w:lang w:val="en-US" w:eastAsia="zh-CN" w:bidi="ar"/>
              </w:rPr>
              <w:t>性教育现场教学竞赛。</w:t>
            </w:r>
          </w:p>
          <w:p w14:paraId="76C6BF9C">
            <w:pPr>
              <w:keepNext w:val="0"/>
              <w:keepLines w:val="0"/>
              <w:widowControl w:val="0"/>
              <w:suppressLineNumbers w:val="0"/>
              <w:overflowPunct w:val="0"/>
              <w:spacing w:before="0" w:beforeAutospacing="0" w:after="0" w:afterAutospacing="0" w:line="240" w:lineRule="exact"/>
              <w:ind w:left="0" w:right="0" w:firstLine="400" w:firstLineChars="200"/>
              <w:jc w:val="both"/>
              <w:rPr>
                <w:rFonts w:hint="eastAsia" w:ascii="仿宋_GB2312" w:hAnsi="仿宋_GB2312" w:eastAsia="仿宋_GB2312" w:cs="仿宋_GB2312"/>
                <w:kern w:val="0"/>
                <w:sz w:val="20"/>
                <w:szCs w:val="20"/>
                <w:bdr w:val="none" w:color="auto" w:sz="0" w:space="0"/>
                <w:lang w:val="en-US"/>
              </w:rPr>
            </w:pPr>
            <w:r>
              <w:rPr>
                <w:rFonts w:hint="eastAsia" w:ascii="仿宋_GB2312" w:hAnsi="仿宋_GB2312" w:eastAsia="仿宋_GB2312" w:cs="仿宋_GB2312"/>
                <w:kern w:val="0"/>
                <w:sz w:val="20"/>
                <w:szCs w:val="20"/>
                <w:bdr w:val="none" w:color="auto" w:sz="0" w:space="0"/>
                <w:lang w:val="en-US" w:eastAsia="zh-CN" w:bidi="ar"/>
              </w:rPr>
              <w:t>3.策咨询成果获副省级及以上领导批示40篇次（含正省级领导批示29篇次），获“献策湖南”金点子采纳9项，3项智库成果被省委十二届六次全会报告充分采纳。充分发挥学员优势，组织学员撰写的近20篇决策咨询报告分获省委书记沈晓明、省长毛伟明及其他省领导肯定性批示。</w:t>
            </w:r>
          </w:p>
          <w:p w14:paraId="2AF38F36">
            <w:pPr>
              <w:keepNext w:val="0"/>
              <w:keepLines w:val="0"/>
              <w:widowControl w:val="0"/>
              <w:suppressLineNumbers w:val="0"/>
              <w:overflowPunct w:val="0"/>
              <w:spacing w:before="0" w:beforeAutospacing="0" w:after="0" w:afterAutospacing="0" w:line="240" w:lineRule="exact"/>
              <w:ind w:left="0" w:right="0" w:firstLine="400" w:firstLineChars="200"/>
              <w:jc w:val="both"/>
              <w:rPr>
                <w:rFonts w:hint="eastAsia" w:ascii="仿宋_GB2312" w:hAnsi="仿宋_GB2312" w:eastAsia="仿宋_GB2312" w:cs="仿宋_GB2312"/>
                <w:sz w:val="20"/>
                <w:szCs w:val="20"/>
                <w:bdr w:val="none" w:color="auto" w:sz="0" w:space="0"/>
                <w:lang w:val="en-US"/>
              </w:rPr>
            </w:pPr>
            <w:r>
              <w:rPr>
                <w:rFonts w:hint="eastAsia" w:ascii="仿宋_GB2312" w:hAnsi="仿宋_GB2312" w:eastAsia="仿宋_GB2312" w:cs="仿宋_GB2312"/>
                <w:kern w:val="2"/>
                <w:sz w:val="20"/>
                <w:szCs w:val="20"/>
                <w:bdr w:val="none" w:color="auto" w:sz="0" w:space="0"/>
                <w:lang w:val="en-US" w:eastAsia="zh-CN" w:bidi="ar"/>
              </w:rPr>
              <w:t>4.</w:t>
            </w:r>
            <w:r>
              <w:rPr>
                <w:rFonts w:hint="eastAsia" w:ascii="仿宋_GB2312" w:hAnsi="仿宋_GB2312" w:eastAsia="仿宋_GB2312" w:cs="仿宋_GB2312"/>
                <w:kern w:val="0"/>
                <w:sz w:val="20"/>
                <w:szCs w:val="20"/>
                <w:bdr w:val="none" w:color="auto" w:sz="0" w:space="0"/>
                <w:lang w:val="en-US" w:eastAsia="zh-CN" w:bidi="ar"/>
              </w:rPr>
              <w:t>新增立项国家社科基金项目5项、省级重大项目9项、全国党校系统社科规划项目5项，立项省社科基金、省“马工程”等课题26项，同类项目立项增长率均在20%以上。公开发表论文420余篇，其中在“三报一刊”发文13篇，CSCI来源期刊18篇，发文刊物档次和数量上均实现新突破。</w:t>
            </w:r>
          </w:p>
          <w:p w14:paraId="6A4AE817">
            <w:pPr>
              <w:pStyle w:val="9"/>
              <w:widowControl/>
              <w:spacing w:before="0" w:beforeAutospacing="0" w:after="0" w:afterAutospacing="0" w:line="260" w:lineRule="exact"/>
              <w:ind w:left="0" w:leftChars="0" w:right="0" w:firstLine="400" w:firstLineChars="0"/>
              <w:rPr>
                <w:rFonts w:hint="eastAsia" w:ascii="仿宋_GB2312" w:hAnsi="仿宋_GB2312" w:eastAsia="仿宋_GB2312" w:cs="仿宋_GB2312"/>
                <w:szCs w:val="20"/>
                <w:bdr w:val="none" w:color="auto" w:sz="0" w:space="0"/>
                <w:lang w:val="en-US"/>
              </w:rPr>
            </w:pPr>
            <w:r>
              <w:rPr>
                <w:rFonts w:hint="eastAsia" w:ascii="仿宋_GB2312" w:hAnsi="仿宋_GB2312" w:eastAsia="仿宋_GB2312" w:cs="仿宋_GB2312"/>
                <w:szCs w:val="20"/>
                <w:bdr w:val="none" w:color="auto" w:sz="0" w:space="0"/>
                <w:lang w:val="en-US"/>
              </w:rPr>
              <w:t>5.</w:t>
            </w:r>
            <w:r>
              <w:rPr>
                <w:rFonts w:hint="eastAsia" w:ascii="仿宋_GB2312" w:hAnsi="仿宋_GB2312" w:eastAsia="仿宋_GB2312" w:cs="仿宋_GB2312"/>
                <w:szCs w:val="20"/>
                <w:bdr w:val="none" w:color="auto" w:sz="0" w:space="0"/>
              </w:rPr>
              <w:t>根据发展需要，引进</w:t>
            </w:r>
            <w:r>
              <w:rPr>
                <w:rFonts w:hint="eastAsia" w:ascii="仿宋_GB2312" w:hAnsi="仿宋_GB2312" w:eastAsia="仿宋_GB2312" w:cs="仿宋_GB2312"/>
                <w:szCs w:val="20"/>
                <w:bdr w:val="none" w:color="auto" w:sz="0" w:space="0"/>
                <w:lang w:val="en-US"/>
              </w:rPr>
              <w:t>13</w:t>
            </w:r>
            <w:r>
              <w:rPr>
                <w:rFonts w:hint="eastAsia" w:ascii="仿宋_GB2312" w:hAnsi="仿宋_GB2312" w:eastAsia="仿宋_GB2312" w:cs="仿宋_GB2312"/>
                <w:szCs w:val="20"/>
                <w:bdr w:val="none" w:color="auto" w:sz="0" w:space="0"/>
              </w:rPr>
              <w:t>名博士，公开招聘</w:t>
            </w:r>
            <w:r>
              <w:rPr>
                <w:rFonts w:hint="eastAsia" w:ascii="仿宋_GB2312" w:hAnsi="仿宋_GB2312" w:eastAsia="仿宋_GB2312" w:cs="仿宋_GB2312"/>
                <w:szCs w:val="20"/>
                <w:bdr w:val="none" w:color="auto" w:sz="0" w:space="0"/>
                <w:lang w:val="en-US"/>
              </w:rPr>
              <w:t>10</w:t>
            </w:r>
            <w:r>
              <w:rPr>
                <w:rFonts w:hint="eastAsia" w:ascii="仿宋_GB2312" w:hAnsi="仿宋_GB2312" w:eastAsia="仿宋_GB2312" w:cs="仿宋_GB2312"/>
                <w:szCs w:val="20"/>
                <w:bdr w:val="none" w:color="auto" w:sz="0" w:space="0"/>
              </w:rPr>
              <w:t>名专业技术人员，充实了师资队伍力量。大力推进“青青工程”“青麓计划”，全面提升教职人员专业能力和综合素养。</w:t>
            </w:r>
          </w:p>
          <w:p w14:paraId="58E758BB">
            <w:pPr>
              <w:keepNext w:val="0"/>
              <w:keepLines w:val="0"/>
              <w:widowControl w:val="0"/>
              <w:suppressLineNumbers w:val="0"/>
              <w:spacing w:before="0" w:beforeAutospacing="0" w:after="0" w:afterAutospacing="0" w:line="260" w:lineRule="exact"/>
              <w:ind w:left="0" w:right="0" w:firstLine="400" w:firstLineChars="200"/>
              <w:jc w:val="both"/>
              <w:rPr>
                <w:bdr w:val="none" w:color="auto" w:sz="0" w:space="0"/>
                <w:lang w:val="en-US"/>
              </w:rPr>
            </w:pPr>
            <w:r>
              <w:rPr>
                <w:rFonts w:hint="eastAsia" w:ascii="仿宋_GB2312" w:hAnsi="仿宋_GB2312" w:eastAsia="仿宋_GB2312" w:cs="仿宋_GB2312"/>
                <w:kern w:val="0"/>
                <w:sz w:val="20"/>
                <w:szCs w:val="20"/>
                <w:bdr w:val="none" w:color="auto" w:sz="0" w:space="0"/>
                <w:lang w:val="en-US" w:eastAsia="zh-CN" w:bidi="ar"/>
              </w:rPr>
              <w:t>6.持续深化对外交流，接待摩尔多瓦共产党人党干部考察团、古巴共产党干部考察团、印度共产党干部考察团。与老挝联合举办减贫经验交流视频会议。组织9人次出国学术交流，访问成果获省委书记沈晓明肯定性批示并批转至商务部，凯明同志撰写的《“湘”约非洲：历史越千年 前景胜万里》在美国、加拿大、南非、肯尼亚等国家主流媒体及国内20余家媒体发表或全文转载。</w:t>
            </w:r>
          </w:p>
        </w:tc>
      </w:tr>
      <w:tr w14:paraId="530E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8" w:hRule="atLeast"/>
          <w:jc w:val="center"/>
        </w:trPr>
        <w:tc>
          <w:tcPr>
            <w:tcW w:w="1487" w:type="dxa"/>
            <w:vMerge w:val="restart"/>
            <w:tcBorders>
              <w:top w:val="single" w:color="auto" w:sz="4" w:space="0"/>
              <w:left w:val="single" w:color="auto" w:sz="4" w:space="0"/>
              <w:bottom w:val="single" w:color="auto" w:sz="4" w:space="0"/>
              <w:right w:val="single" w:color="auto" w:sz="4" w:space="0"/>
            </w:tcBorders>
            <w:shd w:val="clear"/>
            <w:vAlign w:val="center"/>
          </w:tcPr>
          <w:p w14:paraId="446F991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绩</w:t>
            </w:r>
          </w:p>
          <w:p w14:paraId="3FE04FDC">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效</w:t>
            </w:r>
          </w:p>
          <w:p w14:paraId="11B9E3B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w:t>
            </w:r>
          </w:p>
          <w:p w14:paraId="44086B78">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标</w:t>
            </w:r>
          </w:p>
        </w:tc>
        <w:tc>
          <w:tcPr>
            <w:tcW w:w="921" w:type="dxa"/>
            <w:tcBorders>
              <w:top w:val="single" w:color="auto" w:sz="4" w:space="0"/>
              <w:left w:val="single" w:color="auto" w:sz="4" w:space="0"/>
              <w:bottom w:val="single" w:color="auto" w:sz="4" w:space="0"/>
              <w:right w:val="single" w:color="auto" w:sz="4" w:space="0"/>
            </w:tcBorders>
            <w:shd w:val="clear"/>
            <w:vAlign w:val="center"/>
          </w:tcPr>
          <w:p w14:paraId="364ED5C6">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一级</w:t>
            </w:r>
          </w:p>
          <w:p w14:paraId="75A933F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tc>
        <w:tc>
          <w:tcPr>
            <w:tcW w:w="517" w:type="dxa"/>
            <w:tcBorders>
              <w:top w:val="single" w:color="auto" w:sz="4" w:space="0"/>
              <w:left w:val="single" w:color="auto" w:sz="4" w:space="0"/>
              <w:bottom w:val="single" w:color="auto" w:sz="4" w:space="0"/>
              <w:right w:val="single" w:color="auto" w:sz="4" w:space="0"/>
            </w:tcBorders>
            <w:shd w:val="clear"/>
            <w:vAlign w:val="center"/>
          </w:tcPr>
          <w:p w14:paraId="4B4DF45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二级指标</w:t>
            </w:r>
          </w:p>
        </w:tc>
        <w:tc>
          <w:tcPr>
            <w:tcW w:w="1450" w:type="dxa"/>
            <w:tcBorders>
              <w:top w:val="single" w:color="auto" w:sz="4" w:space="0"/>
              <w:left w:val="single" w:color="auto" w:sz="4" w:space="0"/>
              <w:bottom w:val="single" w:color="auto" w:sz="4" w:space="0"/>
              <w:right w:val="single" w:color="auto" w:sz="4" w:space="0"/>
            </w:tcBorders>
            <w:shd w:val="clear"/>
            <w:vAlign w:val="center"/>
          </w:tcPr>
          <w:p w14:paraId="7F371F6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三级指标</w:t>
            </w:r>
          </w:p>
        </w:tc>
        <w:tc>
          <w:tcPr>
            <w:tcW w:w="1037" w:type="dxa"/>
            <w:tcBorders>
              <w:top w:val="single" w:color="auto" w:sz="4" w:space="0"/>
              <w:left w:val="single" w:color="auto" w:sz="4" w:space="0"/>
              <w:bottom w:val="single" w:color="auto" w:sz="4" w:space="0"/>
              <w:right w:val="single" w:color="auto" w:sz="4" w:space="0"/>
            </w:tcBorders>
            <w:shd w:val="clear"/>
            <w:vAlign w:val="center"/>
          </w:tcPr>
          <w:p w14:paraId="6042F78E">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年度</w:t>
            </w:r>
          </w:p>
          <w:p w14:paraId="7B8A981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指标值</w:t>
            </w:r>
          </w:p>
        </w:tc>
        <w:tc>
          <w:tcPr>
            <w:tcW w:w="1057" w:type="dxa"/>
            <w:tcBorders>
              <w:top w:val="single" w:color="auto" w:sz="4" w:space="0"/>
              <w:left w:val="single" w:color="auto" w:sz="4" w:space="0"/>
              <w:bottom w:val="single" w:color="auto" w:sz="4" w:space="0"/>
              <w:right w:val="single" w:color="auto" w:sz="4" w:space="0"/>
            </w:tcBorders>
            <w:shd w:val="clear"/>
            <w:vAlign w:val="center"/>
          </w:tcPr>
          <w:p w14:paraId="5FEA968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实际</w:t>
            </w:r>
          </w:p>
          <w:p w14:paraId="58100E82">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完成值</w:t>
            </w:r>
          </w:p>
        </w:tc>
        <w:tc>
          <w:tcPr>
            <w:tcW w:w="814" w:type="dxa"/>
            <w:tcBorders>
              <w:top w:val="single" w:color="auto" w:sz="4" w:space="0"/>
              <w:left w:val="single" w:color="auto" w:sz="4" w:space="0"/>
              <w:bottom w:val="single" w:color="auto" w:sz="4" w:space="0"/>
              <w:right w:val="single" w:color="auto" w:sz="4" w:space="0"/>
            </w:tcBorders>
            <w:shd w:val="clear"/>
            <w:vAlign w:val="center"/>
          </w:tcPr>
          <w:p w14:paraId="0D0872E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分值</w:t>
            </w:r>
          </w:p>
        </w:tc>
        <w:tc>
          <w:tcPr>
            <w:tcW w:w="854" w:type="dxa"/>
            <w:tcBorders>
              <w:top w:val="single" w:color="auto" w:sz="4" w:space="0"/>
              <w:left w:val="single" w:color="auto" w:sz="4" w:space="0"/>
              <w:bottom w:val="single" w:color="auto" w:sz="4" w:space="0"/>
              <w:right w:val="single" w:color="auto" w:sz="4" w:space="0"/>
            </w:tcBorders>
            <w:shd w:val="clear"/>
            <w:vAlign w:val="center"/>
          </w:tcPr>
          <w:p w14:paraId="0778BC92">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得分</w:t>
            </w:r>
          </w:p>
        </w:tc>
        <w:tc>
          <w:tcPr>
            <w:tcW w:w="842" w:type="dxa"/>
            <w:tcBorders>
              <w:top w:val="single" w:color="auto" w:sz="4" w:space="0"/>
              <w:left w:val="single" w:color="auto" w:sz="4" w:space="0"/>
              <w:bottom w:val="single" w:color="auto" w:sz="4" w:space="0"/>
              <w:right w:val="single" w:color="auto" w:sz="4" w:space="0"/>
            </w:tcBorders>
            <w:shd w:val="clear"/>
            <w:vAlign w:val="center"/>
          </w:tcPr>
          <w:p w14:paraId="4982C18E">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pacing w:val="-20"/>
                <w:szCs w:val="20"/>
                <w:bdr w:val="none" w:color="auto" w:sz="0" w:space="0"/>
              </w:rPr>
              <w:t>偏差原因及改进措施</w:t>
            </w:r>
          </w:p>
        </w:tc>
      </w:tr>
      <w:tr w14:paraId="70F1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0AEE8A28">
            <w:pPr>
              <w:rPr>
                <w:rFonts w:hint="default" w:ascii="Times New Roman" w:hAnsi="Times New Roman" w:cs="Times New Roman"/>
                <w:sz w:val="20"/>
                <w:szCs w:val="20"/>
              </w:rPr>
            </w:pPr>
          </w:p>
        </w:tc>
        <w:tc>
          <w:tcPr>
            <w:tcW w:w="921" w:type="dxa"/>
            <w:vMerge w:val="restart"/>
            <w:tcBorders>
              <w:top w:val="single" w:color="auto" w:sz="4" w:space="0"/>
              <w:left w:val="single" w:color="auto" w:sz="4" w:space="0"/>
              <w:bottom w:val="single" w:color="auto" w:sz="4" w:space="0"/>
              <w:right w:val="single" w:color="auto" w:sz="4" w:space="0"/>
            </w:tcBorders>
            <w:shd w:val="clear"/>
            <w:vAlign w:val="center"/>
          </w:tcPr>
          <w:p w14:paraId="676F87AD">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产出</w:t>
            </w:r>
          </w:p>
          <w:p w14:paraId="7C0BF4C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p w14:paraId="0498F46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(50</w:t>
            </w:r>
            <w:r>
              <w:rPr>
                <w:rFonts w:hint="eastAsia" w:ascii="宋体" w:hAnsi="宋体" w:eastAsia="宋体" w:cs="宋体"/>
                <w:szCs w:val="20"/>
                <w:bdr w:val="none" w:color="auto" w:sz="0" w:space="0"/>
              </w:rPr>
              <w:t>分</w:t>
            </w:r>
            <w:r>
              <w:rPr>
                <w:rFonts w:hint="eastAsia" w:ascii="宋体" w:hAnsi="宋体" w:eastAsia="宋体" w:cs="宋体"/>
                <w:szCs w:val="20"/>
                <w:bdr w:val="none" w:color="auto" w:sz="0" w:space="0"/>
                <w:lang w:val="en-US"/>
              </w:rPr>
              <w:t>)</w:t>
            </w:r>
          </w:p>
        </w:tc>
        <w:tc>
          <w:tcPr>
            <w:tcW w:w="517" w:type="dxa"/>
            <w:vMerge w:val="restart"/>
            <w:tcBorders>
              <w:top w:val="single" w:color="auto" w:sz="4" w:space="0"/>
              <w:left w:val="nil"/>
              <w:bottom w:val="single" w:color="auto" w:sz="4" w:space="0"/>
              <w:right w:val="single" w:color="auto" w:sz="4" w:space="0"/>
            </w:tcBorders>
            <w:shd w:val="clear"/>
            <w:vAlign w:val="center"/>
          </w:tcPr>
          <w:p w14:paraId="1A240C4D">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数量指标</w:t>
            </w:r>
          </w:p>
        </w:tc>
        <w:tc>
          <w:tcPr>
            <w:tcW w:w="1450" w:type="dxa"/>
            <w:tcBorders>
              <w:top w:val="single" w:color="auto" w:sz="4" w:space="0"/>
              <w:left w:val="nil"/>
              <w:bottom w:val="single" w:color="auto" w:sz="4" w:space="0"/>
              <w:right w:val="single" w:color="auto" w:sz="4" w:space="0"/>
            </w:tcBorders>
            <w:shd w:val="clear"/>
            <w:vAlign w:val="center"/>
          </w:tcPr>
          <w:p w14:paraId="6951B9A6">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基本培训班次</w:t>
            </w:r>
          </w:p>
        </w:tc>
        <w:tc>
          <w:tcPr>
            <w:tcW w:w="1037" w:type="dxa"/>
            <w:tcBorders>
              <w:top w:val="single" w:color="auto" w:sz="4" w:space="0"/>
              <w:left w:val="nil"/>
              <w:bottom w:val="single" w:color="auto" w:sz="4" w:space="0"/>
              <w:right w:val="single" w:color="auto" w:sz="4" w:space="0"/>
            </w:tcBorders>
            <w:shd w:val="clear"/>
            <w:vAlign w:val="center"/>
          </w:tcPr>
          <w:p w14:paraId="644CC1B8">
            <w:pPr>
              <w:pStyle w:val="9"/>
              <w:widowControl/>
              <w:spacing w:before="0" w:beforeAutospacing="0" w:after="0" w:afterAutospacing="0" w:line="240" w:lineRule="exact"/>
              <w:ind w:left="0" w:leftChars="0" w:right="0" w:firstLine="100" w:firstLineChars="5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w:t>
            </w:r>
            <w:r>
              <w:rPr>
                <w:rFonts w:hint="eastAsia" w:ascii="宋体" w:hAnsi="宋体" w:eastAsia="宋体" w:cs="宋体"/>
                <w:szCs w:val="20"/>
                <w:bdr w:val="none" w:color="auto" w:sz="0" w:space="0"/>
                <w:lang w:val="en-US"/>
              </w:rPr>
              <w:t>70</w:t>
            </w:r>
          </w:p>
        </w:tc>
        <w:tc>
          <w:tcPr>
            <w:tcW w:w="1057" w:type="dxa"/>
            <w:tcBorders>
              <w:top w:val="single" w:color="auto" w:sz="4" w:space="0"/>
              <w:left w:val="nil"/>
              <w:bottom w:val="single" w:color="auto" w:sz="4" w:space="0"/>
              <w:right w:val="single" w:color="auto" w:sz="4" w:space="0"/>
            </w:tcBorders>
            <w:shd w:val="clear"/>
            <w:vAlign w:val="center"/>
          </w:tcPr>
          <w:p w14:paraId="4D455A3E">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94</w:t>
            </w:r>
          </w:p>
        </w:tc>
        <w:tc>
          <w:tcPr>
            <w:tcW w:w="814" w:type="dxa"/>
            <w:tcBorders>
              <w:top w:val="single" w:color="auto" w:sz="4" w:space="0"/>
              <w:left w:val="nil"/>
              <w:bottom w:val="single" w:color="auto" w:sz="4" w:space="0"/>
              <w:right w:val="single" w:color="auto" w:sz="4" w:space="0"/>
            </w:tcBorders>
            <w:shd w:val="clear"/>
            <w:vAlign w:val="center"/>
          </w:tcPr>
          <w:p w14:paraId="7E0480F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54" w:type="dxa"/>
            <w:tcBorders>
              <w:top w:val="single" w:color="auto" w:sz="4" w:space="0"/>
              <w:left w:val="nil"/>
              <w:bottom w:val="single" w:color="auto" w:sz="4" w:space="0"/>
              <w:right w:val="single" w:color="auto" w:sz="4" w:space="0"/>
            </w:tcBorders>
            <w:shd w:val="clear"/>
            <w:vAlign w:val="center"/>
          </w:tcPr>
          <w:p w14:paraId="010D6A1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42" w:type="dxa"/>
            <w:tcBorders>
              <w:top w:val="single" w:color="auto" w:sz="4" w:space="0"/>
              <w:left w:val="nil"/>
              <w:bottom w:val="single" w:color="auto" w:sz="4" w:space="0"/>
              <w:right w:val="single" w:color="auto" w:sz="4" w:space="0"/>
            </w:tcBorders>
            <w:shd w:val="clear"/>
            <w:vAlign w:val="center"/>
          </w:tcPr>
          <w:p w14:paraId="01670BDE">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r>
      <w:tr w14:paraId="54D2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66A63F13">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4E4278C5">
            <w:pPr>
              <w:rPr>
                <w:rFonts w:hint="default" w:ascii="Times New Roman" w:hAnsi="Times New Roman" w:cs="Times New Roman"/>
                <w:sz w:val="20"/>
                <w:szCs w:val="20"/>
              </w:rPr>
            </w:pPr>
          </w:p>
        </w:tc>
        <w:tc>
          <w:tcPr>
            <w:tcW w:w="517" w:type="dxa"/>
            <w:vMerge w:val="continue"/>
            <w:tcBorders>
              <w:top w:val="single" w:color="auto" w:sz="4" w:space="0"/>
              <w:left w:val="nil"/>
              <w:bottom w:val="single" w:color="auto" w:sz="4" w:space="0"/>
              <w:right w:val="single" w:color="auto" w:sz="4" w:space="0"/>
            </w:tcBorders>
            <w:shd w:val="clear"/>
            <w:vAlign w:val="center"/>
          </w:tcPr>
          <w:p w14:paraId="12B30F39">
            <w:pPr>
              <w:rPr>
                <w:rFonts w:hint="default" w:ascii="Times New Roman" w:hAnsi="Times New Roman" w:cs="Times New Roman"/>
                <w:sz w:val="20"/>
                <w:szCs w:val="20"/>
              </w:rPr>
            </w:pPr>
          </w:p>
        </w:tc>
        <w:tc>
          <w:tcPr>
            <w:tcW w:w="1450" w:type="dxa"/>
            <w:tcBorders>
              <w:top w:val="single" w:color="auto" w:sz="4" w:space="0"/>
              <w:left w:val="nil"/>
              <w:bottom w:val="single" w:color="auto" w:sz="4" w:space="0"/>
              <w:right w:val="single" w:color="auto" w:sz="4" w:space="0"/>
            </w:tcBorders>
            <w:shd w:val="clear"/>
            <w:vAlign w:val="center"/>
          </w:tcPr>
          <w:p w14:paraId="28813D0F">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省级以上刊物发表论文</w:t>
            </w:r>
          </w:p>
        </w:tc>
        <w:tc>
          <w:tcPr>
            <w:tcW w:w="1037" w:type="dxa"/>
            <w:tcBorders>
              <w:top w:val="single" w:color="auto" w:sz="4" w:space="0"/>
              <w:left w:val="nil"/>
              <w:bottom w:val="single" w:color="auto" w:sz="4" w:space="0"/>
              <w:right w:val="single" w:color="auto" w:sz="4" w:space="0"/>
            </w:tcBorders>
            <w:shd w:val="clear"/>
            <w:vAlign w:val="center"/>
          </w:tcPr>
          <w:p w14:paraId="6E87B90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w:t>
            </w:r>
            <w:r>
              <w:rPr>
                <w:rFonts w:hint="eastAsia" w:ascii="宋体" w:hAnsi="宋体" w:eastAsia="宋体" w:cs="宋体"/>
                <w:szCs w:val="20"/>
                <w:bdr w:val="none" w:color="auto" w:sz="0" w:space="0"/>
                <w:lang w:val="en-US"/>
              </w:rPr>
              <w:t>400</w:t>
            </w:r>
            <w:r>
              <w:rPr>
                <w:rFonts w:hint="eastAsia" w:ascii="宋体" w:hAnsi="宋体" w:eastAsia="宋体" w:cs="宋体"/>
                <w:szCs w:val="20"/>
                <w:bdr w:val="none" w:color="auto" w:sz="0" w:space="0"/>
              </w:rPr>
              <w:t>篇</w:t>
            </w:r>
          </w:p>
        </w:tc>
        <w:tc>
          <w:tcPr>
            <w:tcW w:w="1057" w:type="dxa"/>
            <w:tcBorders>
              <w:top w:val="single" w:color="auto" w:sz="4" w:space="0"/>
              <w:left w:val="nil"/>
              <w:bottom w:val="single" w:color="auto" w:sz="4" w:space="0"/>
              <w:right w:val="single" w:color="auto" w:sz="4" w:space="0"/>
            </w:tcBorders>
            <w:shd w:val="clear"/>
            <w:vAlign w:val="center"/>
          </w:tcPr>
          <w:p w14:paraId="1F69E3CD">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420</w:t>
            </w:r>
            <w:r>
              <w:rPr>
                <w:rFonts w:hint="eastAsia" w:ascii="宋体" w:hAnsi="宋体" w:eastAsia="宋体" w:cs="宋体"/>
                <w:szCs w:val="20"/>
                <w:bdr w:val="none" w:color="auto" w:sz="0" w:space="0"/>
              </w:rPr>
              <w:t>篇</w:t>
            </w:r>
          </w:p>
        </w:tc>
        <w:tc>
          <w:tcPr>
            <w:tcW w:w="814" w:type="dxa"/>
            <w:tcBorders>
              <w:top w:val="single" w:color="auto" w:sz="4" w:space="0"/>
              <w:left w:val="nil"/>
              <w:bottom w:val="single" w:color="auto" w:sz="4" w:space="0"/>
              <w:right w:val="single" w:color="auto" w:sz="4" w:space="0"/>
            </w:tcBorders>
            <w:shd w:val="clear"/>
            <w:vAlign w:val="center"/>
          </w:tcPr>
          <w:p w14:paraId="4B273D6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single" w:color="auto" w:sz="4" w:space="0"/>
              <w:left w:val="nil"/>
              <w:bottom w:val="single" w:color="auto" w:sz="4" w:space="0"/>
              <w:right w:val="single" w:color="auto" w:sz="4" w:space="0"/>
            </w:tcBorders>
            <w:shd w:val="clear"/>
            <w:vAlign w:val="center"/>
          </w:tcPr>
          <w:p w14:paraId="769366D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single" w:color="auto" w:sz="4" w:space="0"/>
              <w:left w:val="nil"/>
              <w:bottom w:val="single" w:color="auto" w:sz="4" w:space="0"/>
              <w:right w:val="single" w:color="auto" w:sz="4" w:space="0"/>
            </w:tcBorders>
            <w:shd w:val="clear"/>
            <w:vAlign w:val="center"/>
          </w:tcPr>
          <w:p w14:paraId="504A9056">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r w14:paraId="748D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0BFF7048">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7B2B46E2">
            <w:pPr>
              <w:rPr>
                <w:rFonts w:hint="default" w:ascii="Times New Roman" w:hAnsi="Times New Roman" w:cs="Times New Roman"/>
                <w:sz w:val="20"/>
                <w:szCs w:val="20"/>
              </w:rPr>
            </w:pPr>
          </w:p>
        </w:tc>
        <w:tc>
          <w:tcPr>
            <w:tcW w:w="517" w:type="dxa"/>
            <w:vMerge w:val="continue"/>
            <w:tcBorders>
              <w:top w:val="single" w:color="auto" w:sz="4" w:space="0"/>
              <w:left w:val="nil"/>
              <w:bottom w:val="single" w:color="auto" w:sz="4" w:space="0"/>
              <w:right w:val="single" w:color="auto" w:sz="4" w:space="0"/>
            </w:tcBorders>
            <w:shd w:val="clear"/>
            <w:vAlign w:val="center"/>
          </w:tcPr>
          <w:p w14:paraId="7353626D">
            <w:pPr>
              <w:rPr>
                <w:rFonts w:hint="default" w:ascii="Times New Roman" w:hAnsi="Times New Roman" w:cs="Times New Roman"/>
                <w:sz w:val="20"/>
                <w:szCs w:val="20"/>
              </w:rPr>
            </w:pPr>
          </w:p>
        </w:tc>
        <w:tc>
          <w:tcPr>
            <w:tcW w:w="1450" w:type="dxa"/>
            <w:tcBorders>
              <w:top w:val="single" w:color="auto" w:sz="4" w:space="0"/>
              <w:left w:val="nil"/>
              <w:bottom w:val="single" w:color="auto" w:sz="4" w:space="0"/>
              <w:right w:val="single" w:color="auto" w:sz="4" w:space="0"/>
            </w:tcBorders>
            <w:shd w:val="clear"/>
            <w:vAlign w:val="center"/>
          </w:tcPr>
          <w:p w14:paraId="51F5CD9E">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开发新专题</w:t>
            </w:r>
          </w:p>
        </w:tc>
        <w:tc>
          <w:tcPr>
            <w:tcW w:w="1037" w:type="dxa"/>
            <w:tcBorders>
              <w:top w:val="single" w:color="auto" w:sz="4" w:space="0"/>
              <w:left w:val="nil"/>
              <w:bottom w:val="single" w:color="auto" w:sz="4" w:space="0"/>
              <w:right w:val="single" w:color="auto" w:sz="4" w:space="0"/>
            </w:tcBorders>
            <w:shd w:val="clear"/>
            <w:vAlign w:val="center"/>
          </w:tcPr>
          <w:p w14:paraId="16E32DE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w:t>
            </w:r>
            <w:r>
              <w:rPr>
                <w:rFonts w:hint="eastAsia" w:ascii="宋体" w:hAnsi="宋体" w:eastAsia="宋体" w:cs="宋体"/>
                <w:szCs w:val="20"/>
                <w:bdr w:val="none" w:color="auto" w:sz="0" w:space="0"/>
                <w:lang w:val="en-US"/>
              </w:rPr>
              <w:t>100</w:t>
            </w:r>
          </w:p>
        </w:tc>
        <w:tc>
          <w:tcPr>
            <w:tcW w:w="1057" w:type="dxa"/>
            <w:tcBorders>
              <w:top w:val="single" w:color="auto" w:sz="4" w:space="0"/>
              <w:left w:val="nil"/>
              <w:bottom w:val="single" w:color="auto" w:sz="4" w:space="0"/>
              <w:right w:val="single" w:color="auto" w:sz="4" w:space="0"/>
            </w:tcBorders>
            <w:shd w:val="clear"/>
            <w:vAlign w:val="center"/>
          </w:tcPr>
          <w:p w14:paraId="2AD7D82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172</w:t>
            </w:r>
          </w:p>
        </w:tc>
        <w:tc>
          <w:tcPr>
            <w:tcW w:w="814" w:type="dxa"/>
            <w:tcBorders>
              <w:top w:val="single" w:color="auto" w:sz="4" w:space="0"/>
              <w:left w:val="nil"/>
              <w:bottom w:val="single" w:color="auto" w:sz="4" w:space="0"/>
              <w:right w:val="single" w:color="auto" w:sz="4" w:space="0"/>
            </w:tcBorders>
            <w:shd w:val="clear"/>
            <w:vAlign w:val="center"/>
          </w:tcPr>
          <w:p w14:paraId="241C92C6">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single" w:color="auto" w:sz="4" w:space="0"/>
              <w:left w:val="nil"/>
              <w:bottom w:val="single" w:color="auto" w:sz="4" w:space="0"/>
              <w:right w:val="single" w:color="auto" w:sz="4" w:space="0"/>
            </w:tcBorders>
            <w:shd w:val="clear"/>
            <w:vAlign w:val="center"/>
          </w:tcPr>
          <w:p w14:paraId="7D2852C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single" w:color="auto" w:sz="4" w:space="0"/>
              <w:left w:val="nil"/>
              <w:bottom w:val="single" w:color="auto" w:sz="4" w:space="0"/>
              <w:right w:val="single" w:color="auto" w:sz="4" w:space="0"/>
            </w:tcBorders>
            <w:shd w:val="clear"/>
            <w:vAlign w:val="center"/>
          </w:tcPr>
          <w:p w14:paraId="3E4E11C7">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r>
      <w:tr w14:paraId="7ADB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0D238153">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78DD471D">
            <w:pPr>
              <w:rPr>
                <w:rFonts w:hint="default" w:ascii="Times New Roman" w:hAnsi="Times New Roman" w:cs="Times New Roman"/>
                <w:sz w:val="20"/>
                <w:szCs w:val="20"/>
              </w:rPr>
            </w:pPr>
          </w:p>
        </w:tc>
        <w:tc>
          <w:tcPr>
            <w:tcW w:w="517" w:type="dxa"/>
            <w:vMerge w:val="continue"/>
            <w:tcBorders>
              <w:top w:val="single" w:color="auto" w:sz="4" w:space="0"/>
              <w:left w:val="nil"/>
              <w:bottom w:val="single" w:color="auto" w:sz="4" w:space="0"/>
              <w:right w:val="single" w:color="auto" w:sz="4" w:space="0"/>
            </w:tcBorders>
            <w:shd w:val="clear"/>
            <w:vAlign w:val="center"/>
          </w:tcPr>
          <w:p w14:paraId="54B1F3D8">
            <w:pPr>
              <w:rPr>
                <w:rFonts w:hint="default" w:ascii="Times New Roman" w:hAnsi="Times New Roman" w:cs="Times New Roman"/>
                <w:sz w:val="20"/>
                <w:szCs w:val="20"/>
              </w:rPr>
            </w:pPr>
          </w:p>
        </w:tc>
        <w:tc>
          <w:tcPr>
            <w:tcW w:w="1450" w:type="dxa"/>
            <w:tcBorders>
              <w:top w:val="single" w:color="auto" w:sz="4" w:space="0"/>
              <w:left w:val="nil"/>
              <w:bottom w:val="single" w:color="auto" w:sz="4" w:space="0"/>
              <w:right w:val="single" w:color="auto" w:sz="4" w:space="0"/>
            </w:tcBorders>
            <w:shd w:val="clear"/>
            <w:vAlign w:val="center"/>
          </w:tcPr>
          <w:p w14:paraId="345ECDD0">
            <w:pPr>
              <w:pStyle w:val="9"/>
              <w:widowControl/>
              <w:spacing w:before="0" w:beforeAutospacing="0" w:after="0" w:afterAutospacing="0" w:line="240" w:lineRule="exact"/>
              <w:ind w:left="0" w:leftChars="0" w:right="0" w:firstLine="0" w:firstLineChars="0"/>
              <w:rPr>
                <w:rFonts w:hint="eastAsia" w:ascii="宋体" w:hAnsi="宋体" w:eastAsia="宋体" w:cs="宋体"/>
                <w:spacing w:val="-6"/>
                <w:szCs w:val="20"/>
                <w:bdr w:val="none" w:color="auto" w:sz="0" w:space="0"/>
                <w:lang w:val="en-US"/>
              </w:rPr>
            </w:pPr>
            <w:r>
              <w:rPr>
                <w:rFonts w:hint="eastAsia" w:ascii="宋体" w:hAnsi="宋体" w:eastAsia="宋体" w:cs="宋体"/>
                <w:spacing w:val="-6"/>
                <w:szCs w:val="20"/>
                <w:bdr w:val="none" w:color="auto" w:sz="0" w:space="0"/>
              </w:rPr>
              <w:t>引进博士人数</w:t>
            </w:r>
          </w:p>
        </w:tc>
        <w:tc>
          <w:tcPr>
            <w:tcW w:w="1037" w:type="dxa"/>
            <w:tcBorders>
              <w:top w:val="single" w:color="auto" w:sz="4" w:space="0"/>
              <w:left w:val="nil"/>
              <w:bottom w:val="single" w:color="auto" w:sz="4" w:space="0"/>
              <w:right w:val="single" w:color="auto" w:sz="4" w:space="0"/>
            </w:tcBorders>
            <w:shd w:val="clear"/>
            <w:vAlign w:val="center"/>
          </w:tcPr>
          <w:p w14:paraId="4B90928C">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w:t>
            </w:r>
            <w:r>
              <w:rPr>
                <w:rFonts w:hint="eastAsia" w:ascii="宋体" w:hAnsi="宋体" w:eastAsia="宋体" w:cs="宋体"/>
                <w:szCs w:val="20"/>
                <w:bdr w:val="none" w:color="auto" w:sz="0" w:space="0"/>
              </w:rPr>
              <w:t>人</w:t>
            </w:r>
          </w:p>
        </w:tc>
        <w:tc>
          <w:tcPr>
            <w:tcW w:w="1057" w:type="dxa"/>
            <w:tcBorders>
              <w:top w:val="single" w:color="auto" w:sz="4" w:space="0"/>
              <w:left w:val="nil"/>
              <w:bottom w:val="single" w:color="auto" w:sz="4" w:space="0"/>
              <w:right w:val="single" w:color="auto" w:sz="4" w:space="0"/>
            </w:tcBorders>
            <w:shd w:val="clear"/>
            <w:vAlign w:val="center"/>
          </w:tcPr>
          <w:p w14:paraId="65205A5C">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13</w:t>
            </w:r>
            <w:r>
              <w:rPr>
                <w:rFonts w:hint="eastAsia" w:ascii="宋体" w:hAnsi="宋体" w:eastAsia="宋体" w:cs="宋体"/>
                <w:szCs w:val="20"/>
                <w:bdr w:val="none" w:color="auto" w:sz="0" w:space="0"/>
              </w:rPr>
              <w:t>人</w:t>
            </w:r>
          </w:p>
        </w:tc>
        <w:tc>
          <w:tcPr>
            <w:tcW w:w="814" w:type="dxa"/>
            <w:tcBorders>
              <w:top w:val="single" w:color="auto" w:sz="4" w:space="0"/>
              <w:left w:val="nil"/>
              <w:bottom w:val="single" w:color="auto" w:sz="4" w:space="0"/>
              <w:right w:val="single" w:color="auto" w:sz="4" w:space="0"/>
            </w:tcBorders>
            <w:shd w:val="clear"/>
            <w:vAlign w:val="center"/>
          </w:tcPr>
          <w:p w14:paraId="6E1A977D">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single" w:color="auto" w:sz="4" w:space="0"/>
              <w:left w:val="nil"/>
              <w:bottom w:val="single" w:color="auto" w:sz="4" w:space="0"/>
              <w:right w:val="single" w:color="auto" w:sz="4" w:space="0"/>
            </w:tcBorders>
            <w:shd w:val="clear"/>
            <w:vAlign w:val="center"/>
          </w:tcPr>
          <w:p w14:paraId="7D85867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single" w:color="auto" w:sz="4" w:space="0"/>
              <w:left w:val="nil"/>
              <w:bottom w:val="single" w:color="auto" w:sz="4" w:space="0"/>
              <w:right w:val="single" w:color="auto" w:sz="4" w:space="0"/>
            </w:tcBorders>
            <w:shd w:val="clear"/>
            <w:vAlign w:val="center"/>
          </w:tcPr>
          <w:p w14:paraId="649935DC">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r>
      <w:tr w14:paraId="6F62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8"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044D858A">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49FE0C24">
            <w:pPr>
              <w:rPr>
                <w:rFonts w:hint="default" w:ascii="Times New Roman" w:hAnsi="Times New Roman" w:cs="Times New Roman"/>
                <w:sz w:val="20"/>
                <w:szCs w:val="20"/>
              </w:rPr>
            </w:pPr>
          </w:p>
        </w:tc>
        <w:tc>
          <w:tcPr>
            <w:tcW w:w="517" w:type="dxa"/>
            <w:vMerge w:val="restart"/>
            <w:tcBorders>
              <w:top w:val="nil"/>
              <w:left w:val="nil"/>
              <w:bottom w:val="single" w:color="auto" w:sz="4" w:space="0"/>
              <w:right w:val="single" w:color="auto" w:sz="4" w:space="0"/>
            </w:tcBorders>
            <w:shd w:val="clear"/>
            <w:vAlign w:val="center"/>
          </w:tcPr>
          <w:p w14:paraId="43F5F7B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质量指标</w:t>
            </w:r>
          </w:p>
        </w:tc>
        <w:tc>
          <w:tcPr>
            <w:tcW w:w="1450" w:type="dxa"/>
            <w:tcBorders>
              <w:top w:val="nil"/>
              <w:left w:val="nil"/>
              <w:bottom w:val="single" w:color="auto" w:sz="4" w:space="0"/>
              <w:right w:val="single" w:color="auto" w:sz="4" w:space="0"/>
            </w:tcBorders>
            <w:shd w:val="clear"/>
            <w:vAlign w:val="center"/>
          </w:tcPr>
          <w:p w14:paraId="24C40932">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基本培训班学员考核优良率</w:t>
            </w:r>
          </w:p>
        </w:tc>
        <w:tc>
          <w:tcPr>
            <w:tcW w:w="1037" w:type="dxa"/>
            <w:tcBorders>
              <w:top w:val="nil"/>
              <w:left w:val="nil"/>
              <w:bottom w:val="single" w:color="auto" w:sz="4" w:space="0"/>
              <w:right w:val="single" w:color="auto" w:sz="4" w:space="0"/>
            </w:tcBorders>
            <w:shd w:val="clear"/>
            <w:vAlign w:val="center"/>
          </w:tcPr>
          <w:p w14:paraId="5E92185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w:t>
            </w:r>
            <w:r>
              <w:rPr>
                <w:rFonts w:hint="eastAsia" w:ascii="宋体" w:hAnsi="宋体" w:eastAsia="宋体" w:cs="宋体"/>
                <w:szCs w:val="20"/>
                <w:bdr w:val="none" w:color="auto" w:sz="0" w:space="0"/>
                <w:lang w:val="en-US"/>
              </w:rPr>
              <w:t>98%</w:t>
            </w:r>
          </w:p>
        </w:tc>
        <w:tc>
          <w:tcPr>
            <w:tcW w:w="1057" w:type="dxa"/>
            <w:tcBorders>
              <w:top w:val="nil"/>
              <w:left w:val="nil"/>
              <w:bottom w:val="single" w:color="auto" w:sz="4" w:space="0"/>
              <w:right w:val="single" w:color="auto" w:sz="4" w:space="0"/>
            </w:tcBorders>
            <w:shd w:val="clear"/>
            <w:vAlign w:val="center"/>
          </w:tcPr>
          <w:p w14:paraId="3E9FD094">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100%</w:t>
            </w:r>
          </w:p>
        </w:tc>
        <w:tc>
          <w:tcPr>
            <w:tcW w:w="814" w:type="dxa"/>
            <w:tcBorders>
              <w:top w:val="nil"/>
              <w:left w:val="nil"/>
              <w:bottom w:val="single" w:color="auto" w:sz="4" w:space="0"/>
              <w:right w:val="single" w:color="auto" w:sz="4" w:space="0"/>
            </w:tcBorders>
            <w:shd w:val="clear"/>
            <w:vAlign w:val="center"/>
          </w:tcPr>
          <w:p w14:paraId="779ED88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54" w:type="dxa"/>
            <w:tcBorders>
              <w:top w:val="nil"/>
              <w:left w:val="nil"/>
              <w:bottom w:val="single" w:color="auto" w:sz="4" w:space="0"/>
              <w:right w:val="single" w:color="auto" w:sz="4" w:space="0"/>
            </w:tcBorders>
            <w:shd w:val="clear"/>
            <w:vAlign w:val="center"/>
          </w:tcPr>
          <w:p w14:paraId="47B9CBC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42" w:type="dxa"/>
            <w:tcBorders>
              <w:top w:val="nil"/>
              <w:left w:val="nil"/>
              <w:bottom w:val="single" w:color="auto" w:sz="4" w:space="0"/>
              <w:right w:val="single" w:color="auto" w:sz="4" w:space="0"/>
            </w:tcBorders>
            <w:shd w:val="clear"/>
            <w:vAlign w:val="center"/>
          </w:tcPr>
          <w:p w14:paraId="1BF35817">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r>
      <w:tr w14:paraId="04D9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106A698F">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1DDEB4E5">
            <w:pPr>
              <w:rPr>
                <w:rFonts w:hint="default" w:ascii="Times New Roman" w:hAnsi="Times New Roman" w:cs="Times New Roman"/>
                <w:sz w:val="20"/>
                <w:szCs w:val="20"/>
              </w:rPr>
            </w:pPr>
          </w:p>
        </w:tc>
        <w:tc>
          <w:tcPr>
            <w:tcW w:w="517" w:type="dxa"/>
            <w:vMerge w:val="continue"/>
            <w:tcBorders>
              <w:top w:val="nil"/>
              <w:left w:val="nil"/>
              <w:bottom w:val="single" w:color="auto" w:sz="4" w:space="0"/>
              <w:right w:val="single" w:color="auto" w:sz="4" w:space="0"/>
            </w:tcBorders>
            <w:shd w:val="clear"/>
            <w:vAlign w:val="center"/>
          </w:tcPr>
          <w:p w14:paraId="69E76524">
            <w:pPr>
              <w:rPr>
                <w:rFonts w:hint="default" w:ascii="Times New Roman" w:hAnsi="Times New Roman" w:cs="Times New Roman"/>
                <w:sz w:val="20"/>
                <w:szCs w:val="20"/>
              </w:rPr>
            </w:pPr>
          </w:p>
        </w:tc>
        <w:tc>
          <w:tcPr>
            <w:tcW w:w="1450" w:type="dxa"/>
            <w:tcBorders>
              <w:top w:val="nil"/>
              <w:left w:val="nil"/>
              <w:bottom w:val="single" w:color="auto" w:sz="4" w:space="0"/>
              <w:right w:val="single" w:color="auto" w:sz="4" w:space="0"/>
            </w:tcBorders>
            <w:shd w:val="clear"/>
            <w:vAlign w:val="center"/>
          </w:tcPr>
          <w:p w14:paraId="0EAEC29D">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CSCI</w:t>
            </w:r>
            <w:r>
              <w:rPr>
                <w:rFonts w:hint="eastAsia" w:ascii="宋体" w:hAnsi="宋体" w:eastAsia="宋体" w:cs="宋体"/>
                <w:szCs w:val="20"/>
                <w:bdr w:val="none" w:color="auto" w:sz="0" w:space="0"/>
              </w:rPr>
              <w:t>来源期刊</w:t>
            </w:r>
          </w:p>
        </w:tc>
        <w:tc>
          <w:tcPr>
            <w:tcW w:w="1037" w:type="dxa"/>
            <w:tcBorders>
              <w:top w:val="nil"/>
              <w:left w:val="nil"/>
              <w:bottom w:val="single" w:color="auto" w:sz="4" w:space="0"/>
              <w:right w:val="single" w:color="auto" w:sz="4" w:space="0"/>
            </w:tcBorders>
            <w:shd w:val="clear"/>
            <w:vAlign w:val="center"/>
          </w:tcPr>
          <w:p w14:paraId="5CE3910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w:t>
            </w:r>
            <w:r>
              <w:rPr>
                <w:rFonts w:hint="eastAsia" w:ascii="宋体" w:hAnsi="宋体" w:eastAsia="宋体" w:cs="宋体"/>
                <w:szCs w:val="20"/>
                <w:bdr w:val="none" w:color="auto" w:sz="0" w:space="0"/>
                <w:lang w:val="en-US"/>
              </w:rPr>
              <w:t>10</w:t>
            </w:r>
            <w:r>
              <w:rPr>
                <w:rFonts w:hint="eastAsia" w:ascii="宋体" w:hAnsi="宋体" w:eastAsia="宋体" w:cs="宋体"/>
                <w:szCs w:val="20"/>
                <w:bdr w:val="none" w:color="auto" w:sz="0" w:space="0"/>
              </w:rPr>
              <w:t>篇</w:t>
            </w:r>
          </w:p>
        </w:tc>
        <w:tc>
          <w:tcPr>
            <w:tcW w:w="1057" w:type="dxa"/>
            <w:tcBorders>
              <w:top w:val="nil"/>
              <w:left w:val="nil"/>
              <w:bottom w:val="single" w:color="auto" w:sz="4" w:space="0"/>
              <w:right w:val="single" w:color="auto" w:sz="4" w:space="0"/>
            </w:tcBorders>
            <w:shd w:val="clear"/>
            <w:vAlign w:val="center"/>
          </w:tcPr>
          <w:p w14:paraId="4226B91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18</w:t>
            </w:r>
            <w:r>
              <w:rPr>
                <w:rFonts w:hint="eastAsia" w:ascii="宋体" w:hAnsi="宋体" w:eastAsia="宋体" w:cs="宋体"/>
                <w:szCs w:val="20"/>
                <w:bdr w:val="none" w:color="auto" w:sz="0" w:space="0"/>
              </w:rPr>
              <w:t>篇</w:t>
            </w:r>
          </w:p>
        </w:tc>
        <w:tc>
          <w:tcPr>
            <w:tcW w:w="814" w:type="dxa"/>
            <w:tcBorders>
              <w:top w:val="nil"/>
              <w:left w:val="nil"/>
              <w:bottom w:val="single" w:color="auto" w:sz="4" w:space="0"/>
              <w:right w:val="single" w:color="auto" w:sz="4" w:space="0"/>
            </w:tcBorders>
            <w:shd w:val="clear"/>
            <w:vAlign w:val="center"/>
          </w:tcPr>
          <w:p w14:paraId="471C6B26">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nil"/>
              <w:left w:val="nil"/>
              <w:bottom w:val="single" w:color="auto" w:sz="4" w:space="0"/>
              <w:right w:val="single" w:color="auto" w:sz="4" w:space="0"/>
            </w:tcBorders>
            <w:shd w:val="clear"/>
            <w:vAlign w:val="center"/>
          </w:tcPr>
          <w:p w14:paraId="1645DBA4">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nil"/>
              <w:left w:val="nil"/>
              <w:bottom w:val="single" w:color="auto" w:sz="4" w:space="0"/>
              <w:right w:val="single" w:color="auto" w:sz="4" w:space="0"/>
            </w:tcBorders>
            <w:shd w:val="clear"/>
            <w:vAlign w:val="center"/>
          </w:tcPr>
          <w:p w14:paraId="37FD7A94">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r w14:paraId="00A3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48D2CBA3">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51F23D0E">
            <w:pPr>
              <w:rPr>
                <w:rFonts w:hint="default" w:ascii="Times New Roman" w:hAnsi="Times New Roman" w:cs="Times New Roman"/>
                <w:sz w:val="20"/>
                <w:szCs w:val="20"/>
              </w:rPr>
            </w:pPr>
          </w:p>
        </w:tc>
        <w:tc>
          <w:tcPr>
            <w:tcW w:w="517" w:type="dxa"/>
            <w:vMerge w:val="continue"/>
            <w:tcBorders>
              <w:top w:val="nil"/>
              <w:left w:val="nil"/>
              <w:bottom w:val="single" w:color="auto" w:sz="4" w:space="0"/>
              <w:right w:val="single" w:color="auto" w:sz="4" w:space="0"/>
            </w:tcBorders>
            <w:shd w:val="clear"/>
            <w:vAlign w:val="center"/>
          </w:tcPr>
          <w:p w14:paraId="0611066B">
            <w:pPr>
              <w:rPr>
                <w:rFonts w:hint="default" w:ascii="Times New Roman" w:hAnsi="Times New Roman" w:cs="Times New Roman"/>
                <w:sz w:val="20"/>
                <w:szCs w:val="20"/>
              </w:rPr>
            </w:pPr>
          </w:p>
        </w:tc>
        <w:tc>
          <w:tcPr>
            <w:tcW w:w="1450" w:type="dxa"/>
            <w:tcBorders>
              <w:top w:val="nil"/>
              <w:left w:val="nil"/>
              <w:bottom w:val="single" w:color="auto" w:sz="4" w:space="0"/>
              <w:right w:val="single" w:color="auto" w:sz="4" w:space="0"/>
            </w:tcBorders>
            <w:shd w:val="clear"/>
            <w:vAlign w:val="center"/>
          </w:tcPr>
          <w:p w14:paraId="0514A928">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pacing w:val="-6"/>
                <w:szCs w:val="20"/>
                <w:bdr w:val="none" w:color="auto" w:sz="0" w:space="0"/>
              </w:rPr>
              <w:t>引进人才学历</w:t>
            </w:r>
          </w:p>
        </w:tc>
        <w:tc>
          <w:tcPr>
            <w:tcW w:w="1037" w:type="dxa"/>
            <w:tcBorders>
              <w:top w:val="nil"/>
              <w:left w:val="nil"/>
              <w:bottom w:val="single" w:color="auto" w:sz="4" w:space="0"/>
              <w:right w:val="single" w:color="auto" w:sz="4" w:space="0"/>
            </w:tcBorders>
            <w:shd w:val="clear"/>
            <w:vAlign w:val="center"/>
          </w:tcPr>
          <w:p w14:paraId="021F2188">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博士毕业</w:t>
            </w:r>
          </w:p>
        </w:tc>
        <w:tc>
          <w:tcPr>
            <w:tcW w:w="1057" w:type="dxa"/>
            <w:tcBorders>
              <w:top w:val="nil"/>
              <w:left w:val="nil"/>
              <w:bottom w:val="single" w:color="auto" w:sz="4" w:space="0"/>
              <w:right w:val="single" w:color="auto" w:sz="4" w:space="0"/>
            </w:tcBorders>
            <w:shd w:val="clear"/>
            <w:vAlign w:val="center"/>
          </w:tcPr>
          <w:p w14:paraId="65B3AA68">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博士毕业</w:t>
            </w:r>
          </w:p>
        </w:tc>
        <w:tc>
          <w:tcPr>
            <w:tcW w:w="814" w:type="dxa"/>
            <w:tcBorders>
              <w:top w:val="nil"/>
              <w:left w:val="nil"/>
              <w:bottom w:val="single" w:color="auto" w:sz="4" w:space="0"/>
              <w:right w:val="single" w:color="auto" w:sz="4" w:space="0"/>
            </w:tcBorders>
            <w:shd w:val="clear"/>
            <w:vAlign w:val="center"/>
          </w:tcPr>
          <w:p w14:paraId="0E2253F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nil"/>
              <w:left w:val="nil"/>
              <w:bottom w:val="single" w:color="auto" w:sz="4" w:space="0"/>
              <w:right w:val="single" w:color="auto" w:sz="4" w:space="0"/>
            </w:tcBorders>
            <w:shd w:val="clear"/>
            <w:vAlign w:val="center"/>
          </w:tcPr>
          <w:p w14:paraId="4CBFC595">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nil"/>
              <w:left w:val="nil"/>
              <w:bottom w:val="single" w:color="auto" w:sz="4" w:space="0"/>
              <w:right w:val="single" w:color="auto" w:sz="4" w:space="0"/>
            </w:tcBorders>
            <w:shd w:val="clear"/>
            <w:vAlign w:val="center"/>
          </w:tcPr>
          <w:p w14:paraId="0D05514B">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r>
      <w:tr w14:paraId="3D15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254D72A4">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35D9434B">
            <w:pPr>
              <w:rPr>
                <w:rFonts w:hint="default" w:ascii="Times New Roman" w:hAnsi="Times New Roman" w:cs="Times New Roman"/>
                <w:sz w:val="20"/>
                <w:szCs w:val="20"/>
              </w:rPr>
            </w:pPr>
          </w:p>
        </w:tc>
        <w:tc>
          <w:tcPr>
            <w:tcW w:w="517" w:type="dxa"/>
            <w:vMerge w:val="restart"/>
            <w:tcBorders>
              <w:top w:val="nil"/>
              <w:left w:val="nil"/>
              <w:bottom w:val="single" w:color="auto" w:sz="4" w:space="0"/>
              <w:right w:val="single" w:color="auto" w:sz="4" w:space="0"/>
            </w:tcBorders>
            <w:shd w:val="clear"/>
            <w:vAlign w:val="center"/>
          </w:tcPr>
          <w:p w14:paraId="2F93BF2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时效指标</w:t>
            </w:r>
          </w:p>
        </w:tc>
        <w:tc>
          <w:tcPr>
            <w:tcW w:w="1450" w:type="dxa"/>
            <w:tcBorders>
              <w:top w:val="nil"/>
              <w:left w:val="nil"/>
              <w:bottom w:val="single" w:color="auto" w:sz="4" w:space="0"/>
              <w:right w:val="single" w:color="auto" w:sz="4" w:space="0"/>
            </w:tcBorders>
            <w:shd w:val="clear"/>
            <w:vAlign w:val="center"/>
          </w:tcPr>
          <w:p w14:paraId="16A35DA9">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基本培训班培训时间</w:t>
            </w:r>
          </w:p>
        </w:tc>
        <w:tc>
          <w:tcPr>
            <w:tcW w:w="1037" w:type="dxa"/>
            <w:tcBorders>
              <w:top w:val="nil"/>
              <w:left w:val="nil"/>
              <w:bottom w:val="single" w:color="auto" w:sz="4" w:space="0"/>
              <w:right w:val="single" w:color="auto" w:sz="4" w:space="0"/>
            </w:tcBorders>
            <w:shd w:val="clear"/>
            <w:vAlign w:val="center"/>
          </w:tcPr>
          <w:p w14:paraId="639D8C6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当年完成</w:t>
            </w:r>
          </w:p>
        </w:tc>
        <w:tc>
          <w:tcPr>
            <w:tcW w:w="1057" w:type="dxa"/>
            <w:tcBorders>
              <w:top w:val="nil"/>
              <w:left w:val="nil"/>
              <w:bottom w:val="single" w:color="auto" w:sz="4" w:space="0"/>
              <w:right w:val="single" w:color="auto" w:sz="4" w:space="0"/>
            </w:tcBorders>
            <w:shd w:val="clear"/>
            <w:vAlign w:val="center"/>
          </w:tcPr>
          <w:p w14:paraId="3DB59A6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当年完成</w:t>
            </w:r>
          </w:p>
        </w:tc>
        <w:tc>
          <w:tcPr>
            <w:tcW w:w="814" w:type="dxa"/>
            <w:tcBorders>
              <w:top w:val="nil"/>
              <w:left w:val="nil"/>
              <w:bottom w:val="single" w:color="auto" w:sz="4" w:space="0"/>
              <w:right w:val="single" w:color="auto" w:sz="4" w:space="0"/>
            </w:tcBorders>
            <w:shd w:val="clear"/>
            <w:vAlign w:val="center"/>
          </w:tcPr>
          <w:p w14:paraId="4A6ED96E">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nil"/>
              <w:left w:val="nil"/>
              <w:bottom w:val="single" w:color="auto" w:sz="4" w:space="0"/>
              <w:right w:val="single" w:color="auto" w:sz="4" w:space="0"/>
            </w:tcBorders>
            <w:shd w:val="clear"/>
            <w:vAlign w:val="center"/>
          </w:tcPr>
          <w:p w14:paraId="61BF70F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nil"/>
              <w:left w:val="nil"/>
              <w:bottom w:val="single" w:color="auto" w:sz="4" w:space="0"/>
              <w:right w:val="single" w:color="auto" w:sz="4" w:space="0"/>
            </w:tcBorders>
            <w:shd w:val="clear"/>
            <w:vAlign w:val="center"/>
          </w:tcPr>
          <w:p w14:paraId="1E904A09">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r w14:paraId="4283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3830FB34">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7DDF9AA5">
            <w:pPr>
              <w:rPr>
                <w:rFonts w:hint="default" w:ascii="Times New Roman" w:hAnsi="Times New Roman" w:cs="Times New Roman"/>
                <w:sz w:val="20"/>
                <w:szCs w:val="20"/>
              </w:rPr>
            </w:pPr>
          </w:p>
        </w:tc>
        <w:tc>
          <w:tcPr>
            <w:tcW w:w="517" w:type="dxa"/>
            <w:vMerge w:val="continue"/>
            <w:tcBorders>
              <w:top w:val="nil"/>
              <w:left w:val="nil"/>
              <w:bottom w:val="single" w:color="auto" w:sz="4" w:space="0"/>
              <w:right w:val="single" w:color="auto" w:sz="4" w:space="0"/>
            </w:tcBorders>
            <w:shd w:val="clear"/>
            <w:vAlign w:val="center"/>
          </w:tcPr>
          <w:p w14:paraId="0A90740A">
            <w:pPr>
              <w:rPr>
                <w:rFonts w:hint="default" w:ascii="Times New Roman" w:hAnsi="Times New Roman" w:cs="Times New Roman"/>
                <w:sz w:val="20"/>
                <w:szCs w:val="20"/>
              </w:rPr>
            </w:pPr>
          </w:p>
        </w:tc>
        <w:tc>
          <w:tcPr>
            <w:tcW w:w="1450" w:type="dxa"/>
            <w:tcBorders>
              <w:top w:val="single" w:color="auto" w:sz="4" w:space="0"/>
              <w:left w:val="nil"/>
              <w:bottom w:val="single" w:color="auto" w:sz="4" w:space="0"/>
              <w:right w:val="single" w:color="auto" w:sz="4" w:space="0"/>
            </w:tcBorders>
            <w:shd w:val="clear"/>
            <w:vAlign w:val="center"/>
          </w:tcPr>
          <w:p w14:paraId="4BACBEF6">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pacing w:val="-6"/>
                <w:szCs w:val="20"/>
                <w:bdr w:val="none" w:color="auto" w:sz="0" w:space="0"/>
              </w:rPr>
              <w:t>论文发表时间</w:t>
            </w:r>
          </w:p>
        </w:tc>
        <w:tc>
          <w:tcPr>
            <w:tcW w:w="1037" w:type="dxa"/>
            <w:tcBorders>
              <w:top w:val="single" w:color="auto" w:sz="4" w:space="0"/>
              <w:left w:val="nil"/>
              <w:bottom w:val="single" w:color="auto" w:sz="4" w:space="0"/>
              <w:right w:val="single" w:color="auto" w:sz="4" w:space="0"/>
            </w:tcBorders>
            <w:shd w:val="clear"/>
            <w:vAlign w:val="center"/>
          </w:tcPr>
          <w:p w14:paraId="5BAE2C45">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当年完成</w:t>
            </w:r>
          </w:p>
        </w:tc>
        <w:tc>
          <w:tcPr>
            <w:tcW w:w="1057" w:type="dxa"/>
            <w:tcBorders>
              <w:top w:val="single" w:color="auto" w:sz="4" w:space="0"/>
              <w:left w:val="nil"/>
              <w:bottom w:val="single" w:color="auto" w:sz="4" w:space="0"/>
              <w:right w:val="single" w:color="auto" w:sz="4" w:space="0"/>
            </w:tcBorders>
            <w:shd w:val="clear"/>
            <w:vAlign w:val="center"/>
          </w:tcPr>
          <w:p w14:paraId="5B076F32">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当年完成</w:t>
            </w:r>
          </w:p>
        </w:tc>
        <w:tc>
          <w:tcPr>
            <w:tcW w:w="814" w:type="dxa"/>
            <w:tcBorders>
              <w:top w:val="single" w:color="auto" w:sz="4" w:space="0"/>
              <w:left w:val="nil"/>
              <w:bottom w:val="single" w:color="auto" w:sz="4" w:space="0"/>
              <w:right w:val="single" w:color="auto" w:sz="4" w:space="0"/>
            </w:tcBorders>
            <w:shd w:val="clear"/>
            <w:vAlign w:val="center"/>
          </w:tcPr>
          <w:p w14:paraId="4D695B7D">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single" w:color="auto" w:sz="4" w:space="0"/>
              <w:left w:val="nil"/>
              <w:bottom w:val="single" w:color="auto" w:sz="4" w:space="0"/>
              <w:right w:val="single" w:color="auto" w:sz="4" w:space="0"/>
            </w:tcBorders>
            <w:shd w:val="clear"/>
            <w:vAlign w:val="center"/>
          </w:tcPr>
          <w:p w14:paraId="27B6963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single" w:color="auto" w:sz="4" w:space="0"/>
              <w:left w:val="nil"/>
              <w:bottom w:val="single" w:color="auto" w:sz="4" w:space="0"/>
              <w:right w:val="single" w:color="auto" w:sz="4" w:space="0"/>
            </w:tcBorders>
            <w:shd w:val="clear"/>
            <w:vAlign w:val="center"/>
          </w:tcPr>
          <w:p w14:paraId="72F278F8">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r w14:paraId="057A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7A81A151">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196603F9">
            <w:pPr>
              <w:rPr>
                <w:rFonts w:hint="default" w:ascii="Times New Roman" w:hAnsi="Times New Roman" w:cs="Times New Roman"/>
                <w:sz w:val="20"/>
                <w:szCs w:val="20"/>
              </w:rPr>
            </w:pPr>
          </w:p>
        </w:tc>
        <w:tc>
          <w:tcPr>
            <w:tcW w:w="517" w:type="dxa"/>
            <w:vMerge w:val="continue"/>
            <w:tcBorders>
              <w:top w:val="nil"/>
              <w:left w:val="nil"/>
              <w:bottom w:val="single" w:color="auto" w:sz="4" w:space="0"/>
              <w:right w:val="single" w:color="auto" w:sz="4" w:space="0"/>
            </w:tcBorders>
            <w:shd w:val="clear"/>
            <w:vAlign w:val="center"/>
          </w:tcPr>
          <w:p w14:paraId="24D73E1A">
            <w:pPr>
              <w:rPr>
                <w:rFonts w:hint="default" w:ascii="Times New Roman" w:hAnsi="Times New Roman" w:cs="Times New Roman"/>
                <w:sz w:val="20"/>
                <w:szCs w:val="20"/>
              </w:rPr>
            </w:pPr>
          </w:p>
        </w:tc>
        <w:tc>
          <w:tcPr>
            <w:tcW w:w="1450" w:type="dxa"/>
            <w:tcBorders>
              <w:top w:val="single" w:color="auto" w:sz="4" w:space="0"/>
              <w:left w:val="nil"/>
              <w:bottom w:val="single" w:color="auto" w:sz="4" w:space="0"/>
              <w:right w:val="single" w:color="auto" w:sz="4" w:space="0"/>
            </w:tcBorders>
            <w:shd w:val="clear"/>
            <w:vAlign w:val="center"/>
          </w:tcPr>
          <w:p w14:paraId="06359F24">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专题开发完成时间</w:t>
            </w:r>
          </w:p>
        </w:tc>
        <w:tc>
          <w:tcPr>
            <w:tcW w:w="1037" w:type="dxa"/>
            <w:tcBorders>
              <w:top w:val="single" w:color="auto" w:sz="4" w:space="0"/>
              <w:left w:val="nil"/>
              <w:bottom w:val="single" w:color="auto" w:sz="4" w:space="0"/>
              <w:right w:val="single" w:color="auto" w:sz="4" w:space="0"/>
            </w:tcBorders>
            <w:shd w:val="clear"/>
            <w:vAlign w:val="center"/>
          </w:tcPr>
          <w:p w14:paraId="3230ADBC">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当年完成</w:t>
            </w:r>
          </w:p>
        </w:tc>
        <w:tc>
          <w:tcPr>
            <w:tcW w:w="1057" w:type="dxa"/>
            <w:tcBorders>
              <w:top w:val="single" w:color="auto" w:sz="4" w:space="0"/>
              <w:left w:val="nil"/>
              <w:bottom w:val="single" w:color="auto" w:sz="4" w:space="0"/>
              <w:right w:val="single" w:color="auto" w:sz="4" w:space="0"/>
            </w:tcBorders>
            <w:shd w:val="clear"/>
            <w:vAlign w:val="center"/>
          </w:tcPr>
          <w:p w14:paraId="0863DB86">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当年完成</w:t>
            </w:r>
          </w:p>
        </w:tc>
        <w:tc>
          <w:tcPr>
            <w:tcW w:w="814" w:type="dxa"/>
            <w:tcBorders>
              <w:top w:val="single" w:color="auto" w:sz="4" w:space="0"/>
              <w:left w:val="nil"/>
              <w:bottom w:val="single" w:color="auto" w:sz="4" w:space="0"/>
              <w:right w:val="single" w:color="auto" w:sz="4" w:space="0"/>
            </w:tcBorders>
            <w:shd w:val="clear"/>
            <w:vAlign w:val="center"/>
          </w:tcPr>
          <w:p w14:paraId="25FB2F5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single" w:color="auto" w:sz="4" w:space="0"/>
              <w:left w:val="nil"/>
              <w:bottom w:val="single" w:color="auto" w:sz="4" w:space="0"/>
              <w:right w:val="single" w:color="auto" w:sz="4" w:space="0"/>
            </w:tcBorders>
            <w:shd w:val="clear"/>
            <w:vAlign w:val="center"/>
          </w:tcPr>
          <w:p w14:paraId="15BC5A2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single" w:color="auto" w:sz="4" w:space="0"/>
              <w:left w:val="nil"/>
              <w:bottom w:val="single" w:color="auto" w:sz="4" w:space="0"/>
              <w:right w:val="single" w:color="auto" w:sz="4" w:space="0"/>
            </w:tcBorders>
            <w:shd w:val="clear"/>
            <w:vAlign w:val="center"/>
          </w:tcPr>
          <w:p w14:paraId="17C5D2BA">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r>
      <w:tr w14:paraId="5B02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24F4DE1C">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714F70E8">
            <w:pPr>
              <w:rPr>
                <w:rFonts w:hint="default" w:ascii="Times New Roman" w:hAnsi="Times New Roman" w:cs="Times New Roman"/>
                <w:sz w:val="20"/>
                <w:szCs w:val="20"/>
              </w:rPr>
            </w:pPr>
          </w:p>
        </w:tc>
        <w:tc>
          <w:tcPr>
            <w:tcW w:w="517" w:type="dxa"/>
            <w:vMerge w:val="continue"/>
            <w:tcBorders>
              <w:top w:val="nil"/>
              <w:left w:val="nil"/>
              <w:bottom w:val="single" w:color="auto" w:sz="4" w:space="0"/>
              <w:right w:val="single" w:color="auto" w:sz="4" w:space="0"/>
            </w:tcBorders>
            <w:shd w:val="clear"/>
            <w:vAlign w:val="center"/>
          </w:tcPr>
          <w:p w14:paraId="7BADE15B">
            <w:pPr>
              <w:rPr>
                <w:rFonts w:hint="default" w:ascii="Times New Roman" w:hAnsi="Times New Roman" w:cs="Times New Roman"/>
                <w:sz w:val="20"/>
                <w:szCs w:val="20"/>
              </w:rPr>
            </w:pPr>
          </w:p>
        </w:tc>
        <w:tc>
          <w:tcPr>
            <w:tcW w:w="1450" w:type="dxa"/>
            <w:tcBorders>
              <w:top w:val="nil"/>
              <w:left w:val="nil"/>
              <w:bottom w:val="single" w:color="auto" w:sz="4" w:space="0"/>
              <w:right w:val="single" w:color="auto" w:sz="4" w:space="0"/>
            </w:tcBorders>
            <w:shd w:val="clear"/>
            <w:vAlign w:val="center"/>
          </w:tcPr>
          <w:p w14:paraId="393C0886">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pacing w:val="-6"/>
                <w:szCs w:val="20"/>
                <w:bdr w:val="none" w:color="auto" w:sz="0" w:space="0"/>
              </w:rPr>
              <w:t>引进人才时间</w:t>
            </w:r>
          </w:p>
        </w:tc>
        <w:tc>
          <w:tcPr>
            <w:tcW w:w="1037" w:type="dxa"/>
            <w:tcBorders>
              <w:top w:val="nil"/>
              <w:left w:val="nil"/>
              <w:bottom w:val="single" w:color="auto" w:sz="4" w:space="0"/>
              <w:right w:val="single" w:color="auto" w:sz="4" w:space="0"/>
            </w:tcBorders>
            <w:shd w:val="clear"/>
            <w:vAlign w:val="center"/>
          </w:tcPr>
          <w:p w14:paraId="2A2C9E6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当年完成</w:t>
            </w:r>
          </w:p>
        </w:tc>
        <w:tc>
          <w:tcPr>
            <w:tcW w:w="1057" w:type="dxa"/>
            <w:tcBorders>
              <w:top w:val="nil"/>
              <w:left w:val="nil"/>
              <w:bottom w:val="single" w:color="auto" w:sz="4" w:space="0"/>
              <w:right w:val="single" w:color="auto" w:sz="4" w:space="0"/>
            </w:tcBorders>
            <w:shd w:val="clear"/>
            <w:vAlign w:val="center"/>
          </w:tcPr>
          <w:p w14:paraId="74344418">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当年完成</w:t>
            </w:r>
          </w:p>
        </w:tc>
        <w:tc>
          <w:tcPr>
            <w:tcW w:w="814" w:type="dxa"/>
            <w:tcBorders>
              <w:top w:val="nil"/>
              <w:left w:val="nil"/>
              <w:bottom w:val="single" w:color="auto" w:sz="4" w:space="0"/>
              <w:right w:val="single" w:color="auto" w:sz="4" w:space="0"/>
            </w:tcBorders>
            <w:shd w:val="clear"/>
            <w:vAlign w:val="center"/>
          </w:tcPr>
          <w:p w14:paraId="5EC2B6AD">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nil"/>
              <w:left w:val="nil"/>
              <w:bottom w:val="single" w:color="auto" w:sz="4" w:space="0"/>
              <w:right w:val="single" w:color="auto" w:sz="4" w:space="0"/>
            </w:tcBorders>
            <w:shd w:val="clear"/>
            <w:vAlign w:val="center"/>
          </w:tcPr>
          <w:p w14:paraId="69CCCCF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nil"/>
              <w:left w:val="nil"/>
              <w:bottom w:val="single" w:color="auto" w:sz="4" w:space="0"/>
              <w:right w:val="single" w:color="auto" w:sz="4" w:space="0"/>
            </w:tcBorders>
            <w:shd w:val="clear"/>
            <w:vAlign w:val="center"/>
          </w:tcPr>
          <w:p w14:paraId="0B7B5492">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p>
        </w:tc>
      </w:tr>
      <w:tr w14:paraId="1950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7"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4D9F9713">
            <w:pPr>
              <w:rPr>
                <w:rFonts w:hint="default" w:ascii="Times New Roman" w:hAnsi="Times New Roman" w:cs="Times New Roman"/>
                <w:sz w:val="20"/>
                <w:szCs w:val="20"/>
              </w:rPr>
            </w:pPr>
          </w:p>
        </w:tc>
        <w:tc>
          <w:tcPr>
            <w:tcW w:w="921" w:type="dxa"/>
            <w:vMerge w:val="continue"/>
            <w:tcBorders>
              <w:top w:val="single" w:color="auto" w:sz="4" w:space="0"/>
              <w:left w:val="single" w:color="auto" w:sz="4" w:space="0"/>
              <w:bottom w:val="single" w:color="auto" w:sz="4" w:space="0"/>
              <w:right w:val="single" w:color="auto" w:sz="4" w:space="0"/>
            </w:tcBorders>
            <w:shd w:val="clear"/>
            <w:vAlign w:val="center"/>
          </w:tcPr>
          <w:p w14:paraId="0A3F5A66">
            <w:pPr>
              <w:rPr>
                <w:rFonts w:hint="default" w:ascii="Times New Roman" w:hAnsi="Times New Roman" w:cs="Times New Roman"/>
                <w:sz w:val="20"/>
                <w:szCs w:val="20"/>
              </w:rPr>
            </w:pPr>
          </w:p>
        </w:tc>
        <w:tc>
          <w:tcPr>
            <w:tcW w:w="517" w:type="dxa"/>
            <w:tcBorders>
              <w:top w:val="nil"/>
              <w:left w:val="nil"/>
              <w:bottom w:val="nil"/>
              <w:right w:val="single" w:color="auto" w:sz="4" w:space="0"/>
            </w:tcBorders>
            <w:shd w:val="clear"/>
            <w:vAlign w:val="center"/>
          </w:tcPr>
          <w:p w14:paraId="74A4A14F">
            <w:pPr>
              <w:pStyle w:val="9"/>
              <w:widowControl/>
              <w:spacing w:before="0" w:beforeAutospacing="0" w:after="0" w:afterAutospacing="0" w:line="2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成本指标</w:t>
            </w:r>
          </w:p>
        </w:tc>
        <w:tc>
          <w:tcPr>
            <w:tcW w:w="1450" w:type="dxa"/>
            <w:tcBorders>
              <w:top w:val="nil"/>
              <w:left w:val="nil"/>
              <w:bottom w:val="single" w:color="auto" w:sz="4" w:space="0"/>
              <w:right w:val="single" w:color="auto" w:sz="4" w:space="0"/>
            </w:tcBorders>
            <w:shd w:val="clear"/>
            <w:vAlign w:val="center"/>
          </w:tcPr>
          <w:p w14:paraId="21A78E00">
            <w:pPr>
              <w:pStyle w:val="9"/>
              <w:widowControl/>
              <w:spacing w:before="0" w:beforeAutospacing="0" w:after="0" w:afterAutospacing="0" w:line="240" w:lineRule="exact"/>
              <w:ind w:left="0" w:leftChars="0" w:right="0" w:firstLine="0" w:firstLineChars="0"/>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rPr>
              <w:t>项目支出预算控制率</w:t>
            </w:r>
          </w:p>
        </w:tc>
        <w:tc>
          <w:tcPr>
            <w:tcW w:w="1037" w:type="dxa"/>
            <w:tcBorders>
              <w:top w:val="nil"/>
              <w:left w:val="nil"/>
              <w:bottom w:val="single" w:color="auto" w:sz="4" w:space="0"/>
              <w:right w:val="single" w:color="auto" w:sz="4" w:space="0"/>
            </w:tcBorders>
            <w:shd w:val="clear"/>
            <w:vAlign w:val="center"/>
          </w:tcPr>
          <w:p w14:paraId="7C10F135">
            <w:pPr>
              <w:pStyle w:val="9"/>
              <w:widowControl/>
              <w:spacing w:before="0" w:beforeAutospacing="0" w:after="0" w:afterAutospacing="0" w:line="240" w:lineRule="exact"/>
              <w:ind w:left="0" w:leftChars="0" w:right="0" w:firstLine="0" w:firstLineChars="0"/>
              <w:rPr>
                <w:rFonts w:hint="eastAsia" w:ascii="宋体" w:hAnsi="宋体" w:eastAsia="宋体" w:cs="宋体"/>
                <w:color w:val="000000"/>
                <w:szCs w:val="20"/>
                <w:bdr w:val="none" w:color="auto" w:sz="0" w:space="0"/>
                <w:lang w:val="en-US"/>
              </w:rPr>
            </w:pPr>
            <w:r>
              <w:rPr>
                <w:rFonts w:hint="eastAsia" w:ascii="宋体" w:hAnsi="宋体" w:eastAsia="宋体" w:cs="宋体"/>
                <w:bdr w:val="none" w:color="auto" w:sz="0" w:space="0"/>
              </w:rPr>
              <w:t>≤</w:t>
            </w:r>
            <w:r>
              <w:rPr>
                <w:rFonts w:hint="eastAsia" w:ascii="宋体" w:hAnsi="宋体" w:eastAsia="宋体" w:cs="宋体"/>
                <w:bdr w:val="none" w:color="auto" w:sz="0" w:space="0"/>
                <w:lang w:val="en-US"/>
              </w:rPr>
              <w:t xml:space="preserve"> 100%</w:t>
            </w:r>
          </w:p>
        </w:tc>
        <w:tc>
          <w:tcPr>
            <w:tcW w:w="1057" w:type="dxa"/>
            <w:tcBorders>
              <w:top w:val="nil"/>
              <w:left w:val="nil"/>
              <w:bottom w:val="single" w:color="auto" w:sz="4" w:space="0"/>
              <w:right w:val="single" w:color="auto" w:sz="4" w:space="0"/>
            </w:tcBorders>
            <w:shd w:val="clear"/>
            <w:vAlign w:val="center"/>
          </w:tcPr>
          <w:p w14:paraId="6BD78DF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51.08%</w:t>
            </w:r>
          </w:p>
        </w:tc>
        <w:tc>
          <w:tcPr>
            <w:tcW w:w="814" w:type="dxa"/>
            <w:tcBorders>
              <w:top w:val="nil"/>
              <w:left w:val="nil"/>
              <w:bottom w:val="single" w:color="auto" w:sz="4" w:space="0"/>
              <w:right w:val="single" w:color="auto" w:sz="4" w:space="0"/>
            </w:tcBorders>
            <w:shd w:val="clear"/>
            <w:vAlign w:val="center"/>
          </w:tcPr>
          <w:p w14:paraId="555E2665">
            <w:pPr>
              <w:pStyle w:val="9"/>
              <w:widowControl/>
              <w:spacing w:before="0" w:beforeAutospacing="0" w:after="0" w:afterAutospacing="0" w:line="24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2</w:t>
            </w:r>
          </w:p>
        </w:tc>
        <w:tc>
          <w:tcPr>
            <w:tcW w:w="854" w:type="dxa"/>
            <w:tcBorders>
              <w:top w:val="nil"/>
              <w:left w:val="nil"/>
              <w:bottom w:val="single" w:color="auto" w:sz="4" w:space="0"/>
              <w:right w:val="single" w:color="auto" w:sz="4" w:space="0"/>
            </w:tcBorders>
            <w:shd w:val="clear"/>
            <w:vAlign w:val="center"/>
          </w:tcPr>
          <w:p w14:paraId="35255C1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2</w:t>
            </w:r>
          </w:p>
        </w:tc>
        <w:tc>
          <w:tcPr>
            <w:tcW w:w="842" w:type="dxa"/>
            <w:tcBorders>
              <w:top w:val="nil"/>
              <w:left w:val="nil"/>
              <w:bottom w:val="single" w:color="auto" w:sz="4" w:space="0"/>
              <w:right w:val="single" w:color="auto" w:sz="4" w:space="0"/>
            </w:tcBorders>
            <w:shd w:val="clear"/>
            <w:vAlign w:val="center"/>
          </w:tcPr>
          <w:p w14:paraId="12CBF3A7">
            <w:pPr>
              <w:pStyle w:val="9"/>
              <w:widowControl/>
              <w:spacing w:before="0" w:beforeAutospacing="0" w:after="0" w:afterAutospacing="0" w:line="240" w:lineRule="exact"/>
              <w:ind w:left="0" w:leftChars="0" w:right="0" w:firstLine="0" w:firstLineChars="0"/>
              <w:rPr>
                <w:rFonts w:hint="eastAsia" w:ascii="宋体" w:hAnsi="宋体" w:eastAsia="宋体" w:cs="宋体"/>
                <w:color w:val="000000"/>
                <w:szCs w:val="20"/>
                <w:highlight w:val="yellow"/>
                <w:bdr w:val="none" w:color="auto" w:sz="0" w:space="0"/>
                <w:lang w:val="en-US"/>
              </w:rPr>
            </w:pPr>
          </w:p>
        </w:tc>
      </w:tr>
      <w:tr w14:paraId="6307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2"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5374FE02">
            <w:pPr>
              <w:rPr>
                <w:rFonts w:hint="default" w:ascii="Times New Roman" w:hAnsi="Times New Roman" w:cs="Times New Roman"/>
                <w:sz w:val="20"/>
                <w:szCs w:val="20"/>
              </w:rPr>
            </w:pPr>
          </w:p>
        </w:tc>
        <w:tc>
          <w:tcPr>
            <w:tcW w:w="921" w:type="dxa"/>
            <w:vMerge w:val="restart"/>
            <w:tcBorders>
              <w:top w:val="single" w:color="auto" w:sz="4" w:space="0"/>
              <w:left w:val="nil"/>
              <w:bottom w:val="single" w:color="auto" w:sz="4" w:space="0"/>
              <w:right w:val="single" w:color="auto" w:sz="4" w:space="0"/>
            </w:tcBorders>
            <w:shd w:val="clear"/>
            <w:vAlign w:val="center"/>
          </w:tcPr>
          <w:p w14:paraId="7A17C4D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效益</w:t>
            </w:r>
          </w:p>
          <w:p w14:paraId="0F044502">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p w14:paraId="6B61251F">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(30</w:t>
            </w:r>
            <w:r>
              <w:rPr>
                <w:rFonts w:hint="eastAsia" w:ascii="宋体" w:hAnsi="宋体" w:eastAsia="宋体" w:cs="宋体"/>
                <w:szCs w:val="20"/>
                <w:bdr w:val="none" w:color="auto" w:sz="0" w:space="0"/>
              </w:rPr>
              <w:t>分</w:t>
            </w:r>
            <w:r>
              <w:rPr>
                <w:rFonts w:hint="eastAsia" w:ascii="宋体" w:hAnsi="宋体" w:eastAsia="宋体" w:cs="宋体"/>
                <w:szCs w:val="20"/>
                <w:bdr w:val="none" w:color="auto" w:sz="0" w:space="0"/>
                <w:lang w:val="en-US"/>
              </w:rPr>
              <w:t>)</w:t>
            </w:r>
          </w:p>
        </w:tc>
        <w:tc>
          <w:tcPr>
            <w:tcW w:w="517" w:type="dxa"/>
            <w:vMerge w:val="restart"/>
            <w:tcBorders>
              <w:top w:val="single" w:color="auto" w:sz="4" w:space="0"/>
              <w:left w:val="nil"/>
              <w:bottom w:val="single" w:color="auto" w:sz="4" w:space="0"/>
              <w:right w:val="single" w:color="auto" w:sz="4" w:space="0"/>
            </w:tcBorders>
            <w:shd w:val="clear"/>
            <w:vAlign w:val="center"/>
          </w:tcPr>
          <w:p w14:paraId="494C031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社会效</w:t>
            </w:r>
          </w:p>
          <w:p w14:paraId="76224405">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益指标</w:t>
            </w:r>
          </w:p>
        </w:tc>
        <w:tc>
          <w:tcPr>
            <w:tcW w:w="1450" w:type="dxa"/>
            <w:tcBorders>
              <w:top w:val="single" w:color="auto" w:sz="4" w:space="0"/>
              <w:left w:val="nil"/>
              <w:bottom w:val="single" w:color="auto" w:sz="4" w:space="0"/>
              <w:right w:val="single" w:color="auto" w:sz="4" w:space="0"/>
            </w:tcBorders>
            <w:shd w:val="clear"/>
            <w:vAlign w:val="center"/>
          </w:tcPr>
          <w:p w14:paraId="3905E8A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为解决重大现实问题建言献策</w:t>
            </w:r>
          </w:p>
        </w:tc>
        <w:tc>
          <w:tcPr>
            <w:tcW w:w="1037" w:type="dxa"/>
            <w:tcBorders>
              <w:top w:val="single" w:color="auto" w:sz="4" w:space="0"/>
              <w:left w:val="nil"/>
              <w:bottom w:val="single" w:color="auto" w:sz="4" w:space="0"/>
              <w:right w:val="single" w:color="auto" w:sz="4" w:space="0"/>
            </w:tcBorders>
            <w:shd w:val="clear"/>
            <w:vAlign w:val="center"/>
          </w:tcPr>
          <w:p w14:paraId="1C0610A8">
            <w:pPr>
              <w:pStyle w:val="9"/>
              <w:widowControl/>
              <w:spacing w:before="0" w:beforeAutospacing="0" w:after="0" w:afterAutospacing="0" w:line="24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color w:val="000000"/>
                <w:spacing w:val="-6"/>
                <w:szCs w:val="22"/>
                <w:bdr w:val="none" w:color="auto" w:sz="0" w:space="0"/>
              </w:rPr>
              <w:t>鼓励教师积极出主意、建诤言、献良策，为党和政府决策提供及时有力的智力支撑。</w:t>
            </w:r>
          </w:p>
        </w:tc>
        <w:tc>
          <w:tcPr>
            <w:tcW w:w="1057" w:type="dxa"/>
            <w:tcBorders>
              <w:top w:val="single" w:color="auto" w:sz="4" w:space="0"/>
              <w:left w:val="nil"/>
              <w:bottom w:val="single" w:color="auto" w:sz="4" w:space="0"/>
              <w:right w:val="single" w:color="auto" w:sz="4" w:space="0"/>
            </w:tcBorders>
            <w:shd w:val="clear"/>
            <w:vAlign w:val="center"/>
          </w:tcPr>
          <w:p w14:paraId="53B5D391">
            <w:pPr>
              <w:pStyle w:val="9"/>
              <w:widowControl/>
              <w:spacing w:before="0" w:beforeAutospacing="0" w:after="0" w:afterAutospacing="0" w:line="24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策咨询成果获副省级及以上领导批示</w:t>
            </w:r>
            <w:r>
              <w:rPr>
                <w:rFonts w:hint="eastAsia" w:ascii="宋体" w:hAnsi="宋体" w:eastAsia="宋体" w:cs="宋体"/>
                <w:szCs w:val="20"/>
                <w:bdr w:val="none" w:color="auto" w:sz="0" w:space="0"/>
                <w:lang w:val="en-US"/>
              </w:rPr>
              <w:t>40</w:t>
            </w:r>
            <w:r>
              <w:rPr>
                <w:rFonts w:hint="eastAsia" w:ascii="宋体" w:hAnsi="宋体" w:eastAsia="宋体" w:cs="宋体"/>
                <w:szCs w:val="20"/>
                <w:bdr w:val="none" w:color="auto" w:sz="0" w:space="0"/>
              </w:rPr>
              <w:t>篇次（含正省级领导批示</w:t>
            </w:r>
            <w:r>
              <w:rPr>
                <w:rFonts w:hint="eastAsia" w:ascii="宋体" w:hAnsi="宋体" w:eastAsia="宋体" w:cs="宋体"/>
                <w:szCs w:val="20"/>
                <w:bdr w:val="none" w:color="auto" w:sz="0" w:space="0"/>
                <w:lang w:val="en-US"/>
              </w:rPr>
              <w:t>29</w:t>
            </w:r>
            <w:r>
              <w:rPr>
                <w:rFonts w:hint="eastAsia" w:ascii="宋体" w:hAnsi="宋体" w:eastAsia="宋体" w:cs="宋体"/>
                <w:szCs w:val="20"/>
                <w:bdr w:val="none" w:color="auto" w:sz="0" w:space="0"/>
              </w:rPr>
              <w:t>篇次），获“献策湖南”金点子采纳</w:t>
            </w:r>
            <w:r>
              <w:rPr>
                <w:rFonts w:hint="eastAsia" w:ascii="宋体" w:hAnsi="宋体" w:eastAsia="宋体" w:cs="宋体"/>
                <w:szCs w:val="20"/>
                <w:bdr w:val="none" w:color="auto" w:sz="0" w:space="0"/>
                <w:lang w:val="en-US"/>
              </w:rPr>
              <w:t>9</w:t>
            </w:r>
            <w:r>
              <w:rPr>
                <w:rFonts w:hint="eastAsia" w:ascii="宋体" w:hAnsi="宋体" w:eastAsia="宋体" w:cs="宋体"/>
                <w:szCs w:val="20"/>
                <w:bdr w:val="none" w:color="auto" w:sz="0" w:space="0"/>
              </w:rPr>
              <w:t>项，</w:t>
            </w:r>
            <w:r>
              <w:rPr>
                <w:rFonts w:hint="eastAsia" w:ascii="宋体" w:hAnsi="宋体" w:eastAsia="宋体" w:cs="宋体"/>
                <w:szCs w:val="20"/>
                <w:bdr w:val="none" w:color="auto" w:sz="0" w:space="0"/>
                <w:lang w:val="en-US"/>
              </w:rPr>
              <w:t>3</w:t>
            </w:r>
            <w:r>
              <w:rPr>
                <w:rFonts w:hint="eastAsia" w:ascii="宋体" w:hAnsi="宋体" w:eastAsia="宋体" w:cs="宋体"/>
                <w:szCs w:val="20"/>
                <w:bdr w:val="none" w:color="auto" w:sz="0" w:space="0"/>
              </w:rPr>
              <w:t>项智库成果被省委十二届六次全会报告充分采纳。</w:t>
            </w:r>
          </w:p>
        </w:tc>
        <w:tc>
          <w:tcPr>
            <w:tcW w:w="814" w:type="dxa"/>
            <w:tcBorders>
              <w:top w:val="single" w:color="auto" w:sz="4" w:space="0"/>
              <w:left w:val="nil"/>
              <w:bottom w:val="single" w:color="auto" w:sz="4" w:space="0"/>
              <w:right w:val="single" w:color="auto" w:sz="4" w:space="0"/>
            </w:tcBorders>
            <w:shd w:val="clear"/>
            <w:vAlign w:val="center"/>
          </w:tcPr>
          <w:p w14:paraId="1837C43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54" w:type="dxa"/>
            <w:tcBorders>
              <w:top w:val="single" w:color="auto" w:sz="4" w:space="0"/>
              <w:left w:val="nil"/>
              <w:bottom w:val="single" w:color="auto" w:sz="4" w:space="0"/>
              <w:right w:val="single" w:color="auto" w:sz="4" w:space="0"/>
            </w:tcBorders>
            <w:shd w:val="clear"/>
            <w:vAlign w:val="center"/>
          </w:tcPr>
          <w:p w14:paraId="62F5D50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42" w:type="dxa"/>
            <w:tcBorders>
              <w:top w:val="single" w:color="auto" w:sz="4" w:space="0"/>
              <w:left w:val="nil"/>
              <w:bottom w:val="single" w:color="auto" w:sz="4" w:space="0"/>
              <w:right w:val="single" w:color="auto" w:sz="4" w:space="0"/>
            </w:tcBorders>
            <w:shd w:val="clear"/>
            <w:vAlign w:val="center"/>
          </w:tcPr>
          <w:p w14:paraId="18A536F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p>
        </w:tc>
      </w:tr>
      <w:tr w14:paraId="780B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6" w:hRule="exac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0A41D9BE">
            <w:pPr>
              <w:rPr>
                <w:rFonts w:hint="default" w:ascii="Times New Roman" w:hAnsi="Times New Roman" w:cs="Times New Roman"/>
                <w:sz w:val="20"/>
                <w:szCs w:val="20"/>
              </w:rPr>
            </w:pPr>
          </w:p>
        </w:tc>
        <w:tc>
          <w:tcPr>
            <w:tcW w:w="921" w:type="dxa"/>
            <w:vMerge w:val="continue"/>
            <w:tcBorders>
              <w:top w:val="single" w:color="auto" w:sz="4" w:space="0"/>
              <w:left w:val="nil"/>
              <w:bottom w:val="single" w:color="auto" w:sz="4" w:space="0"/>
              <w:right w:val="single" w:color="auto" w:sz="4" w:space="0"/>
            </w:tcBorders>
            <w:shd w:val="clear"/>
            <w:vAlign w:val="center"/>
          </w:tcPr>
          <w:p w14:paraId="55BD140E">
            <w:pPr>
              <w:rPr>
                <w:rFonts w:hint="default" w:ascii="Times New Roman" w:hAnsi="Times New Roman" w:cs="Times New Roman"/>
                <w:sz w:val="20"/>
                <w:szCs w:val="20"/>
              </w:rPr>
            </w:pPr>
          </w:p>
        </w:tc>
        <w:tc>
          <w:tcPr>
            <w:tcW w:w="517" w:type="dxa"/>
            <w:vMerge w:val="continue"/>
            <w:tcBorders>
              <w:top w:val="single" w:color="auto" w:sz="4" w:space="0"/>
              <w:left w:val="nil"/>
              <w:bottom w:val="single" w:color="auto" w:sz="4" w:space="0"/>
              <w:right w:val="single" w:color="auto" w:sz="4" w:space="0"/>
            </w:tcBorders>
            <w:shd w:val="clear"/>
            <w:vAlign w:val="center"/>
          </w:tcPr>
          <w:p w14:paraId="0DD1C0DD">
            <w:pPr>
              <w:rPr>
                <w:rFonts w:hint="default" w:ascii="Times New Roman" w:hAnsi="Times New Roman" w:cs="Times New Roman"/>
                <w:sz w:val="20"/>
                <w:szCs w:val="20"/>
              </w:rPr>
            </w:pPr>
          </w:p>
        </w:tc>
        <w:tc>
          <w:tcPr>
            <w:tcW w:w="1450" w:type="dxa"/>
            <w:tcBorders>
              <w:top w:val="single" w:color="auto" w:sz="4" w:space="0"/>
              <w:left w:val="nil"/>
              <w:bottom w:val="single" w:color="auto" w:sz="4" w:space="0"/>
              <w:right w:val="single" w:color="auto" w:sz="4" w:space="0"/>
            </w:tcBorders>
            <w:shd w:val="clear"/>
            <w:vAlign w:val="center"/>
          </w:tcPr>
          <w:p w14:paraId="7DFE0E9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基本培训班学员政治素质、党性修养和履职能力</w:t>
            </w:r>
          </w:p>
        </w:tc>
        <w:tc>
          <w:tcPr>
            <w:tcW w:w="1037" w:type="dxa"/>
            <w:tcBorders>
              <w:top w:val="single" w:color="auto" w:sz="4" w:space="0"/>
              <w:left w:val="nil"/>
              <w:bottom w:val="single" w:color="auto" w:sz="4" w:space="0"/>
              <w:right w:val="single" w:color="auto" w:sz="4" w:space="0"/>
            </w:tcBorders>
            <w:shd w:val="clear"/>
            <w:vAlign w:val="center"/>
          </w:tcPr>
          <w:p w14:paraId="32484B0C">
            <w:pPr>
              <w:pStyle w:val="9"/>
              <w:widowControl/>
              <w:spacing w:before="0" w:beforeAutospacing="0" w:after="0" w:afterAutospacing="0" w:line="220" w:lineRule="exact"/>
              <w:ind w:left="0" w:leftChars="0" w:right="0" w:firstLine="0" w:firstLineChars="0"/>
              <w:rPr>
                <w:rFonts w:hint="eastAsia" w:ascii="宋体" w:hAnsi="宋体" w:eastAsia="宋体" w:cs="宋体"/>
                <w:spacing w:val="-8"/>
                <w:szCs w:val="20"/>
                <w:bdr w:val="none" w:color="auto" w:sz="0" w:space="0"/>
                <w:lang w:val="en-US"/>
              </w:rPr>
            </w:pPr>
            <w:r>
              <w:rPr>
                <w:rFonts w:hint="eastAsia" w:ascii="宋体" w:hAnsi="宋体" w:eastAsia="宋体" w:cs="宋体"/>
                <w:color w:val="000000"/>
                <w:spacing w:val="-8"/>
                <w:szCs w:val="22"/>
                <w:bdr w:val="none" w:color="auto" w:sz="0" w:space="0"/>
              </w:rPr>
              <w:t>通过培训，提高党员干部的政治素质、理论素养，使其在</w:t>
            </w:r>
            <w:r>
              <w:rPr>
                <w:rFonts w:hint="eastAsia" w:ascii="宋体" w:hAnsi="宋体" w:eastAsia="宋体" w:cs="宋体"/>
                <w:color w:val="000000"/>
                <w:spacing w:val="-8"/>
                <w:szCs w:val="22"/>
                <w:bdr w:val="none" w:color="auto" w:sz="0" w:space="0"/>
                <w:lang w:val="en-US"/>
              </w:rPr>
              <w:t>“</w:t>
            </w:r>
            <w:r>
              <w:rPr>
                <w:rFonts w:hint="eastAsia" w:ascii="宋体" w:hAnsi="宋体" w:eastAsia="宋体" w:cs="宋体"/>
                <w:color w:val="000000"/>
                <w:spacing w:val="-8"/>
                <w:szCs w:val="22"/>
                <w:bdr w:val="none" w:color="auto" w:sz="0" w:space="0"/>
              </w:rPr>
              <w:t>三高四新</w:t>
            </w:r>
            <w:r>
              <w:rPr>
                <w:rFonts w:hint="eastAsia" w:ascii="宋体" w:hAnsi="宋体" w:eastAsia="宋体" w:cs="宋体"/>
                <w:color w:val="000000"/>
                <w:spacing w:val="-8"/>
                <w:szCs w:val="22"/>
                <w:bdr w:val="none" w:color="auto" w:sz="0" w:space="0"/>
                <w:lang w:val="en-US"/>
              </w:rPr>
              <w:t>”</w:t>
            </w:r>
            <w:r>
              <w:rPr>
                <w:rFonts w:hint="eastAsia" w:ascii="宋体" w:hAnsi="宋体" w:eastAsia="宋体" w:cs="宋体"/>
                <w:color w:val="000000"/>
                <w:spacing w:val="-8"/>
                <w:szCs w:val="22"/>
                <w:bdr w:val="none" w:color="auto" w:sz="0" w:space="0"/>
              </w:rPr>
              <w:t>美好蓝图建设中更好地发挥作用。</w:t>
            </w:r>
          </w:p>
        </w:tc>
        <w:tc>
          <w:tcPr>
            <w:tcW w:w="1057" w:type="dxa"/>
            <w:tcBorders>
              <w:top w:val="single" w:color="auto" w:sz="4" w:space="0"/>
              <w:left w:val="nil"/>
              <w:bottom w:val="single" w:color="auto" w:sz="4" w:space="0"/>
              <w:right w:val="single" w:color="auto" w:sz="4" w:space="0"/>
            </w:tcBorders>
            <w:shd w:val="clear"/>
            <w:vAlign w:val="center"/>
          </w:tcPr>
          <w:p w14:paraId="274F8CBE">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学员的</w:t>
            </w:r>
            <w:r>
              <w:rPr>
                <w:rFonts w:hint="eastAsia" w:ascii="宋体" w:hAnsi="宋体" w:eastAsia="宋体" w:cs="宋体"/>
                <w:color w:val="000000"/>
                <w:spacing w:val="-6"/>
                <w:szCs w:val="22"/>
                <w:bdr w:val="none" w:color="auto" w:sz="0" w:space="0"/>
              </w:rPr>
              <w:t>政治素质、理论素养、党性修养和履职本领显著提高，大家干事创业的积极性不断增强。</w:t>
            </w:r>
          </w:p>
        </w:tc>
        <w:tc>
          <w:tcPr>
            <w:tcW w:w="814" w:type="dxa"/>
            <w:tcBorders>
              <w:top w:val="single" w:color="auto" w:sz="4" w:space="0"/>
              <w:left w:val="nil"/>
              <w:bottom w:val="single" w:color="auto" w:sz="4" w:space="0"/>
              <w:right w:val="single" w:color="auto" w:sz="4" w:space="0"/>
            </w:tcBorders>
            <w:shd w:val="clear"/>
            <w:vAlign w:val="center"/>
          </w:tcPr>
          <w:p w14:paraId="362B7E4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54" w:type="dxa"/>
            <w:tcBorders>
              <w:top w:val="single" w:color="auto" w:sz="4" w:space="0"/>
              <w:left w:val="nil"/>
              <w:bottom w:val="single" w:color="auto" w:sz="4" w:space="0"/>
              <w:right w:val="single" w:color="auto" w:sz="4" w:space="0"/>
            </w:tcBorders>
            <w:shd w:val="clear"/>
            <w:vAlign w:val="center"/>
          </w:tcPr>
          <w:p w14:paraId="4B633CA2">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42" w:type="dxa"/>
            <w:tcBorders>
              <w:top w:val="single" w:color="auto" w:sz="4" w:space="0"/>
              <w:left w:val="nil"/>
              <w:bottom w:val="single" w:color="auto" w:sz="4" w:space="0"/>
              <w:right w:val="single" w:color="auto" w:sz="4" w:space="0"/>
            </w:tcBorders>
            <w:shd w:val="clear"/>
            <w:vAlign w:val="center"/>
          </w:tcPr>
          <w:p w14:paraId="633278C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p>
        </w:tc>
      </w:tr>
      <w:tr w14:paraId="20C6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2" w:hRule="exact"/>
          <w:jc w:val="center"/>
        </w:trPr>
        <w:tc>
          <w:tcPr>
            <w:tcW w:w="1487" w:type="dxa"/>
            <w:vMerge w:val="restart"/>
            <w:tcBorders>
              <w:top w:val="single" w:color="auto" w:sz="4" w:space="0"/>
              <w:left w:val="single" w:color="auto" w:sz="4" w:space="0"/>
              <w:bottom w:val="single" w:color="auto" w:sz="4" w:space="0"/>
              <w:right w:val="single" w:color="auto" w:sz="4" w:space="0"/>
            </w:tcBorders>
            <w:shd w:val="clear"/>
            <w:vAlign w:val="center"/>
          </w:tcPr>
          <w:p w14:paraId="1303AC2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绩</w:t>
            </w:r>
          </w:p>
          <w:p w14:paraId="26CF584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效</w:t>
            </w:r>
          </w:p>
          <w:p w14:paraId="4D3243EE">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w:t>
            </w:r>
          </w:p>
          <w:p w14:paraId="7E9A23E6">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标</w:t>
            </w:r>
          </w:p>
        </w:tc>
        <w:tc>
          <w:tcPr>
            <w:tcW w:w="921" w:type="dxa"/>
            <w:vMerge w:val="restart"/>
            <w:tcBorders>
              <w:top w:val="single" w:color="auto" w:sz="4" w:space="0"/>
              <w:left w:val="nil"/>
              <w:bottom w:val="single" w:color="auto" w:sz="4" w:space="0"/>
              <w:right w:val="single" w:color="auto" w:sz="4" w:space="0"/>
            </w:tcBorders>
            <w:shd w:val="clear"/>
            <w:vAlign w:val="center"/>
          </w:tcPr>
          <w:p w14:paraId="60DA075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效益</w:t>
            </w:r>
          </w:p>
          <w:p w14:paraId="63538AEA">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p w14:paraId="43BC35F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(30</w:t>
            </w:r>
            <w:r>
              <w:rPr>
                <w:rFonts w:hint="eastAsia" w:ascii="宋体" w:hAnsi="宋体" w:eastAsia="宋体" w:cs="宋体"/>
                <w:szCs w:val="20"/>
                <w:bdr w:val="none" w:color="auto" w:sz="0" w:space="0"/>
              </w:rPr>
              <w:t>分</w:t>
            </w:r>
            <w:r>
              <w:rPr>
                <w:rFonts w:hint="eastAsia" w:ascii="宋体" w:hAnsi="宋体" w:eastAsia="宋体" w:cs="宋体"/>
                <w:szCs w:val="20"/>
                <w:bdr w:val="none" w:color="auto" w:sz="0" w:space="0"/>
                <w:lang w:val="en-US"/>
              </w:rPr>
              <w:t>)</w:t>
            </w:r>
          </w:p>
        </w:tc>
        <w:tc>
          <w:tcPr>
            <w:tcW w:w="517" w:type="dxa"/>
            <w:vMerge w:val="restart"/>
            <w:tcBorders>
              <w:top w:val="single" w:color="auto" w:sz="4" w:space="0"/>
              <w:left w:val="nil"/>
              <w:bottom w:val="single" w:color="auto" w:sz="4" w:space="0"/>
              <w:right w:val="single" w:color="auto" w:sz="4" w:space="0"/>
            </w:tcBorders>
            <w:shd w:val="clear"/>
            <w:vAlign w:val="center"/>
          </w:tcPr>
          <w:p w14:paraId="4E3A343C">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社会效</w:t>
            </w:r>
          </w:p>
          <w:p w14:paraId="1727CC1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益指标</w:t>
            </w:r>
          </w:p>
        </w:tc>
        <w:tc>
          <w:tcPr>
            <w:tcW w:w="1450" w:type="dxa"/>
            <w:tcBorders>
              <w:top w:val="single" w:color="auto" w:sz="4" w:space="0"/>
              <w:left w:val="nil"/>
              <w:bottom w:val="single" w:color="auto" w:sz="4" w:space="0"/>
              <w:right w:val="single" w:color="auto" w:sz="4" w:space="0"/>
            </w:tcBorders>
            <w:shd w:val="clear"/>
            <w:vAlign w:val="center"/>
          </w:tcPr>
          <w:p w14:paraId="3451B886">
            <w:pPr>
              <w:pStyle w:val="9"/>
              <w:widowControl/>
              <w:spacing w:before="0" w:beforeAutospacing="0" w:after="0" w:afterAutospacing="0" w:line="240" w:lineRule="exact"/>
              <w:ind w:left="0" w:leftChars="0" w:right="0" w:firstLine="0" w:firstLineChars="0"/>
              <w:rPr>
                <w:bdr w:val="none" w:color="auto" w:sz="0" w:space="0"/>
                <w:lang w:val="en-US"/>
              </w:rPr>
            </w:pPr>
            <w:r>
              <w:rPr>
                <w:rFonts w:hint="eastAsia" w:ascii="Times New Roman" w:hAnsi="Times New Roman" w:eastAsia="宋体" w:cs="宋体"/>
                <w:bdr w:val="none" w:color="auto" w:sz="0" w:space="0"/>
              </w:rPr>
              <w:t>党的创新理论基层宣传度</w:t>
            </w:r>
          </w:p>
        </w:tc>
        <w:tc>
          <w:tcPr>
            <w:tcW w:w="1037" w:type="dxa"/>
            <w:tcBorders>
              <w:top w:val="single" w:color="auto" w:sz="4" w:space="0"/>
              <w:left w:val="nil"/>
              <w:bottom w:val="single" w:color="auto" w:sz="4" w:space="0"/>
              <w:right w:val="single" w:color="auto" w:sz="4" w:space="0"/>
            </w:tcBorders>
            <w:shd w:val="clear"/>
            <w:vAlign w:val="center"/>
          </w:tcPr>
          <w:p w14:paraId="5C9956ED">
            <w:pPr>
              <w:pStyle w:val="9"/>
              <w:widowControl/>
              <w:spacing w:before="0" w:beforeAutospacing="0" w:after="0" w:afterAutospacing="0" w:line="2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通过</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送教下基层</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和</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送课到社区</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，广泛宣传党的创新理论和思想，让党的理论在基层遍地开花。</w:t>
            </w:r>
          </w:p>
        </w:tc>
        <w:tc>
          <w:tcPr>
            <w:tcW w:w="1057" w:type="dxa"/>
            <w:tcBorders>
              <w:top w:val="single" w:color="auto" w:sz="4" w:space="0"/>
              <w:left w:val="nil"/>
              <w:bottom w:val="single" w:color="auto" w:sz="4" w:space="0"/>
              <w:right w:val="single" w:color="auto" w:sz="4" w:space="0"/>
            </w:tcBorders>
            <w:shd w:val="clear"/>
            <w:vAlign w:val="center"/>
          </w:tcPr>
          <w:p w14:paraId="10330D6C">
            <w:pPr>
              <w:pStyle w:val="9"/>
              <w:widowControl/>
              <w:spacing w:before="0" w:beforeAutospacing="0" w:after="0" w:afterAutospacing="0" w:line="2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义务送教</w:t>
            </w:r>
            <w:r>
              <w:rPr>
                <w:rFonts w:hint="eastAsia" w:ascii="宋体" w:hAnsi="宋体" w:eastAsia="宋体" w:cs="宋体"/>
                <w:szCs w:val="20"/>
                <w:bdr w:val="none" w:color="auto" w:sz="0" w:space="0"/>
                <w:lang w:val="en-US"/>
              </w:rPr>
              <w:t>123</w:t>
            </w:r>
            <w:r>
              <w:rPr>
                <w:rFonts w:hint="eastAsia" w:ascii="宋体" w:hAnsi="宋体" w:eastAsia="宋体" w:cs="宋体"/>
                <w:szCs w:val="20"/>
                <w:bdr w:val="none" w:color="auto" w:sz="0" w:space="0"/>
              </w:rPr>
              <w:t>场，让党的创新理论</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飞入寻常百姓家</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w:t>
            </w:r>
          </w:p>
        </w:tc>
        <w:tc>
          <w:tcPr>
            <w:tcW w:w="814" w:type="dxa"/>
            <w:tcBorders>
              <w:top w:val="single" w:color="auto" w:sz="4" w:space="0"/>
              <w:left w:val="nil"/>
              <w:bottom w:val="single" w:color="auto" w:sz="4" w:space="0"/>
              <w:right w:val="single" w:color="auto" w:sz="4" w:space="0"/>
            </w:tcBorders>
            <w:shd w:val="clear"/>
            <w:vAlign w:val="center"/>
          </w:tcPr>
          <w:p w14:paraId="395A2FA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single" w:color="auto" w:sz="4" w:space="0"/>
              <w:left w:val="nil"/>
              <w:bottom w:val="single" w:color="auto" w:sz="4" w:space="0"/>
              <w:right w:val="single" w:color="auto" w:sz="4" w:space="0"/>
            </w:tcBorders>
            <w:shd w:val="clear"/>
            <w:vAlign w:val="center"/>
          </w:tcPr>
          <w:p w14:paraId="101FE90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single" w:color="auto" w:sz="4" w:space="0"/>
              <w:left w:val="nil"/>
              <w:bottom w:val="single" w:color="auto" w:sz="4" w:space="0"/>
              <w:right w:val="single" w:color="auto" w:sz="4" w:space="0"/>
            </w:tcBorders>
            <w:shd w:val="clear"/>
            <w:vAlign w:val="center"/>
          </w:tcPr>
          <w:p w14:paraId="7F576265">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p>
        </w:tc>
      </w:tr>
      <w:tr w14:paraId="2BE6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3FDFBC2B">
            <w:pPr>
              <w:rPr>
                <w:rFonts w:hint="default" w:ascii="Times New Roman" w:hAnsi="Times New Roman" w:cs="Times New Roman"/>
                <w:sz w:val="20"/>
                <w:szCs w:val="20"/>
              </w:rPr>
            </w:pPr>
          </w:p>
        </w:tc>
        <w:tc>
          <w:tcPr>
            <w:tcW w:w="921" w:type="dxa"/>
            <w:vMerge w:val="continue"/>
            <w:tcBorders>
              <w:top w:val="single" w:color="auto" w:sz="4" w:space="0"/>
              <w:left w:val="nil"/>
              <w:bottom w:val="single" w:color="auto" w:sz="4" w:space="0"/>
              <w:right w:val="single" w:color="auto" w:sz="4" w:space="0"/>
            </w:tcBorders>
            <w:shd w:val="clear"/>
            <w:vAlign w:val="center"/>
          </w:tcPr>
          <w:p w14:paraId="7239B20C">
            <w:pPr>
              <w:rPr>
                <w:rFonts w:hint="default" w:ascii="Times New Roman" w:hAnsi="Times New Roman" w:cs="Times New Roman"/>
                <w:sz w:val="20"/>
                <w:szCs w:val="20"/>
              </w:rPr>
            </w:pPr>
          </w:p>
        </w:tc>
        <w:tc>
          <w:tcPr>
            <w:tcW w:w="517" w:type="dxa"/>
            <w:vMerge w:val="continue"/>
            <w:tcBorders>
              <w:top w:val="single" w:color="auto" w:sz="4" w:space="0"/>
              <w:left w:val="nil"/>
              <w:bottom w:val="single" w:color="auto" w:sz="4" w:space="0"/>
              <w:right w:val="single" w:color="auto" w:sz="4" w:space="0"/>
            </w:tcBorders>
            <w:shd w:val="clear"/>
            <w:vAlign w:val="center"/>
          </w:tcPr>
          <w:p w14:paraId="14362582">
            <w:pPr>
              <w:rPr>
                <w:rFonts w:hint="default" w:ascii="Times New Roman" w:hAnsi="Times New Roman" w:cs="Times New Roman"/>
                <w:sz w:val="20"/>
                <w:szCs w:val="20"/>
              </w:rPr>
            </w:pPr>
          </w:p>
        </w:tc>
        <w:tc>
          <w:tcPr>
            <w:tcW w:w="1450" w:type="dxa"/>
            <w:tcBorders>
              <w:top w:val="nil"/>
              <w:left w:val="nil"/>
              <w:bottom w:val="single" w:color="auto" w:sz="4" w:space="0"/>
              <w:right w:val="single" w:color="auto" w:sz="4" w:space="0"/>
            </w:tcBorders>
            <w:shd w:val="clear"/>
            <w:vAlign w:val="center"/>
          </w:tcPr>
          <w:p w14:paraId="347374C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研究生就业率</w:t>
            </w:r>
          </w:p>
        </w:tc>
        <w:tc>
          <w:tcPr>
            <w:tcW w:w="1037" w:type="dxa"/>
            <w:tcBorders>
              <w:top w:val="nil"/>
              <w:left w:val="nil"/>
              <w:bottom w:val="single" w:color="auto" w:sz="4" w:space="0"/>
              <w:right w:val="single" w:color="auto" w:sz="4" w:space="0"/>
            </w:tcBorders>
            <w:shd w:val="clear"/>
            <w:vAlign w:val="center"/>
          </w:tcPr>
          <w:p w14:paraId="1849DD3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85%</w:t>
            </w:r>
          </w:p>
        </w:tc>
        <w:tc>
          <w:tcPr>
            <w:tcW w:w="1057" w:type="dxa"/>
            <w:tcBorders>
              <w:top w:val="nil"/>
              <w:left w:val="nil"/>
              <w:bottom w:val="single" w:color="auto" w:sz="4" w:space="0"/>
              <w:right w:val="single" w:color="auto" w:sz="4" w:space="0"/>
            </w:tcBorders>
            <w:shd w:val="clear"/>
            <w:vAlign w:val="center"/>
          </w:tcPr>
          <w:p w14:paraId="679D281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91.2%</w:t>
            </w:r>
          </w:p>
        </w:tc>
        <w:tc>
          <w:tcPr>
            <w:tcW w:w="814" w:type="dxa"/>
            <w:tcBorders>
              <w:top w:val="nil"/>
              <w:left w:val="nil"/>
              <w:bottom w:val="single" w:color="auto" w:sz="4" w:space="0"/>
              <w:right w:val="single" w:color="auto" w:sz="4" w:space="0"/>
            </w:tcBorders>
            <w:shd w:val="clear"/>
            <w:vAlign w:val="center"/>
          </w:tcPr>
          <w:p w14:paraId="725060B6">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nil"/>
              <w:left w:val="nil"/>
              <w:bottom w:val="single" w:color="auto" w:sz="4" w:space="0"/>
              <w:right w:val="single" w:color="auto" w:sz="4" w:space="0"/>
            </w:tcBorders>
            <w:shd w:val="clear"/>
            <w:vAlign w:val="center"/>
          </w:tcPr>
          <w:p w14:paraId="7CC67AB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nil"/>
              <w:left w:val="nil"/>
              <w:bottom w:val="single" w:color="auto" w:sz="4" w:space="0"/>
              <w:right w:val="single" w:color="auto" w:sz="4" w:space="0"/>
            </w:tcBorders>
            <w:shd w:val="clear"/>
            <w:vAlign w:val="center"/>
          </w:tcPr>
          <w:p w14:paraId="07F7EAE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p>
        </w:tc>
      </w:tr>
      <w:tr w14:paraId="37D1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2" w:hRule="exac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7AF292F9">
            <w:pPr>
              <w:rPr>
                <w:rFonts w:hint="default" w:ascii="Times New Roman" w:hAnsi="Times New Roman" w:cs="Times New Roman"/>
                <w:sz w:val="20"/>
                <w:szCs w:val="20"/>
              </w:rPr>
            </w:pPr>
          </w:p>
        </w:tc>
        <w:tc>
          <w:tcPr>
            <w:tcW w:w="921" w:type="dxa"/>
            <w:vMerge w:val="continue"/>
            <w:tcBorders>
              <w:top w:val="single" w:color="auto" w:sz="4" w:space="0"/>
              <w:left w:val="nil"/>
              <w:bottom w:val="single" w:color="auto" w:sz="4" w:space="0"/>
              <w:right w:val="single" w:color="auto" w:sz="4" w:space="0"/>
            </w:tcBorders>
            <w:shd w:val="clear"/>
            <w:vAlign w:val="center"/>
          </w:tcPr>
          <w:p w14:paraId="74CAF95C">
            <w:pPr>
              <w:rPr>
                <w:rFonts w:hint="default" w:ascii="Times New Roman" w:hAnsi="Times New Roman" w:cs="Times New Roman"/>
                <w:sz w:val="20"/>
                <w:szCs w:val="20"/>
              </w:rPr>
            </w:pPr>
          </w:p>
        </w:tc>
        <w:tc>
          <w:tcPr>
            <w:tcW w:w="517" w:type="dxa"/>
            <w:tcBorders>
              <w:top w:val="single" w:color="auto" w:sz="4" w:space="0"/>
              <w:left w:val="nil"/>
              <w:bottom w:val="single" w:color="auto" w:sz="4" w:space="0"/>
              <w:right w:val="single" w:color="auto" w:sz="4" w:space="0"/>
            </w:tcBorders>
            <w:shd w:val="clear"/>
            <w:vAlign w:val="center"/>
          </w:tcPr>
          <w:p w14:paraId="10461A94">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生态效</w:t>
            </w:r>
          </w:p>
          <w:p w14:paraId="2DE2FFF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益指标</w:t>
            </w:r>
          </w:p>
        </w:tc>
        <w:tc>
          <w:tcPr>
            <w:tcW w:w="1450" w:type="dxa"/>
            <w:tcBorders>
              <w:top w:val="nil"/>
              <w:left w:val="nil"/>
              <w:bottom w:val="single" w:color="auto" w:sz="4" w:space="0"/>
              <w:right w:val="single" w:color="auto" w:sz="4" w:space="0"/>
            </w:tcBorders>
            <w:shd w:val="clear"/>
            <w:vAlign w:val="center"/>
          </w:tcPr>
          <w:p w14:paraId="270F61F9">
            <w:pPr>
              <w:pStyle w:val="9"/>
              <w:widowControl/>
              <w:spacing w:before="0" w:beforeAutospacing="0" w:after="12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w:t>
            </w:r>
            <w:r>
              <w:rPr>
                <w:rFonts w:hint="eastAsia" w:ascii="宋体" w:hAnsi="宋体" w:eastAsia="宋体" w:cs="宋体"/>
                <w:szCs w:val="20"/>
                <w:bdr w:val="none" w:color="auto" w:sz="0" w:space="0"/>
              </w:rPr>
              <w:t>校园环境</w:t>
            </w:r>
          </w:p>
        </w:tc>
        <w:tc>
          <w:tcPr>
            <w:tcW w:w="1037" w:type="dxa"/>
            <w:tcBorders>
              <w:top w:val="nil"/>
              <w:left w:val="nil"/>
              <w:bottom w:val="single" w:color="auto" w:sz="4" w:space="0"/>
              <w:right w:val="single" w:color="auto" w:sz="4" w:space="0"/>
            </w:tcBorders>
            <w:shd w:val="clear"/>
            <w:vAlign w:val="center"/>
          </w:tcPr>
          <w:p w14:paraId="34762F8D">
            <w:pPr>
              <w:pStyle w:val="9"/>
              <w:widowControl/>
              <w:spacing w:before="0" w:beforeAutospacing="0" w:after="120" w:afterAutospacing="0" w:line="2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对校园卫生、停车坪等进行整治，全面提升校园环境。</w:t>
            </w:r>
          </w:p>
        </w:tc>
        <w:tc>
          <w:tcPr>
            <w:tcW w:w="1057" w:type="dxa"/>
            <w:tcBorders>
              <w:top w:val="nil"/>
              <w:left w:val="nil"/>
              <w:bottom w:val="single" w:color="auto" w:sz="4" w:space="0"/>
              <w:right w:val="single" w:color="auto" w:sz="4" w:space="0"/>
            </w:tcBorders>
            <w:shd w:val="clear"/>
            <w:vAlign w:val="center"/>
          </w:tcPr>
          <w:p w14:paraId="38105EE9">
            <w:pPr>
              <w:pStyle w:val="9"/>
              <w:widowControl/>
              <w:spacing w:before="0" w:beforeAutospacing="0" w:after="120" w:afterAutospacing="0" w:line="2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完成了后街整治和长期堆积枯木的清理，净化了校园空气，美化了校园环境。</w:t>
            </w:r>
            <w:r>
              <w:rPr>
                <w:rFonts w:hint="eastAsia" w:ascii="宋体" w:hAnsi="宋体" w:eastAsia="宋体" w:cs="宋体"/>
                <w:szCs w:val="20"/>
                <w:bdr w:val="none" w:color="auto" w:sz="0" w:space="0"/>
                <w:lang w:val="en-US"/>
              </w:rPr>
              <w:t xml:space="preserve">   </w:t>
            </w:r>
          </w:p>
        </w:tc>
        <w:tc>
          <w:tcPr>
            <w:tcW w:w="814" w:type="dxa"/>
            <w:tcBorders>
              <w:top w:val="nil"/>
              <w:left w:val="nil"/>
              <w:bottom w:val="single" w:color="auto" w:sz="4" w:space="0"/>
              <w:right w:val="single" w:color="auto" w:sz="4" w:space="0"/>
            </w:tcBorders>
            <w:shd w:val="clear"/>
            <w:vAlign w:val="center"/>
          </w:tcPr>
          <w:p w14:paraId="37268DEE">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54" w:type="dxa"/>
            <w:tcBorders>
              <w:top w:val="nil"/>
              <w:left w:val="nil"/>
              <w:bottom w:val="single" w:color="auto" w:sz="4" w:space="0"/>
              <w:right w:val="single" w:color="auto" w:sz="4" w:space="0"/>
            </w:tcBorders>
            <w:shd w:val="clear"/>
            <w:vAlign w:val="center"/>
          </w:tcPr>
          <w:p w14:paraId="5562DBD4">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42" w:type="dxa"/>
            <w:tcBorders>
              <w:top w:val="nil"/>
              <w:left w:val="nil"/>
              <w:bottom w:val="single" w:color="auto" w:sz="4" w:space="0"/>
              <w:right w:val="single" w:color="auto" w:sz="4" w:space="0"/>
            </w:tcBorders>
            <w:shd w:val="clear"/>
            <w:vAlign w:val="center"/>
          </w:tcPr>
          <w:p w14:paraId="7C448B2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p>
        </w:tc>
      </w:tr>
      <w:tr w14:paraId="6E5F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exac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24F6097F">
            <w:pPr>
              <w:rPr>
                <w:rFonts w:hint="default" w:ascii="Times New Roman" w:hAnsi="Times New Roman" w:cs="Times New Roman"/>
                <w:sz w:val="20"/>
                <w:szCs w:val="20"/>
              </w:rPr>
            </w:pPr>
          </w:p>
        </w:tc>
        <w:tc>
          <w:tcPr>
            <w:tcW w:w="921" w:type="dxa"/>
            <w:vMerge w:val="continue"/>
            <w:tcBorders>
              <w:top w:val="single" w:color="auto" w:sz="4" w:space="0"/>
              <w:left w:val="nil"/>
              <w:bottom w:val="single" w:color="auto" w:sz="4" w:space="0"/>
              <w:right w:val="single" w:color="auto" w:sz="4" w:space="0"/>
            </w:tcBorders>
            <w:shd w:val="clear"/>
            <w:vAlign w:val="center"/>
          </w:tcPr>
          <w:p w14:paraId="2034DFBE">
            <w:pPr>
              <w:rPr>
                <w:rFonts w:hint="default" w:ascii="Times New Roman" w:hAnsi="Times New Roman" w:cs="Times New Roman"/>
                <w:sz w:val="20"/>
                <w:szCs w:val="20"/>
              </w:rPr>
            </w:pPr>
          </w:p>
        </w:tc>
        <w:tc>
          <w:tcPr>
            <w:tcW w:w="517" w:type="dxa"/>
            <w:tcBorders>
              <w:top w:val="single" w:color="auto" w:sz="4" w:space="0"/>
              <w:left w:val="single" w:color="auto" w:sz="4" w:space="0"/>
              <w:bottom w:val="single" w:color="auto" w:sz="4" w:space="0"/>
              <w:right w:val="single" w:color="auto" w:sz="4" w:space="0"/>
            </w:tcBorders>
            <w:shd w:val="clear"/>
            <w:vAlign w:val="center"/>
          </w:tcPr>
          <w:p w14:paraId="72F34547">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可持续影响指标</w:t>
            </w:r>
          </w:p>
        </w:tc>
        <w:tc>
          <w:tcPr>
            <w:tcW w:w="1450" w:type="dxa"/>
            <w:tcBorders>
              <w:top w:val="single" w:color="auto" w:sz="4" w:space="0"/>
              <w:left w:val="single" w:color="auto" w:sz="4" w:space="0"/>
              <w:bottom w:val="single" w:color="auto" w:sz="4" w:space="0"/>
              <w:right w:val="single" w:color="auto" w:sz="4" w:space="0"/>
            </w:tcBorders>
            <w:shd w:val="clear"/>
            <w:vAlign w:val="center"/>
          </w:tcPr>
          <w:p w14:paraId="4F6F0BB8">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w:t>
            </w:r>
            <w:r>
              <w:rPr>
                <w:rFonts w:hint="eastAsia" w:ascii="宋体" w:hAnsi="宋体" w:eastAsia="宋体" w:cs="宋体"/>
                <w:szCs w:val="20"/>
                <w:bdr w:val="none" w:color="auto" w:sz="0" w:space="0"/>
              </w:rPr>
              <w:t>办学水平</w:t>
            </w:r>
          </w:p>
        </w:tc>
        <w:tc>
          <w:tcPr>
            <w:tcW w:w="1037" w:type="dxa"/>
            <w:tcBorders>
              <w:top w:val="single" w:color="auto" w:sz="4" w:space="0"/>
              <w:left w:val="single" w:color="auto" w:sz="4" w:space="0"/>
              <w:bottom w:val="single" w:color="auto" w:sz="4" w:space="0"/>
              <w:right w:val="single" w:color="auto" w:sz="4" w:space="0"/>
            </w:tcBorders>
            <w:shd w:val="clear"/>
            <w:vAlign w:val="center"/>
          </w:tcPr>
          <w:p w14:paraId="2E906B60">
            <w:pPr>
              <w:pStyle w:val="9"/>
              <w:widowControl/>
              <w:spacing w:before="0" w:beforeAutospacing="0" w:after="0" w:afterAutospacing="0" w:line="200" w:lineRule="exact"/>
              <w:ind w:left="0" w:leftChars="0" w:right="0" w:firstLine="0" w:firstLineChars="0"/>
              <w:rPr>
                <w:rFonts w:hint="eastAsia" w:ascii="宋体" w:hAnsi="宋体" w:eastAsia="宋体" w:cs="宋体"/>
                <w:szCs w:val="20"/>
                <w:bdr w:val="none" w:color="auto" w:sz="0" w:space="0"/>
                <w:lang w:val="en-US"/>
              </w:rPr>
            </w:pPr>
          </w:p>
          <w:p w14:paraId="7EB20A1A">
            <w:pPr>
              <w:pStyle w:val="9"/>
              <w:widowControl/>
              <w:spacing w:before="0" w:beforeAutospacing="0" w:after="0" w:afterAutospacing="0" w:line="2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加强人才培训，优化教师队伍结构，不断提升校（院）办学水平。</w:t>
            </w:r>
          </w:p>
        </w:tc>
        <w:tc>
          <w:tcPr>
            <w:tcW w:w="1057" w:type="dxa"/>
            <w:tcBorders>
              <w:top w:val="single" w:color="auto" w:sz="4" w:space="0"/>
              <w:left w:val="single" w:color="auto" w:sz="4" w:space="0"/>
              <w:bottom w:val="single" w:color="auto" w:sz="4" w:space="0"/>
              <w:right w:val="single" w:color="auto" w:sz="4" w:space="0"/>
            </w:tcBorders>
            <w:shd w:val="clear"/>
            <w:vAlign w:val="center"/>
          </w:tcPr>
          <w:p w14:paraId="4F273CA0">
            <w:pPr>
              <w:pStyle w:val="9"/>
              <w:widowControl/>
              <w:spacing w:before="0" w:beforeAutospacing="0" w:after="0" w:afterAutospacing="0" w:line="2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引进多名博士，实施</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青麓计划</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，全面提升了教职工的综合素质。</w:t>
            </w:r>
          </w:p>
        </w:tc>
        <w:tc>
          <w:tcPr>
            <w:tcW w:w="814" w:type="dxa"/>
            <w:tcBorders>
              <w:top w:val="single" w:color="auto" w:sz="4" w:space="0"/>
              <w:left w:val="single" w:color="auto" w:sz="4" w:space="0"/>
              <w:bottom w:val="single" w:color="auto" w:sz="4" w:space="0"/>
              <w:right w:val="single" w:color="auto" w:sz="4" w:space="0"/>
            </w:tcBorders>
            <w:shd w:val="clear"/>
            <w:vAlign w:val="center"/>
          </w:tcPr>
          <w:p w14:paraId="0D900DF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54" w:type="dxa"/>
            <w:tcBorders>
              <w:top w:val="single" w:color="auto" w:sz="4" w:space="0"/>
              <w:left w:val="single" w:color="auto" w:sz="4" w:space="0"/>
              <w:bottom w:val="single" w:color="auto" w:sz="4" w:space="0"/>
              <w:right w:val="single" w:color="auto" w:sz="4" w:space="0"/>
            </w:tcBorders>
            <w:shd w:val="clear"/>
            <w:vAlign w:val="center"/>
          </w:tcPr>
          <w:p w14:paraId="179E0C0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42" w:type="dxa"/>
            <w:tcBorders>
              <w:top w:val="single" w:color="auto" w:sz="4" w:space="0"/>
              <w:left w:val="single" w:color="auto" w:sz="4" w:space="0"/>
              <w:bottom w:val="single" w:color="auto" w:sz="4" w:space="0"/>
              <w:right w:val="single" w:color="auto" w:sz="4" w:space="0"/>
            </w:tcBorders>
            <w:shd w:val="clear"/>
            <w:vAlign w:val="center"/>
          </w:tcPr>
          <w:p w14:paraId="45E5F712">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p>
        </w:tc>
      </w:tr>
      <w:tr w14:paraId="0B0A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4FF8A315">
            <w:pPr>
              <w:rPr>
                <w:rFonts w:hint="default" w:ascii="Times New Roman" w:hAnsi="Times New Roman" w:cs="Times New Roman"/>
                <w:sz w:val="20"/>
                <w:szCs w:val="20"/>
              </w:rPr>
            </w:pPr>
          </w:p>
        </w:tc>
        <w:tc>
          <w:tcPr>
            <w:tcW w:w="921" w:type="dxa"/>
            <w:vMerge w:val="restart"/>
            <w:tcBorders>
              <w:top w:val="single" w:color="auto" w:sz="4" w:space="0"/>
              <w:left w:val="nil"/>
              <w:bottom w:val="single" w:color="auto" w:sz="4" w:space="0"/>
              <w:right w:val="single" w:color="auto" w:sz="4" w:space="0"/>
            </w:tcBorders>
            <w:shd w:val="clear"/>
            <w:vAlign w:val="center"/>
          </w:tcPr>
          <w:p w14:paraId="6294683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满意度</w:t>
            </w:r>
          </w:p>
          <w:p w14:paraId="0C27BDB9">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p w14:paraId="2665A2FB">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w:t>
            </w:r>
            <w:r>
              <w:rPr>
                <w:rFonts w:hint="eastAsia" w:ascii="宋体" w:hAnsi="宋体" w:eastAsia="宋体" w:cs="宋体"/>
                <w:szCs w:val="20"/>
                <w:bdr w:val="none" w:color="auto" w:sz="0" w:space="0"/>
              </w:rPr>
              <w:t>分</w:t>
            </w:r>
            <w:r>
              <w:rPr>
                <w:rFonts w:hint="eastAsia" w:ascii="宋体" w:hAnsi="宋体" w:eastAsia="宋体" w:cs="宋体"/>
                <w:szCs w:val="20"/>
                <w:bdr w:val="none" w:color="auto" w:sz="0" w:space="0"/>
                <w:lang w:val="en-US"/>
              </w:rPr>
              <w:t>)</w:t>
            </w:r>
          </w:p>
        </w:tc>
        <w:tc>
          <w:tcPr>
            <w:tcW w:w="517" w:type="dxa"/>
            <w:vMerge w:val="restart"/>
            <w:tcBorders>
              <w:top w:val="single" w:color="auto" w:sz="4" w:space="0"/>
              <w:left w:val="nil"/>
              <w:bottom w:val="single" w:color="auto" w:sz="4" w:space="0"/>
              <w:right w:val="single" w:color="auto" w:sz="4" w:space="0"/>
            </w:tcBorders>
            <w:shd w:val="clear"/>
            <w:vAlign w:val="center"/>
          </w:tcPr>
          <w:p w14:paraId="5814AD40">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服务对象满意度指标</w:t>
            </w:r>
          </w:p>
        </w:tc>
        <w:tc>
          <w:tcPr>
            <w:tcW w:w="1450" w:type="dxa"/>
            <w:tcBorders>
              <w:top w:val="nil"/>
              <w:left w:val="nil"/>
              <w:bottom w:val="single" w:color="auto" w:sz="4" w:space="0"/>
              <w:right w:val="single" w:color="auto" w:sz="4" w:space="0"/>
            </w:tcBorders>
            <w:shd w:val="clear"/>
            <w:vAlign w:val="center"/>
          </w:tcPr>
          <w:p w14:paraId="3DADE513">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研究生满意度</w:t>
            </w:r>
          </w:p>
        </w:tc>
        <w:tc>
          <w:tcPr>
            <w:tcW w:w="1037" w:type="dxa"/>
            <w:tcBorders>
              <w:top w:val="nil"/>
              <w:left w:val="nil"/>
              <w:bottom w:val="single" w:color="auto" w:sz="4" w:space="0"/>
              <w:right w:val="single" w:color="auto" w:sz="4" w:space="0"/>
            </w:tcBorders>
            <w:shd w:val="clear"/>
            <w:vAlign w:val="center"/>
          </w:tcPr>
          <w:p w14:paraId="0A62570D">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w:t>
            </w:r>
            <w:r>
              <w:rPr>
                <w:rFonts w:hint="eastAsia" w:ascii="宋体" w:hAnsi="宋体" w:eastAsia="宋体" w:cs="宋体"/>
                <w:szCs w:val="20"/>
                <w:bdr w:val="none" w:color="auto" w:sz="0" w:space="0"/>
                <w:lang w:val="en-US"/>
              </w:rPr>
              <w:t>95%</w:t>
            </w:r>
          </w:p>
        </w:tc>
        <w:tc>
          <w:tcPr>
            <w:tcW w:w="1057" w:type="dxa"/>
            <w:tcBorders>
              <w:top w:val="nil"/>
              <w:left w:val="nil"/>
              <w:bottom w:val="single" w:color="auto" w:sz="4" w:space="0"/>
              <w:right w:val="single" w:color="auto" w:sz="4" w:space="0"/>
            </w:tcBorders>
            <w:shd w:val="clear"/>
            <w:vAlign w:val="center"/>
          </w:tcPr>
          <w:p w14:paraId="3296B306">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100%</w:t>
            </w:r>
          </w:p>
        </w:tc>
        <w:tc>
          <w:tcPr>
            <w:tcW w:w="814" w:type="dxa"/>
            <w:tcBorders>
              <w:top w:val="nil"/>
              <w:left w:val="nil"/>
              <w:bottom w:val="single" w:color="auto" w:sz="4" w:space="0"/>
              <w:right w:val="single" w:color="auto" w:sz="4" w:space="0"/>
            </w:tcBorders>
            <w:shd w:val="clear"/>
            <w:vAlign w:val="center"/>
          </w:tcPr>
          <w:p w14:paraId="69F4FBC3">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54" w:type="dxa"/>
            <w:tcBorders>
              <w:top w:val="nil"/>
              <w:left w:val="nil"/>
              <w:bottom w:val="single" w:color="auto" w:sz="4" w:space="0"/>
              <w:right w:val="single" w:color="auto" w:sz="4" w:space="0"/>
            </w:tcBorders>
            <w:shd w:val="clear"/>
            <w:vAlign w:val="center"/>
          </w:tcPr>
          <w:p w14:paraId="415F92A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42" w:type="dxa"/>
            <w:tcBorders>
              <w:top w:val="nil"/>
              <w:left w:val="nil"/>
              <w:bottom w:val="single" w:color="auto" w:sz="4" w:space="0"/>
              <w:right w:val="single" w:color="auto" w:sz="4" w:space="0"/>
            </w:tcBorders>
            <w:shd w:val="clear"/>
            <w:vAlign w:val="center"/>
          </w:tcPr>
          <w:p w14:paraId="46BAB1CE">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highlight w:val="yellow"/>
                <w:bdr w:val="none" w:color="auto" w:sz="0" w:space="0"/>
                <w:lang w:val="en-US"/>
              </w:rPr>
            </w:pPr>
          </w:p>
        </w:tc>
      </w:tr>
      <w:tr w14:paraId="3BCD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487" w:type="dxa"/>
            <w:vMerge w:val="continue"/>
            <w:tcBorders>
              <w:top w:val="single" w:color="auto" w:sz="4" w:space="0"/>
              <w:left w:val="single" w:color="auto" w:sz="4" w:space="0"/>
              <w:bottom w:val="single" w:color="auto" w:sz="4" w:space="0"/>
              <w:right w:val="single" w:color="auto" w:sz="4" w:space="0"/>
            </w:tcBorders>
            <w:shd w:val="clear"/>
            <w:vAlign w:val="center"/>
          </w:tcPr>
          <w:p w14:paraId="6EC4D856">
            <w:pPr>
              <w:rPr>
                <w:rFonts w:hint="default" w:ascii="Times New Roman" w:hAnsi="Times New Roman" w:cs="Times New Roman"/>
                <w:sz w:val="20"/>
                <w:szCs w:val="20"/>
              </w:rPr>
            </w:pPr>
          </w:p>
        </w:tc>
        <w:tc>
          <w:tcPr>
            <w:tcW w:w="921" w:type="dxa"/>
            <w:vMerge w:val="continue"/>
            <w:tcBorders>
              <w:top w:val="single" w:color="auto" w:sz="4" w:space="0"/>
              <w:left w:val="nil"/>
              <w:bottom w:val="single" w:color="auto" w:sz="4" w:space="0"/>
              <w:right w:val="single" w:color="auto" w:sz="4" w:space="0"/>
            </w:tcBorders>
            <w:shd w:val="clear"/>
            <w:vAlign w:val="center"/>
          </w:tcPr>
          <w:p w14:paraId="0B324A7E">
            <w:pPr>
              <w:rPr>
                <w:rFonts w:hint="default" w:ascii="Times New Roman" w:hAnsi="Times New Roman" w:cs="Times New Roman"/>
                <w:sz w:val="20"/>
                <w:szCs w:val="20"/>
              </w:rPr>
            </w:pPr>
          </w:p>
        </w:tc>
        <w:tc>
          <w:tcPr>
            <w:tcW w:w="517" w:type="dxa"/>
            <w:vMerge w:val="continue"/>
            <w:tcBorders>
              <w:top w:val="single" w:color="auto" w:sz="4" w:space="0"/>
              <w:left w:val="nil"/>
              <w:bottom w:val="single" w:color="auto" w:sz="4" w:space="0"/>
              <w:right w:val="single" w:color="auto" w:sz="4" w:space="0"/>
            </w:tcBorders>
            <w:shd w:val="clear"/>
            <w:vAlign w:val="center"/>
          </w:tcPr>
          <w:p w14:paraId="1F03F7A7">
            <w:pPr>
              <w:rPr>
                <w:rFonts w:hint="default" w:ascii="Times New Roman" w:hAnsi="Times New Roman" w:cs="Times New Roman"/>
                <w:sz w:val="20"/>
                <w:szCs w:val="20"/>
              </w:rPr>
            </w:pPr>
          </w:p>
        </w:tc>
        <w:tc>
          <w:tcPr>
            <w:tcW w:w="1450" w:type="dxa"/>
            <w:tcBorders>
              <w:top w:val="nil"/>
              <w:left w:val="nil"/>
              <w:bottom w:val="single" w:color="auto" w:sz="4" w:space="0"/>
              <w:right w:val="single" w:color="auto" w:sz="4" w:space="0"/>
            </w:tcBorders>
            <w:shd w:val="clear"/>
            <w:vAlign w:val="center"/>
          </w:tcPr>
          <w:p w14:paraId="1872E444">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学员满意度</w:t>
            </w:r>
          </w:p>
        </w:tc>
        <w:tc>
          <w:tcPr>
            <w:tcW w:w="1037" w:type="dxa"/>
            <w:tcBorders>
              <w:top w:val="nil"/>
              <w:left w:val="nil"/>
              <w:bottom w:val="single" w:color="auto" w:sz="4" w:space="0"/>
              <w:right w:val="single" w:color="auto" w:sz="4" w:space="0"/>
            </w:tcBorders>
            <w:shd w:val="clear"/>
            <w:vAlign w:val="center"/>
          </w:tcPr>
          <w:p w14:paraId="709F78CB">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w:t>
            </w:r>
            <w:r>
              <w:rPr>
                <w:rFonts w:hint="eastAsia" w:ascii="宋体" w:hAnsi="宋体" w:eastAsia="宋体" w:cs="宋体"/>
                <w:szCs w:val="20"/>
                <w:bdr w:val="none" w:color="auto" w:sz="0" w:space="0"/>
                <w:lang w:val="en-US"/>
              </w:rPr>
              <w:t>95%</w:t>
            </w:r>
          </w:p>
        </w:tc>
        <w:tc>
          <w:tcPr>
            <w:tcW w:w="1057" w:type="dxa"/>
            <w:tcBorders>
              <w:top w:val="nil"/>
              <w:left w:val="nil"/>
              <w:bottom w:val="single" w:color="auto" w:sz="4" w:space="0"/>
              <w:right w:val="single" w:color="auto" w:sz="4" w:space="0"/>
            </w:tcBorders>
            <w:shd w:val="clear"/>
            <w:vAlign w:val="center"/>
          </w:tcPr>
          <w:p w14:paraId="2CF2CF0F">
            <w:pPr>
              <w:pStyle w:val="9"/>
              <w:widowControl/>
              <w:spacing w:before="0" w:beforeAutospacing="0" w:after="0" w:afterAutospacing="0" w:line="24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100%</w:t>
            </w:r>
          </w:p>
        </w:tc>
        <w:tc>
          <w:tcPr>
            <w:tcW w:w="814" w:type="dxa"/>
            <w:tcBorders>
              <w:top w:val="nil"/>
              <w:left w:val="nil"/>
              <w:bottom w:val="single" w:color="auto" w:sz="4" w:space="0"/>
              <w:right w:val="single" w:color="auto" w:sz="4" w:space="0"/>
            </w:tcBorders>
            <w:shd w:val="clear"/>
            <w:vAlign w:val="center"/>
          </w:tcPr>
          <w:p w14:paraId="0BE62191">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54" w:type="dxa"/>
            <w:tcBorders>
              <w:top w:val="nil"/>
              <w:left w:val="nil"/>
              <w:bottom w:val="single" w:color="auto" w:sz="4" w:space="0"/>
              <w:right w:val="single" w:color="auto" w:sz="4" w:space="0"/>
            </w:tcBorders>
            <w:shd w:val="clear"/>
            <w:vAlign w:val="center"/>
          </w:tcPr>
          <w:p w14:paraId="0B3569E4">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42" w:type="dxa"/>
            <w:tcBorders>
              <w:top w:val="nil"/>
              <w:left w:val="nil"/>
              <w:bottom w:val="single" w:color="auto" w:sz="4" w:space="0"/>
              <w:right w:val="single" w:color="auto" w:sz="4" w:space="0"/>
            </w:tcBorders>
            <w:shd w:val="clear"/>
            <w:vAlign w:val="center"/>
          </w:tcPr>
          <w:p w14:paraId="5FC50DCF">
            <w:pPr>
              <w:pStyle w:val="9"/>
              <w:widowControl/>
              <w:spacing w:before="0" w:beforeAutospacing="0" w:after="0" w:afterAutospacing="0" w:line="240" w:lineRule="exact"/>
              <w:ind w:left="0" w:leftChars="0" w:right="0" w:firstLine="0" w:firstLineChars="0"/>
              <w:jc w:val="center"/>
              <w:rPr>
                <w:rFonts w:hint="eastAsia" w:ascii="宋体" w:hAnsi="宋体" w:eastAsia="宋体" w:cs="宋体"/>
                <w:szCs w:val="20"/>
                <w:bdr w:val="none" w:color="auto" w:sz="0" w:space="0"/>
                <w:lang w:val="en-US"/>
              </w:rPr>
            </w:pPr>
          </w:p>
        </w:tc>
      </w:tr>
      <w:tr w14:paraId="61B0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6469" w:type="dxa"/>
            <w:gridSpan w:val="6"/>
            <w:tcBorders>
              <w:top w:val="single" w:color="auto" w:sz="4" w:space="0"/>
              <w:left w:val="single" w:color="auto" w:sz="4" w:space="0"/>
              <w:bottom w:val="single" w:color="auto" w:sz="4" w:space="0"/>
              <w:right w:val="single" w:color="000000" w:sz="4" w:space="0"/>
            </w:tcBorders>
            <w:shd w:val="clear"/>
            <w:vAlign w:val="center"/>
          </w:tcPr>
          <w:p w14:paraId="14DD9692">
            <w:pPr>
              <w:pStyle w:val="9"/>
              <w:widowControl/>
              <w:spacing w:before="0" w:beforeAutospacing="0" w:after="0" w:afterAutospacing="0" w:line="36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总分</w:t>
            </w:r>
          </w:p>
        </w:tc>
        <w:tc>
          <w:tcPr>
            <w:tcW w:w="814" w:type="dxa"/>
            <w:tcBorders>
              <w:top w:val="nil"/>
              <w:left w:val="nil"/>
              <w:bottom w:val="single" w:color="auto" w:sz="4" w:space="0"/>
              <w:right w:val="single" w:color="auto" w:sz="4" w:space="0"/>
            </w:tcBorders>
            <w:shd w:val="clear"/>
            <w:vAlign w:val="center"/>
          </w:tcPr>
          <w:p w14:paraId="79449B26">
            <w:pPr>
              <w:pStyle w:val="9"/>
              <w:widowControl/>
              <w:spacing w:before="0" w:beforeAutospacing="0" w:after="0" w:afterAutospacing="0" w:line="36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100</w:t>
            </w:r>
          </w:p>
        </w:tc>
        <w:tc>
          <w:tcPr>
            <w:tcW w:w="854" w:type="dxa"/>
            <w:tcBorders>
              <w:top w:val="nil"/>
              <w:left w:val="nil"/>
              <w:bottom w:val="single" w:color="auto" w:sz="4" w:space="0"/>
              <w:right w:val="single" w:color="auto" w:sz="4" w:space="0"/>
            </w:tcBorders>
            <w:shd w:val="clear"/>
            <w:vAlign w:val="center"/>
          </w:tcPr>
          <w:p w14:paraId="624FAFFC">
            <w:pPr>
              <w:pStyle w:val="9"/>
              <w:widowControl/>
              <w:spacing w:before="0" w:beforeAutospacing="0" w:after="0" w:afterAutospacing="0" w:line="360" w:lineRule="exact"/>
              <w:ind w:left="0" w:leftChars="0" w:right="0" w:firstLine="100" w:firstLineChars="5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96</w:t>
            </w:r>
          </w:p>
        </w:tc>
        <w:tc>
          <w:tcPr>
            <w:tcW w:w="842" w:type="dxa"/>
            <w:tcBorders>
              <w:top w:val="nil"/>
              <w:left w:val="nil"/>
              <w:bottom w:val="single" w:color="auto" w:sz="4" w:space="0"/>
              <w:right w:val="single" w:color="auto" w:sz="4" w:space="0"/>
            </w:tcBorders>
            <w:shd w:val="clear"/>
            <w:vAlign w:val="center"/>
          </w:tcPr>
          <w:p w14:paraId="4BA88E98">
            <w:pPr>
              <w:pStyle w:val="9"/>
              <w:widowControl/>
              <w:spacing w:before="0" w:beforeAutospacing="0" w:after="0" w:afterAutospacing="0" w:line="36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bl>
    <w:p w14:paraId="58B15111">
      <w:pPr>
        <w:keepNext w:val="0"/>
        <w:keepLines w:val="0"/>
        <w:widowControl w:val="0"/>
        <w:suppressLineNumbers w:val="0"/>
        <w:spacing w:before="126" w:beforeLines="20" w:beforeAutospacing="0" w:after="0" w:afterAutospacing="0" w:line="360" w:lineRule="exact"/>
        <w:ind w:left="0" w:right="0"/>
        <w:jc w:val="both"/>
        <w:rPr>
          <w:rFonts w:hint="eastAsia" w:ascii="仿宋_GB2312"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填表人：吴丹                         填报日期：2025年4月17日</w:t>
      </w:r>
    </w:p>
    <w:p w14:paraId="413ECD10">
      <w:pPr>
        <w:keepNext w:val="0"/>
        <w:keepLines w:val="0"/>
        <w:widowControl w:val="0"/>
        <w:suppressLineNumbers w:val="0"/>
        <w:spacing w:before="0" w:beforeAutospacing="0" w:after="0" w:afterAutospacing="0" w:line="360" w:lineRule="exact"/>
        <w:ind w:left="0" w:right="0"/>
        <w:jc w:val="both"/>
        <w:rPr>
          <w:rFonts w:hint="eastAsia" w:ascii="黑体" w:hAnsi="宋体" w:eastAsia="黑体" w:cs="黑体"/>
          <w:sz w:val="32"/>
          <w:szCs w:val="32"/>
          <w:lang w:val="en-US"/>
        </w:rPr>
      </w:pPr>
      <w:r>
        <w:rPr>
          <w:rFonts w:hint="eastAsia" w:ascii="仿宋_GB2312" w:hAnsi="Times New Roman" w:eastAsia="仿宋_GB2312" w:cs="仿宋_GB2312"/>
          <w:kern w:val="2"/>
          <w:sz w:val="24"/>
          <w:szCs w:val="24"/>
          <w:lang w:val="en-US" w:eastAsia="zh-CN" w:bidi="ar"/>
        </w:rPr>
        <w:t>联系电话：18570802181                单位负责人签字：</w:t>
      </w:r>
    </w:p>
    <w:p w14:paraId="676528F3">
      <w:pPr>
        <w:pStyle w:val="9"/>
        <w:widowControl/>
        <w:spacing w:before="0" w:beforeAutospacing="0" w:after="120" w:afterAutospacing="0"/>
        <w:ind w:left="0" w:leftChars="0" w:right="0" w:firstLine="0" w:firstLineChars="0"/>
        <w:rPr>
          <w:lang w:val="en-US"/>
        </w:rPr>
      </w:pPr>
      <w:r>
        <w:rPr>
          <w:rFonts w:hint="eastAsia" w:ascii="黑体" w:hAnsi="宋体" w:eastAsia="黑体" w:cs="黑体"/>
          <w:sz w:val="32"/>
          <w:szCs w:val="32"/>
          <w:lang w:eastAsia="zh-CN"/>
        </w:rPr>
        <w:t>附件</w:t>
      </w:r>
      <w:r>
        <w:rPr>
          <w:rFonts w:hint="eastAsia" w:ascii="黑体" w:hAnsi="宋体" w:eastAsia="黑体" w:cs="黑体"/>
          <w:sz w:val="32"/>
          <w:szCs w:val="32"/>
          <w:lang w:val="en-US"/>
        </w:rPr>
        <w:t>4</w:t>
      </w:r>
    </w:p>
    <w:p w14:paraId="794A1852">
      <w:pPr>
        <w:pStyle w:val="9"/>
        <w:widowControl/>
        <w:spacing w:before="0" w:beforeAutospacing="0" w:after="0" w:afterAutospacing="0" w:line="600" w:lineRule="exact"/>
        <w:ind w:left="0" w:leftChars="0" w:right="0" w:firstLine="0" w:firstLineChars="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2024</w:t>
      </w:r>
      <w:r>
        <w:rPr>
          <w:rFonts w:hint="eastAsia" w:ascii="方正小标宋简体" w:hAnsi="方正小标宋简体" w:eastAsia="方正小标宋简体" w:cs="方正小标宋简体"/>
          <w:sz w:val="44"/>
          <w:szCs w:val="44"/>
          <w:lang w:eastAsia="zh-CN"/>
        </w:rPr>
        <w:t>年度项目支出绩效自评表</w:t>
      </w:r>
    </w:p>
    <w:p w14:paraId="59387D9B">
      <w:pPr>
        <w:pStyle w:val="9"/>
        <w:widowControl/>
        <w:spacing w:before="0" w:beforeAutospacing="0" w:after="0" w:afterAutospacing="0" w:line="600" w:lineRule="exact"/>
        <w:ind w:left="0" w:leftChars="0" w:right="0" w:firstLine="0" w:firstLineChars="0"/>
        <w:jc w:val="center"/>
        <w:rPr>
          <w:rFonts w:hint="eastAsia" w:ascii="方正小标宋简体" w:hAnsi="方正小标宋简体" w:eastAsia="方正小标宋简体" w:cs="方正小标宋简体"/>
          <w:sz w:val="44"/>
          <w:szCs w:val="44"/>
          <w:highlight w:val="red"/>
          <w:lang w:val="en-US"/>
        </w:rPr>
      </w:pPr>
      <w:r>
        <w:rPr>
          <w:rFonts w:hint="eastAsia" w:ascii="方正小标宋简体" w:hAnsi="方正小标宋简体" w:eastAsia="方正小标宋简体" w:cs="方正小标宋简体"/>
          <w:sz w:val="44"/>
          <w:szCs w:val="44"/>
          <w:lang w:eastAsia="zh-CN"/>
        </w:rPr>
        <w:t>（其他事业发展资金）</w:t>
      </w:r>
    </w:p>
    <w:tbl>
      <w:tblPr>
        <w:tblStyle w:val="10"/>
        <w:tblW w:w="9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31"/>
        <w:gridCol w:w="1099"/>
        <w:gridCol w:w="585"/>
        <w:gridCol w:w="1018"/>
        <w:gridCol w:w="1379"/>
        <w:gridCol w:w="1221"/>
        <w:gridCol w:w="735"/>
        <w:gridCol w:w="833"/>
        <w:gridCol w:w="1312"/>
      </w:tblGrid>
      <w:tr w14:paraId="0F72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rPr>
        <w:tc>
          <w:tcPr>
            <w:tcW w:w="931" w:type="dxa"/>
            <w:tcBorders>
              <w:top w:val="single" w:color="auto" w:sz="4" w:space="0"/>
              <w:left w:val="single" w:color="auto" w:sz="4" w:space="0"/>
              <w:bottom w:val="single" w:color="auto" w:sz="4" w:space="0"/>
              <w:right w:val="single" w:color="auto" w:sz="4" w:space="0"/>
            </w:tcBorders>
            <w:shd w:val="clear"/>
            <w:vAlign w:val="center"/>
          </w:tcPr>
          <w:p w14:paraId="2E9C9EB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项目支</w:t>
            </w:r>
          </w:p>
          <w:p w14:paraId="1667C752">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出名称</w:t>
            </w:r>
          </w:p>
        </w:tc>
        <w:tc>
          <w:tcPr>
            <w:tcW w:w="8182" w:type="dxa"/>
            <w:gridSpan w:val="8"/>
            <w:tcBorders>
              <w:top w:val="single" w:color="auto" w:sz="4" w:space="0"/>
              <w:left w:val="nil"/>
              <w:bottom w:val="single" w:color="auto" w:sz="4" w:space="0"/>
              <w:right w:val="single" w:color="auto" w:sz="4" w:space="0"/>
            </w:tcBorders>
            <w:shd w:val="clear"/>
            <w:vAlign w:val="center"/>
          </w:tcPr>
          <w:p w14:paraId="38A68E9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运行维护经费</w:t>
            </w:r>
          </w:p>
        </w:tc>
      </w:tr>
      <w:tr w14:paraId="2855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931" w:type="dxa"/>
            <w:tcBorders>
              <w:top w:val="nil"/>
              <w:left w:val="single" w:color="auto" w:sz="4" w:space="0"/>
              <w:bottom w:val="single" w:color="auto" w:sz="4" w:space="0"/>
              <w:right w:val="single" w:color="auto" w:sz="4" w:space="0"/>
            </w:tcBorders>
            <w:shd w:val="clear"/>
            <w:vAlign w:val="center"/>
          </w:tcPr>
          <w:p w14:paraId="1AA4D85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主管</w:t>
            </w:r>
          </w:p>
          <w:p w14:paraId="3531BFDB">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部门</w:t>
            </w:r>
          </w:p>
        </w:tc>
        <w:tc>
          <w:tcPr>
            <w:tcW w:w="4081" w:type="dxa"/>
            <w:gridSpan w:val="4"/>
            <w:tcBorders>
              <w:top w:val="single" w:color="auto" w:sz="4" w:space="0"/>
              <w:left w:val="nil"/>
              <w:bottom w:val="single" w:color="auto" w:sz="4" w:space="0"/>
              <w:right w:val="single" w:color="auto" w:sz="4" w:space="0"/>
            </w:tcBorders>
            <w:shd w:val="clear"/>
            <w:vAlign w:val="center"/>
          </w:tcPr>
          <w:p w14:paraId="0F457BC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c>
          <w:tcPr>
            <w:tcW w:w="1221" w:type="dxa"/>
            <w:tcBorders>
              <w:top w:val="single" w:color="auto" w:sz="4" w:space="0"/>
              <w:left w:val="nil"/>
              <w:bottom w:val="single" w:color="auto" w:sz="4" w:space="0"/>
              <w:right w:val="single" w:color="000000" w:sz="4" w:space="0"/>
            </w:tcBorders>
            <w:shd w:val="clear"/>
            <w:vAlign w:val="center"/>
          </w:tcPr>
          <w:p w14:paraId="1A7FFDA2">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实施单位</w:t>
            </w:r>
          </w:p>
        </w:tc>
        <w:tc>
          <w:tcPr>
            <w:tcW w:w="2880" w:type="dxa"/>
            <w:gridSpan w:val="3"/>
            <w:tcBorders>
              <w:top w:val="single" w:color="auto" w:sz="4" w:space="0"/>
              <w:left w:val="nil"/>
              <w:bottom w:val="single" w:color="auto" w:sz="4" w:space="0"/>
              <w:right w:val="single" w:color="auto" w:sz="4" w:space="0"/>
            </w:tcBorders>
            <w:shd w:val="clear"/>
            <w:vAlign w:val="center"/>
          </w:tcPr>
          <w:p w14:paraId="59378A5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r>
      <w:tr w14:paraId="310F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5" w:hRule="atLeast"/>
        </w:trPr>
        <w:tc>
          <w:tcPr>
            <w:tcW w:w="931" w:type="dxa"/>
            <w:vMerge w:val="restart"/>
            <w:tcBorders>
              <w:top w:val="nil"/>
              <w:left w:val="single" w:color="auto" w:sz="4" w:space="0"/>
              <w:bottom w:val="single" w:color="000000" w:sz="4" w:space="0"/>
              <w:right w:val="single" w:color="auto" w:sz="4" w:space="0"/>
            </w:tcBorders>
            <w:shd w:val="clear"/>
            <w:vAlign w:val="center"/>
          </w:tcPr>
          <w:p w14:paraId="343ABE4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项目</w:t>
            </w:r>
          </w:p>
          <w:p w14:paraId="2501478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资金</w:t>
            </w:r>
            <w:r>
              <w:rPr>
                <w:rFonts w:hint="eastAsia" w:ascii="宋体" w:hAnsi="宋体" w:eastAsia="宋体" w:cs="宋体"/>
                <w:szCs w:val="20"/>
                <w:bdr w:val="none" w:color="auto" w:sz="0" w:space="0"/>
                <w:lang w:val="en-US"/>
              </w:rPr>
              <w:br w:type="textWrapping"/>
            </w:r>
            <w:r>
              <w:rPr>
                <w:rFonts w:hint="eastAsia" w:ascii="宋体" w:hAnsi="宋体" w:eastAsia="宋体" w:cs="宋体"/>
                <w:szCs w:val="20"/>
                <w:bdr w:val="none" w:color="auto" w:sz="0" w:space="0"/>
              </w:rPr>
              <w:t>（万元）</w:t>
            </w:r>
          </w:p>
        </w:tc>
        <w:tc>
          <w:tcPr>
            <w:tcW w:w="1684" w:type="dxa"/>
            <w:gridSpan w:val="2"/>
            <w:tcBorders>
              <w:top w:val="nil"/>
              <w:left w:val="nil"/>
              <w:bottom w:val="single" w:color="auto" w:sz="4" w:space="0"/>
              <w:right w:val="single" w:color="auto" w:sz="4" w:space="0"/>
            </w:tcBorders>
            <w:shd w:val="clear"/>
            <w:vAlign w:val="center"/>
          </w:tcPr>
          <w:p w14:paraId="359990A3">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c>
          <w:tcPr>
            <w:tcW w:w="1018" w:type="dxa"/>
            <w:tcBorders>
              <w:top w:val="nil"/>
              <w:left w:val="nil"/>
              <w:bottom w:val="single" w:color="auto" w:sz="4" w:space="0"/>
              <w:right w:val="single" w:color="auto" w:sz="4" w:space="0"/>
            </w:tcBorders>
            <w:shd w:val="clear"/>
            <w:vAlign w:val="center"/>
          </w:tcPr>
          <w:p w14:paraId="542DDC23">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年初</w:t>
            </w:r>
          </w:p>
          <w:p w14:paraId="605FEF6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预算数</w:t>
            </w:r>
          </w:p>
        </w:tc>
        <w:tc>
          <w:tcPr>
            <w:tcW w:w="1379" w:type="dxa"/>
            <w:tcBorders>
              <w:top w:val="nil"/>
              <w:left w:val="nil"/>
              <w:bottom w:val="single" w:color="auto" w:sz="4" w:space="0"/>
              <w:right w:val="single" w:color="auto" w:sz="4" w:space="0"/>
            </w:tcBorders>
            <w:shd w:val="clear"/>
            <w:vAlign w:val="center"/>
          </w:tcPr>
          <w:p w14:paraId="7C4577C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全年</w:t>
            </w:r>
          </w:p>
          <w:p w14:paraId="5D4D666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预算数</w:t>
            </w:r>
          </w:p>
        </w:tc>
        <w:tc>
          <w:tcPr>
            <w:tcW w:w="1221" w:type="dxa"/>
            <w:tcBorders>
              <w:top w:val="nil"/>
              <w:left w:val="nil"/>
              <w:bottom w:val="single" w:color="auto" w:sz="4" w:space="0"/>
              <w:right w:val="single" w:color="auto" w:sz="4" w:space="0"/>
            </w:tcBorders>
            <w:shd w:val="clear"/>
            <w:vAlign w:val="center"/>
          </w:tcPr>
          <w:p w14:paraId="05C894F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全年</w:t>
            </w:r>
          </w:p>
          <w:p w14:paraId="6CF1498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执行数</w:t>
            </w:r>
          </w:p>
        </w:tc>
        <w:tc>
          <w:tcPr>
            <w:tcW w:w="735" w:type="dxa"/>
            <w:tcBorders>
              <w:top w:val="nil"/>
              <w:left w:val="nil"/>
              <w:bottom w:val="single" w:color="auto" w:sz="4" w:space="0"/>
              <w:right w:val="single" w:color="auto" w:sz="4" w:space="0"/>
            </w:tcBorders>
            <w:shd w:val="clear"/>
            <w:vAlign w:val="center"/>
          </w:tcPr>
          <w:p w14:paraId="21D36F2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分值</w:t>
            </w:r>
          </w:p>
        </w:tc>
        <w:tc>
          <w:tcPr>
            <w:tcW w:w="833" w:type="dxa"/>
            <w:tcBorders>
              <w:top w:val="nil"/>
              <w:left w:val="nil"/>
              <w:bottom w:val="single" w:color="auto" w:sz="4" w:space="0"/>
              <w:right w:val="single" w:color="auto" w:sz="4" w:space="0"/>
            </w:tcBorders>
            <w:shd w:val="clear"/>
            <w:vAlign w:val="center"/>
          </w:tcPr>
          <w:p w14:paraId="059A3EA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执行率</w:t>
            </w:r>
          </w:p>
        </w:tc>
        <w:tc>
          <w:tcPr>
            <w:tcW w:w="1312" w:type="dxa"/>
            <w:tcBorders>
              <w:top w:val="nil"/>
              <w:left w:val="nil"/>
              <w:bottom w:val="single" w:color="auto" w:sz="4" w:space="0"/>
              <w:right w:val="single" w:color="auto" w:sz="4" w:space="0"/>
            </w:tcBorders>
            <w:shd w:val="clear"/>
            <w:vAlign w:val="center"/>
          </w:tcPr>
          <w:p w14:paraId="219880E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得分</w:t>
            </w:r>
          </w:p>
        </w:tc>
      </w:tr>
      <w:tr w14:paraId="386D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31" w:type="dxa"/>
            <w:vMerge w:val="continue"/>
            <w:tcBorders>
              <w:top w:val="nil"/>
              <w:left w:val="single" w:color="auto" w:sz="4" w:space="0"/>
              <w:bottom w:val="single" w:color="000000" w:sz="4" w:space="0"/>
              <w:right w:val="single" w:color="auto" w:sz="4" w:space="0"/>
            </w:tcBorders>
            <w:shd w:val="clear"/>
            <w:vAlign w:val="center"/>
          </w:tcPr>
          <w:p w14:paraId="6A6D24A1">
            <w:pPr>
              <w:rPr>
                <w:rFonts w:hint="default" w:ascii="Times New Roman" w:hAnsi="Times New Roman" w:cs="Times New Roman"/>
                <w:sz w:val="20"/>
                <w:szCs w:val="20"/>
              </w:rPr>
            </w:pPr>
          </w:p>
        </w:tc>
        <w:tc>
          <w:tcPr>
            <w:tcW w:w="1684" w:type="dxa"/>
            <w:gridSpan w:val="2"/>
            <w:tcBorders>
              <w:top w:val="nil"/>
              <w:left w:val="nil"/>
              <w:bottom w:val="single" w:color="auto" w:sz="4" w:space="0"/>
              <w:right w:val="single" w:color="auto" w:sz="4" w:space="0"/>
            </w:tcBorders>
            <w:shd w:val="clear"/>
            <w:vAlign w:val="center"/>
          </w:tcPr>
          <w:p w14:paraId="4A6AC42E">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年度资金总额　</w:t>
            </w:r>
          </w:p>
        </w:tc>
        <w:tc>
          <w:tcPr>
            <w:tcW w:w="1018" w:type="dxa"/>
            <w:tcBorders>
              <w:top w:val="nil"/>
              <w:left w:val="nil"/>
              <w:bottom w:val="single" w:color="auto" w:sz="4" w:space="0"/>
              <w:right w:val="single" w:color="auto" w:sz="4" w:space="0"/>
            </w:tcBorders>
            <w:shd w:val="clear"/>
            <w:vAlign w:val="center"/>
          </w:tcPr>
          <w:p w14:paraId="653B5C03">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4623.07</w:t>
            </w:r>
          </w:p>
        </w:tc>
        <w:tc>
          <w:tcPr>
            <w:tcW w:w="1379" w:type="dxa"/>
            <w:tcBorders>
              <w:top w:val="nil"/>
              <w:left w:val="nil"/>
              <w:bottom w:val="single" w:color="auto" w:sz="4" w:space="0"/>
              <w:right w:val="single" w:color="auto" w:sz="4" w:space="0"/>
            </w:tcBorders>
            <w:shd w:val="clear"/>
            <w:vAlign w:val="center"/>
          </w:tcPr>
          <w:p w14:paraId="7E55A8B2">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bdr w:val="none" w:color="auto" w:sz="0" w:space="0"/>
                <w:lang w:val="en-US"/>
              </w:rPr>
              <w:t>5444.42</w:t>
            </w:r>
          </w:p>
        </w:tc>
        <w:tc>
          <w:tcPr>
            <w:tcW w:w="1221" w:type="dxa"/>
            <w:tcBorders>
              <w:top w:val="nil"/>
              <w:left w:val="nil"/>
              <w:bottom w:val="single" w:color="auto" w:sz="4" w:space="0"/>
              <w:right w:val="single" w:color="auto" w:sz="4" w:space="0"/>
            </w:tcBorders>
            <w:shd w:val="clear"/>
            <w:vAlign w:val="center"/>
          </w:tcPr>
          <w:p w14:paraId="707EBD6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bdr w:val="none" w:color="auto" w:sz="0" w:space="0"/>
                <w:lang w:val="en-US"/>
              </w:rPr>
              <w:t>4570.40</w:t>
            </w:r>
          </w:p>
        </w:tc>
        <w:tc>
          <w:tcPr>
            <w:tcW w:w="735" w:type="dxa"/>
            <w:tcBorders>
              <w:top w:val="nil"/>
              <w:left w:val="nil"/>
              <w:bottom w:val="single" w:color="auto" w:sz="4" w:space="0"/>
              <w:right w:val="single" w:color="auto" w:sz="4" w:space="0"/>
            </w:tcBorders>
            <w:shd w:val="clear"/>
            <w:vAlign w:val="center"/>
          </w:tcPr>
          <w:p w14:paraId="46CD826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w:t>
            </w:r>
          </w:p>
        </w:tc>
        <w:tc>
          <w:tcPr>
            <w:tcW w:w="833" w:type="dxa"/>
            <w:tcBorders>
              <w:top w:val="nil"/>
              <w:left w:val="nil"/>
              <w:bottom w:val="single" w:color="auto" w:sz="4" w:space="0"/>
              <w:right w:val="single" w:color="auto" w:sz="4" w:space="0"/>
            </w:tcBorders>
            <w:shd w:val="clear"/>
            <w:vAlign w:val="center"/>
          </w:tcPr>
          <w:p w14:paraId="176BB1A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83.95%</w:t>
            </w:r>
          </w:p>
        </w:tc>
        <w:tc>
          <w:tcPr>
            <w:tcW w:w="1312" w:type="dxa"/>
            <w:tcBorders>
              <w:top w:val="nil"/>
              <w:left w:val="nil"/>
              <w:bottom w:val="single" w:color="auto" w:sz="4" w:space="0"/>
              <w:right w:val="single" w:color="auto" w:sz="4" w:space="0"/>
            </w:tcBorders>
            <w:shd w:val="clear"/>
            <w:vAlign w:val="center"/>
          </w:tcPr>
          <w:p w14:paraId="58FC12A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8.4</w:t>
            </w:r>
          </w:p>
        </w:tc>
      </w:tr>
      <w:tr w14:paraId="4BAD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31" w:type="dxa"/>
            <w:vMerge w:val="continue"/>
            <w:tcBorders>
              <w:top w:val="nil"/>
              <w:left w:val="single" w:color="auto" w:sz="4" w:space="0"/>
              <w:bottom w:val="single" w:color="000000" w:sz="4" w:space="0"/>
              <w:right w:val="single" w:color="auto" w:sz="4" w:space="0"/>
            </w:tcBorders>
            <w:shd w:val="clear"/>
            <w:vAlign w:val="center"/>
          </w:tcPr>
          <w:p w14:paraId="7E22C215">
            <w:pPr>
              <w:rPr>
                <w:rFonts w:hint="default" w:ascii="Times New Roman" w:hAnsi="Times New Roman" w:cs="Times New Roman"/>
                <w:sz w:val="20"/>
                <w:szCs w:val="20"/>
              </w:rPr>
            </w:pPr>
          </w:p>
        </w:tc>
        <w:tc>
          <w:tcPr>
            <w:tcW w:w="1684" w:type="dxa"/>
            <w:gridSpan w:val="2"/>
            <w:tcBorders>
              <w:top w:val="nil"/>
              <w:left w:val="nil"/>
              <w:bottom w:val="single" w:color="auto" w:sz="4" w:space="0"/>
              <w:right w:val="single" w:color="auto" w:sz="4" w:space="0"/>
            </w:tcBorders>
            <w:shd w:val="clear"/>
            <w:vAlign w:val="center"/>
          </w:tcPr>
          <w:p w14:paraId="4DD30F81">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其中：当年财政拨款　</w:t>
            </w:r>
          </w:p>
        </w:tc>
        <w:tc>
          <w:tcPr>
            <w:tcW w:w="1018" w:type="dxa"/>
            <w:tcBorders>
              <w:top w:val="nil"/>
              <w:left w:val="nil"/>
              <w:bottom w:val="single" w:color="auto" w:sz="4" w:space="0"/>
              <w:right w:val="single" w:color="auto" w:sz="4" w:space="0"/>
            </w:tcBorders>
            <w:shd w:val="clear"/>
            <w:vAlign w:val="center"/>
          </w:tcPr>
          <w:p w14:paraId="1EC51E5B">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3664.84</w:t>
            </w:r>
          </w:p>
        </w:tc>
        <w:tc>
          <w:tcPr>
            <w:tcW w:w="1379" w:type="dxa"/>
            <w:tcBorders>
              <w:top w:val="nil"/>
              <w:left w:val="nil"/>
              <w:bottom w:val="single" w:color="auto" w:sz="4" w:space="0"/>
              <w:right w:val="single" w:color="auto" w:sz="4" w:space="0"/>
            </w:tcBorders>
            <w:shd w:val="clear"/>
            <w:vAlign w:val="center"/>
          </w:tcPr>
          <w:p w14:paraId="05C188B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4623.07</w:t>
            </w:r>
          </w:p>
        </w:tc>
        <w:tc>
          <w:tcPr>
            <w:tcW w:w="1221" w:type="dxa"/>
            <w:tcBorders>
              <w:top w:val="nil"/>
              <w:left w:val="nil"/>
              <w:bottom w:val="single" w:color="auto" w:sz="4" w:space="0"/>
              <w:right w:val="single" w:color="auto" w:sz="4" w:space="0"/>
            </w:tcBorders>
            <w:shd w:val="clear"/>
            <w:vAlign w:val="center"/>
          </w:tcPr>
          <w:p w14:paraId="3EC6F16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3870.20</w:t>
            </w:r>
          </w:p>
        </w:tc>
        <w:tc>
          <w:tcPr>
            <w:tcW w:w="735" w:type="dxa"/>
            <w:tcBorders>
              <w:top w:val="nil"/>
              <w:left w:val="nil"/>
              <w:bottom w:val="single" w:color="auto" w:sz="4" w:space="0"/>
              <w:right w:val="single" w:color="auto" w:sz="4" w:space="0"/>
            </w:tcBorders>
            <w:shd w:val="clear"/>
            <w:vAlign w:val="center"/>
          </w:tcPr>
          <w:p w14:paraId="6DC0EDE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c>
          <w:tcPr>
            <w:tcW w:w="833" w:type="dxa"/>
            <w:tcBorders>
              <w:top w:val="nil"/>
              <w:left w:val="nil"/>
              <w:bottom w:val="single" w:color="auto" w:sz="4" w:space="0"/>
              <w:right w:val="single" w:color="auto" w:sz="4" w:space="0"/>
            </w:tcBorders>
            <w:shd w:val="clear"/>
            <w:vAlign w:val="center"/>
          </w:tcPr>
          <w:p w14:paraId="1AC2315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c>
          <w:tcPr>
            <w:tcW w:w="1312" w:type="dxa"/>
            <w:tcBorders>
              <w:top w:val="nil"/>
              <w:left w:val="nil"/>
              <w:bottom w:val="single" w:color="auto" w:sz="4" w:space="0"/>
              <w:right w:val="single" w:color="auto" w:sz="4" w:space="0"/>
            </w:tcBorders>
            <w:shd w:val="clear"/>
            <w:vAlign w:val="center"/>
          </w:tcPr>
          <w:p w14:paraId="0A66450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r>
      <w:tr w14:paraId="5A7D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31" w:type="dxa"/>
            <w:vMerge w:val="continue"/>
            <w:tcBorders>
              <w:top w:val="nil"/>
              <w:left w:val="single" w:color="auto" w:sz="4" w:space="0"/>
              <w:bottom w:val="single" w:color="000000" w:sz="4" w:space="0"/>
              <w:right w:val="single" w:color="auto" w:sz="4" w:space="0"/>
            </w:tcBorders>
            <w:shd w:val="clear"/>
            <w:vAlign w:val="center"/>
          </w:tcPr>
          <w:p w14:paraId="036D0826">
            <w:pPr>
              <w:rPr>
                <w:rFonts w:hint="default" w:ascii="Times New Roman" w:hAnsi="Times New Roman" w:cs="Times New Roman"/>
                <w:sz w:val="20"/>
                <w:szCs w:val="20"/>
              </w:rPr>
            </w:pPr>
          </w:p>
        </w:tc>
        <w:tc>
          <w:tcPr>
            <w:tcW w:w="1684" w:type="dxa"/>
            <w:gridSpan w:val="2"/>
            <w:tcBorders>
              <w:top w:val="nil"/>
              <w:left w:val="nil"/>
              <w:bottom w:val="single" w:color="auto" w:sz="4" w:space="0"/>
              <w:right w:val="single" w:color="auto" w:sz="4" w:space="0"/>
            </w:tcBorders>
            <w:shd w:val="clear"/>
            <w:vAlign w:val="center"/>
          </w:tcPr>
          <w:p w14:paraId="0DD91CE4">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上年结转资金</w:t>
            </w:r>
          </w:p>
        </w:tc>
        <w:tc>
          <w:tcPr>
            <w:tcW w:w="1018" w:type="dxa"/>
            <w:tcBorders>
              <w:top w:val="nil"/>
              <w:left w:val="nil"/>
              <w:bottom w:val="single" w:color="auto" w:sz="4" w:space="0"/>
              <w:right w:val="single" w:color="auto" w:sz="4" w:space="0"/>
            </w:tcBorders>
            <w:shd w:val="clear"/>
            <w:vAlign w:val="center"/>
          </w:tcPr>
          <w:p w14:paraId="66001C2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958.23</w:t>
            </w:r>
          </w:p>
        </w:tc>
        <w:tc>
          <w:tcPr>
            <w:tcW w:w="1379" w:type="dxa"/>
            <w:tcBorders>
              <w:top w:val="nil"/>
              <w:left w:val="nil"/>
              <w:bottom w:val="single" w:color="auto" w:sz="4" w:space="0"/>
              <w:right w:val="single" w:color="auto" w:sz="4" w:space="0"/>
            </w:tcBorders>
            <w:shd w:val="clear"/>
            <w:vAlign w:val="center"/>
          </w:tcPr>
          <w:p w14:paraId="758415E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821.35</w:t>
            </w:r>
          </w:p>
        </w:tc>
        <w:tc>
          <w:tcPr>
            <w:tcW w:w="1221" w:type="dxa"/>
            <w:tcBorders>
              <w:top w:val="nil"/>
              <w:left w:val="nil"/>
              <w:bottom w:val="single" w:color="auto" w:sz="4" w:space="0"/>
              <w:right w:val="single" w:color="auto" w:sz="4" w:space="0"/>
            </w:tcBorders>
            <w:shd w:val="clear"/>
            <w:vAlign w:val="center"/>
          </w:tcPr>
          <w:p w14:paraId="6734880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700.20</w:t>
            </w:r>
          </w:p>
        </w:tc>
        <w:tc>
          <w:tcPr>
            <w:tcW w:w="735" w:type="dxa"/>
            <w:tcBorders>
              <w:top w:val="nil"/>
              <w:left w:val="nil"/>
              <w:bottom w:val="single" w:color="auto" w:sz="4" w:space="0"/>
              <w:right w:val="single" w:color="auto" w:sz="4" w:space="0"/>
            </w:tcBorders>
            <w:shd w:val="clear"/>
            <w:vAlign w:val="center"/>
          </w:tcPr>
          <w:p w14:paraId="3D040BB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c>
          <w:tcPr>
            <w:tcW w:w="833" w:type="dxa"/>
            <w:tcBorders>
              <w:top w:val="nil"/>
              <w:left w:val="nil"/>
              <w:bottom w:val="single" w:color="auto" w:sz="4" w:space="0"/>
              <w:right w:val="single" w:color="auto" w:sz="4" w:space="0"/>
            </w:tcBorders>
            <w:shd w:val="clear"/>
            <w:vAlign w:val="center"/>
          </w:tcPr>
          <w:p w14:paraId="3C5FC91E">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c>
          <w:tcPr>
            <w:tcW w:w="1312" w:type="dxa"/>
            <w:tcBorders>
              <w:top w:val="nil"/>
              <w:left w:val="nil"/>
              <w:bottom w:val="single" w:color="auto" w:sz="4" w:space="0"/>
              <w:right w:val="single" w:color="auto" w:sz="4" w:space="0"/>
            </w:tcBorders>
            <w:shd w:val="clear"/>
            <w:vAlign w:val="center"/>
          </w:tcPr>
          <w:p w14:paraId="5786FCC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r>
      <w:tr w14:paraId="43E6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31" w:type="dxa"/>
            <w:vMerge w:val="continue"/>
            <w:tcBorders>
              <w:top w:val="nil"/>
              <w:left w:val="single" w:color="auto" w:sz="4" w:space="0"/>
              <w:bottom w:val="single" w:color="000000" w:sz="4" w:space="0"/>
              <w:right w:val="single" w:color="auto" w:sz="4" w:space="0"/>
            </w:tcBorders>
            <w:shd w:val="clear"/>
            <w:vAlign w:val="center"/>
          </w:tcPr>
          <w:p w14:paraId="628CCDB7">
            <w:pPr>
              <w:rPr>
                <w:rFonts w:hint="default" w:ascii="Times New Roman" w:hAnsi="Times New Roman" w:cs="Times New Roman"/>
                <w:sz w:val="20"/>
                <w:szCs w:val="20"/>
              </w:rPr>
            </w:pPr>
          </w:p>
        </w:tc>
        <w:tc>
          <w:tcPr>
            <w:tcW w:w="1684" w:type="dxa"/>
            <w:gridSpan w:val="2"/>
            <w:tcBorders>
              <w:top w:val="nil"/>
              <w:left w:val="nil"/>
              <w:bottom w:val="single" w:color="auto" w:sz="4" w:space="0"/>
              <w:right w:val="single" w:color="auto" w:sz="4" w:space="0"/>
            </w:tcBorders>
            <w:shd w:val="clear"/>
            <w:vAlign w:val="center"/>
          </w:tcPr>
          <w:p w14:paraId="13D28D13">
            <w:pPr>
              <w:pStyle w:val="9"/>
              <w:widowControl/>
              <w:spacing w:before="0" w:beforeAutospacing="0" w:after="0" w:afterAutospacing="0" w:line="300" w:lineRule="exact"/>
              <w:ind w:left="0" w:leftChars="0" w:right="0" w:firstLine="200" w:firstLineChars="10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其他资金</w:t>
            </w:r>
            <w:r>
              <w:rPr>
                <w:rFonts w:hint="eastAsia" w:ascii="宋体" w:hAnsi="宋体" w:eastAsia="宋体" w:cs="宋体"/>
                <w:szCs w:val="20"/>
                <w:bdr w:val="none" w:color="auto" w:sz="0" w:space="0"/>
                <w:lang w:val="en-US"/>
              </w:rPr>
              <w:t xml:space="preserve">                                                                                                           </w:t>
            </w:r>
          </w:p>
        </w:tc>
        <w:tc>
          <w:tcPr>
            <w:tcW w:w="1018" w:type="dxa"/>
            <w:tcBorders>
              <w:top w:val="nil"/>
              <w:left w:val="nil"/>
              <w:bottom w:val="single" w:color="auto" w:sz="4" w:space="0"/>
              <w:right w:val="single" w:color="auto" w:sz="4" w:space="0"/>
            </w:tcBorders>
            <w:shd w:val="clear"/>
            <w:vAlign w:val="center"/>
          </w:tcPr>
          <w:p w14:paraId="0515591D">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tc>
        <w:tc>
          <w:tcPr>
            <w:tcW w:w="1379" w:type="dxa"/>
            <w:tcBorders>
              <w:top w:val="nil"/>
              <w:left w:val="nil"/>
              <w:bottom w:val="single" w:color="auto" w:sz="4" w:space="0"/>
              <w:right w:val="single" w:color="auto" w:sz="4" w:space="0"/>
            </w:tcBorders>
            <w:shd w:val="clear"/>
            <w:vAlign w:val="center"/>
          </w:tcPr>
          <w:p w14:paraId="4C2A2EC0">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tc>
        <w:tc>
          <w:tcPr>
            <w:tcW w:w="1221" w:type="dxa"/>
            <w:tcBorders>
              <w:top w:val="nil"/>
              <w:left w:val="nil"/>
              <w:bottom w:val="single" w:color="auto" w:sz="4" w:space="0"/>
              <w:right w:val="single" w:color="auto" w:sz="4" w:space="0"/>
            </w:tcBorders>
            <w:shd w:val="clear"/>
            <w:vAlign w:val="center"/>
          </w:tcPr>
          <w:p w14:paraId="3A1BE630">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tc>
        <w:tc>
          <w:tcPr>
            <w:tcW w:w="735" w:type="dxa"/>
            <w:tcBorders>
              <w:top w:val="nil"/>
              <w:left w:val="nil"/>
              <w:bottom w:val="single" w:color="auto" w:sz="4" w:space="0"/>
              <w:right w:val="single" w:color="auto" w:sz="4" w:space="0"/>
            </w:tcBorders>
            <w:shd w:val="clear"/>
            <w:vAlign w:val="center"/>
          </w:tcPr>
          <w:p w14:paraId="5B23C8ED">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c>
          <w:tcPr>
            <w:tcW w:w="833" w:type="dxa"/>
            <w:tcBorders>
              <w:top w:val="nil"/>
              <w:left w:val="nil"/>
              <w:bottom w:val="single" w:color="auto" w:sz="4" w:space="0"/>
              <w:right w:val="single" w:color="auto" w:sz="4" w:space="0"/>
            </w:tcBorders>
            <w:shd w:val="clear"/>
            <w:vAlign w:val="center"/>
          </w:tcPr>
          <w:p w14:paraId="274011E0">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c>
          <w:tcPr>
            <w:tcW w:w="1312" w:type="dxa"/>
            <w:tcBorders>
              <w:top w:val="nil"/>
              <w:left w:val="nil"/>
              <w:bottom w:val="single" w:color="auto" w:sz="4" w:space="0"/>
              <w:right w:val="single" w:color="auto" w:sz="4" w:space="0"/>
            </w:tcBorders>
            <w:shd w:val="clear"/>
            <w:vAlign w:val="center"/>
          </w:tcPr>
          <w:p w14:paraId="27CE55BD">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r w14:paraId="7DE2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rPr>
        <w:tc>
          <w:tcPr>
            <w:tcW w:w="931" w:type="dxa"/>
            <w:vMerge w:val="restart"/>
            <w:tcBorders>
              <w:top w:val="nil"/>
              <w:left w:val="single" w:color="auto" w:sz="4" w:space="0"/>
              <w:bottom w:val="single" w:color="auto" w:sz="4" w:space="0"/>
              <w:right w:val="single" w:color="auto" w:sz="4" w:space="0"/>
            </w:tcBorders>
            <w:shd w:val="clear"/>
            <w:vAlign w:val="center"/>
          </w:tcPr>
          <w:p w14:paraId="68AE176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年度总体目标</w:t>
            </w:r>
          </w:p>
        </w:tc>
        <w:tc>
          <w:tcPr>
            <w:tcW w:w="4081" w:type="dxa"/>
            <w:gridSpan w:val="4"/>
            <w:tcBorders>
              <w:top w:val="single" w:color="auto" w:sz="4" w:space="0"/>
              <w:left w:val="nil"/>
              <w:bottom w:val="single" w:color="auto" w:sz="4" w:space="0"/>
              <w:right w:val="single" w:color="000000" w:sz="4" w:space="0"/>
            </w:tcBorders>
            <w:shd w:val="clear"/>
            <w:vAlign w:val="center"/>
          </w:tcPr>
          <w:p w14:paraId="7E07A83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预期目标</w:t>
            </w:r>
          </w:p>
        </w:tc>
        <w:tc>
          <w:tcPr>
            <w:tcW w:w="4101" w:type="dxa"/>
            <w:gridSpan w:val="4"/>
            <w:tcBorders>
              <w:top w:val="single" w:color="auto" w:sz="4" w:space="0"/>
              <w:left w:val="nil"/>
              <w:bottom w:val="single" w:color="auto" w:sz="4" w:space="0"/>
              <w:right w:val="single" w:color="auto" w:sz="4" w:space="0"/>
            </w:tcBorders>
            <w:shd w:val="clear"/>
            <w:vAlign w:val="center"/>
          </w:tcPr>
          <w:p w14:paraId="0004B39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实际完成情况</w:t>
            </w:r>
          </w:p>
        </w:tc>
      </w:tr>
      <w:tr w14:paraId="3806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6" w:hRule="atLeast"/>
        </w:trPr>
        <w:tc>
          <w:tcPr>
            <w:tcW w:w="931" w:type="dxa"/>
            <w:vMerge w:val="continue"/>
            <w:tcBorders>
              <w:top w:val="nil"/>
              <w:left w:val="single" w:color="auto" w:sz="4" w:space="0"/>
              <w:bottom w:val="single" w:color="auto" w:sz="4" w:space="0"/>
              <w:right w:val="single" w:color="auto" w:sz="4" w:space="0"/>
            </w:tcBorders>
            <w:shd w:val="clear"/>
            <w:vAlign w:val="center"/>
          </w:tcPr>
          <w:p w14:paraId="0F99F7B1">
            <w:pPr>
              <w:rPr>
                <w:rFonts w:hint="default" w:ascii="Times New Roman" w:hAnsi="Times New Roman" w:cs="Times New Roman"/>
                <w:sz w:val="20"/>
                <w:szCs w:val="20"/>
              </w:rPr>
            </w:pPr>
          </w:p>
        </w:tc>
        <w:tc>
          <w:tcPr>
            <w:tcW w:w="4081" w:type="dxa"/>
            <w:gridSpan w:val="4"/>
            <w:tcBorders>
              <w:top w:val="single" w:color="auto" w:sz="4" w:space="0"/>
              <w:left w:val="nil"/>
              <w:bottom w:val="single" w:color="auto" w:sz="4" w:space="0"/>
              <w:right w:val="single" w:color="000000" w:sz="4" w:space="0"/>
            </w:tcBorders>
            <w:shd w:val="clear"/>
            <w:vAlign w:val="center"/>
          </w:tcPr>
          <w:p w14:paraId="1CA9D284">
            <w:pPr>
              <w:pStyle w:val="9"/>
              <w:widowControl/>
              <w:spacing w:before="0" w:beforeAutospacing="0" w:after="0" w:afterAutospacing="0" w:line="300" w:lineRule="exact"/>
              <w:ind w:left="0" w:leftChars="0" w:right="0" w:firstLine="0" w:firstLineChars="0"/>
              <w:jc w:val="left"/>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w:t>
            </w:r>
          </w:p>
          <w:p w14:paraId="076EA880">
            <w:pPr>
              <w:pStyle w:val="9"/>
              <w:widowControl/>
              <w:spacing w:before="0" w:beforeAutospacing="0" w:after="0" w:afterAutospacing="0" w:line="300" w:lineRule="exact"/>
              <w:ind w:left="0" w:leftChars="0" w:right="0" w:firstLine="0" w:firstLineChars="0"/>
              <w:jc w:val="left"/>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1.</w:t>
            </w:r>
            <w:r>
              <w:rPr>
                <w:rFonts w:hint="eastAsia" w:ascii="宋体" w:hAnsi="宋体" w:eastAsia="宋体" w:cs="宋体"/>
                <w:szCs w:val="20"/>
                <w:bdr w:val="none" w:color="auto" w:sz="0" w:space="0"/>
              </w:rPr>
              <w:t>完成湘江大讲堂专通视频系统运维项目。</w:t>
            </w:r>
          </w:p>
          <w:p w14:paraId="2E1273B1">
            <w:pPr>
              <w:pStyle w:val="9"/>
              <w:widowControl/>
              <w:spacing w:before="0" w:beforeAutospacing="0" w:after="0" w:afterAutospacing="0" w:line="300" w:lineRule="exact"/>
              <w:ind w:left="0" w:leftChars="0" w:right="0" w:firstLine="0" w:firstLineChars="0"/>
              <w:jc w:val="left"/>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2.</w:t>
            </w:r>
            <w:r>
              <w:rPr>
                <w:rFonts w:hint="eastAsia" w:ascii="宋体" w:hAnsi="宋体" w:eastAsia="宋体" w:cs="宋体"/>
                <w:szCs w:val="20"/>
                <w:bdr w:val="none" w:color="auto" w:sz="0" w:space="0"/>
              </w:rPr>
              <w:t>支付韶山干部学院改扩建项目尾款。</w:t>
            </w:r>
          </w:p>
          <w:p w14:paraId="027E563C">
            <w:pPr>
              <w:pStyle w:val="9"/>
              <w:widowControl/>
              <w:spacing w:before="0" w:beforeAutospacing="0" w:after="0" w:afterAutospacing="0" w:line="300" w:lineRule="exact"/>
              <w:ind w:left="0" w:leftChars="0" w:right="0" w:firstLine="0" w:firstLineChars="0"/>
              <w:jc w:val="left"/>
              <w:rPr>
                <w:rFonts w:hint="eastAsia" w:ascii="宋体" w:hAnsi="宋体" w:eastAsia="宋体" w:cs="宋体"/>
                <w:spacing w:val="6"/>
                <w:szCs w:val="20"/>
                <w:bdr w:val="none" w:color="auto" w:sz="0" w:space="0"/>
                <w:lang w:val="en-US"/>
              </w:rPr>
            </w:pPr>
            <w:r>
              <w:rPr>
                <w:rFonts w:hint="eastAsia" w:ascii="宋体" w:hAnsi="宋体" w:eastAsia="宋体" w:cs="宋体"/>
                <w:szCs w:val="20"/>
                <w:bdr w:val="none" w:color="auto" w:sz="0" w:space="0"/>
                <w:lang w:val="en-US"/>
              </w:rPr>
              <w:t xml:space="preserve">  3.</w:t>
            </w:r>
            <w:r>
              <w:rPr>
                <w:rFonts w:hint="eastAsia" w:ascii="宋体" w:hAnsi="宋体" w:eastAsia="宋体" w:cs="宋体"/>
                <w:spacing w:val="6"/>
                <w:szCs w:val="20"/>
                <w:bdr w:val="none" w:color="auto" w:sz="0" w:space="0"/>
              </w:rPr>
              <w:t>做好信息化整体升级改造项目的运行维护。</w:t>
            </w:r>
          </w:p>
          <w:p w14:paraId="11227499">
            <w:pPr>
              <w:pStyle w:val="9"/>
              <w:widowControl/>
              <w:spacing w:before="0" w:beforeAutospacing="0" w:after="0" w:afterAutospacing="0" w:line="300" w:lineRule="exact"/>
              <w:ind w:left="0" w:leftChars="0" w:right="0" w:firstLine="0" w:firstLineChars="0"/>
              <w:jc w:val="left"/>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4</w:t>
            </w:r>
            <w:r>
              <w:rPr>
                <w:rFonts w:hint="eastAsia" w:ascii="宋体" w:hAnsi="宋体" w:eastAsia="宋体" w:cs="宋体"/>
                <w:szCs w:val="20"/>
                <w:bdr w:val="none" w:color="auto" w:sz="0" w:space="0"/>
              </w:rPr>
              <w:t>完成主体班办学。</w:t>
            </w:r>
          </w:p>
          <w:p w14:paraId="091E5B14">
            <w:pPr>
              <w:pStyle w:val="9"/>
              <w:widowControl/>
              <w:spacing w:before="0" w:beforeAutospacing="0" w:after="0" w:afterAutospacing="0" w:line="300" w:lineRule="exact"/>
              <w:ind w:left="0" w:leftChars="0" w:right="0" w:firstLine="0" w:firstLineChars="0"/>
              <w:jc w:val="left"/>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5.</w:t>
            </w:r>
            <w:r>
              <w:rPr>
                <w:rFonts w:hint="eastAsia" w:ascii="宋体" w:hAnsi="宋体" w:eastAsia="宋体" w:cs="宋体"/>
                <w:szCs w:val="20"/>
                <w:bdr w:val="none" w:color="auto" w:sz="0" w:space="0"/>
              </w:rPr>
              <w:t>完成</w:t>
            </w:r>
            <w:r>
              <w:rPr>
                <w:rFonts w:hint="eastAsia" w:ascii="宋体" w:hAnsi="宋体" w:eastAsia="宋体" w:cs="宋体"/>
                <w:szCs w:val="20"/>
                <w:bdr w:val="none" w:color="auto" w:sz="0" w:space="0"/>
                <w:lang w:val="en-US"/>
              </w:rPr>
              <w:t>1</w:t>
            </w:r>
            <w:r>
              <w:rPr>
                <w:rFonts w:hint="eastAsia" w:ascii="宋体" w:hAnsi="宋体" w:eastAsia="宋体" w:cs="宋体"/>
                <w:szCs w:val="20"/>
                <w:bdr w:val="none" w:color="auto" w:sz="0" w:space="0"/>
              </w:rPr>
              <w:t>辆公车购置。</w:t>
            </w:r>
          </w:p>
          <w:p w14:paraId="1FA0B273">
            <w:pPr>
              <w:pStyle w:val="9"/>
              <w:widowControl/>
              <w:spacing w:before="0" w:beforeAutospacing="0" w:after="0" w:afterAutospacing="0" w:line="300" w:lineRule="exact"/>
              <w:ind w:left="0" w:leftChars="0" w:right="0" w:firstLine="0" w:firstLineChars="0"/>
              <w:jc w:val="left"/>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6.</w:t>
            </w:r>
            <w:r>
              <w:rPr>
                <w:rFonts w:hint="eastAsia" w:ascii="宋体" w:hAnsi="宋体" w:eastAsia="宋体" w:cs="宋体"/>
                <w:szCs w:val="20"/>
                <w:bdr w:val="none" w:color="auto" w:sz="0" w:space="0"/>
              </w:rPr>
              <w:t>按合同完成大礼堂座椅购置经费</w:t>
            </w:r>
            <w:r>
              <w:rPr>
                <w:rFonts w:hint="eastAsia" w:ascii="宋体" w:hAnsi="宋体" w:eastAsia="宋体" w:cs="宋体"/>
                <w:szCs w:val="20"/>
                <w:bdr w:val="none" w:color="auto" w:sz="0" w:space="0"/>
                <w:lang w:val="en-US"/>
              </w:rPr>
              <w:t>(2023</w:t>
            </w:r>
            <w:r>
              <w:rPr>
                <w:rFonts w:hint="eastAsia" w:ascii="宋体" w:hAnsi="宋体" w:eastAsia="宋体" w:cs="宋体"/>
                <w:szCs w:val="20"/>
                <w:bdr w:val="none" w:color="auto" w:sz="0" w:space="0"/>
              </w:rPr>
              <w:t>结转</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的支付。</w:t>
            </w:r>
          </w:p>
          <w:p w14:paraId="07D6C207">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p w14:paraId="2D1E33E7">
            <w:pPr>
              <w:pStyle w:val="9"/>
              <w:widowControl/>
              <w:spacing w:before="0" w:beforeAutospacing="0" w:after="0" w:afterAutospacing="0" w:line="300" w:lineRule="exact"/>
              <w:ind w:left="0" w:leftChars="0" w:right="0" w:firstLine="360" w:firstLineChars="18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c>
          <w:tcPr>
            <w:tcW w:w="4101" w:type="dxa"/>
            <w:gridSpan w:val="4"/>
            <w:tcBorders>
              <w:top w:val="single" w:color="auto" w:sz="4" w:space="0"/>
              <w:left w:val="nil"/>
              <w:bottom w:val="single" w:color="auto" w:sz="4" w:space="0"/>
              <w:right w:val="single" w:color="auto" w:sz="4" w:space="0"/>
            </w:tcBorders>
            <w:shd w:val="clear"/>
            <w:vAlign w:val="top"/>
          </w:tcPr>
          <w:p w14:paraId="5945B94B">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p w14:paraId="0C94AF2B">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1.</w:t>
            </w:r>
            <w:r>
              <w:rPr>
                <w:rFonts w:hint="eastAsia" w:ascii="宋体" w:hAnsi="宋体" w:eastAsia="宋体" w:cs="宋体"/>
                <w:szCs w:val="20"/>
                <w:bdr w:val="none" w:color="auto" w:sz="0" w:space="0"/>
              </w:rPr>
              <w:t>完成了湘江大讲堂专通视频系统运维，承办湘江大讲堂</w:t>
            </w:r>
            <w:r>
              <w:rPr>
                <w:rFonts w:hint="eastAsia" w:ascii="宋体" w:hAnsi="宋体" w:eastAsia="宋体" w:cs="宋体"/>
                <w:szCs w:val="20"/>
                <w:bdr w:val="none" w:color="auto" w:sz="0" w:space="0"/>
                <w:lang w:val="en-US"/>
              </w:rPr>
              <w:t>14</w:t>
            </w:r>
            <w:r>
              <w:rPr>
                <w:rFonts w:hint="eastAsia" w:ascii="宋体" w:hAnsi="宋体" w:eastAsia="宋体" w:cs="宋体"/>
                <w:szCs w:val="20"/>
                <w:bdr w:val="none" w:color="auto" w:sz="0" w:space="0"/>
              </w:rPr>
              <w:t>期，参训人员约</w:t>
            </w:r>
            <w:r>
              <w:rPr>
                <w:rFonts w:hint="eastAsia" w:ascii="宋体" w:hAnsi="宋体" w:eastAsia="宋体" w:cs="宋体"/>
                <w:szCs w:val="20"/>
                <w:bdr w:val="none" w:color="auto" w:sz="0" w:space="0"/>
                <w:lang w:val="en-US"/>
              </w:rPr>
              <w:t>14000</w:t>
            </w:r>
            <w:r>
              <w:rPr>
                <w:rFonts w:hint="eastAsia" w:ascii="宋体" w:hAnsi="宋体" w:eastAsia="宋体" w:cs="宋体"/>
                <w:szCs w:val="20"/>
                <w:bdr w:val="none" w:color="auto" w:sz="0" w:space="0"/>
              </w:rPr>
              <w:t>余人次，参训人员反映良好。</w:t>
            </w:r>
          </w:p>
          <w:p w14:paraId="1E41DF13">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2.</w:t>
            </w:r>
            <w:r>
              <w:rPr>
                <w:rFonts w:hint="eastAsia" w:ascii="宋体" w:hAnsi="宋体" w:eastAsia="宋体" w:cs="宋体"/>
                <w:szCs w:val="20"/>
                <w:bdr w:val="none" w:color="auto" w:sz="0" w:space="0"/>
              </w:rPr>
              <w:t>韶山干部学院结余</w:t>
            </w:r>
            <w:r>
              <w:rPr>
                <w:rFonts w:hint="eastAsia" w:ascii="宋体" w:hAnsi="宋体" w:eastAsia="宋体" w:cs="宋体"/>
                <w:szCs w:val="20"/>
                <w:bdr w:val="none" w:color="auto" w:sz="0" w:space="0"/>
                <w:lang w:val="en-US"/>
              </w:rPr>
              <w:t>68.75</w:t>
            </w:r>
            <w:r>
              <w:rPr>
                <w:rFonts w:hint="eastAsia" w:ascii="宋体" w:hAnsi="宋体" w:eastAsia="宋体" w:cs="宋体"/>
                <w:szCs w:val="20"/>
                <w:bdr w:val="none" w:color="auto" w:sz="0" w:space="0"/>
              </w:rPr>
              <w:t>万元，当年结余资金，</w:t>
            </w:r>
            <w:r>
              <w:rPr>
                <w:rFonts w:hint="eastAsia" w:ascii="宋体" w:hAnsi="宋体" w:eastAsia="宋体" w:cs="宋体"/>
                <w:szCs w:val="20"/>
                <w:bdr w:val="none" w:color="auto" w:sz="0" w:space="0"/>
                <w:lang w:val="en-US"/>
              </w:rPr>
              <w:t>2025</w:t>
            </w:r>
            <w:r>
              <w:rPr>
                <w:rFonts w:hint="eastAsia" w:ascii="宋体" w:hAnsi="宋体" w:eastAsia="宋体" w:cs="宋体"/>
                <w:szCs w:val="20"/>
                <w:bdr w:val="none" w:color="auto" w:sz="0" w:space="0"/>
              </w:rPr>
              <w:t>年继续使用。</w:t>
            </w:r>
          </w:p>
          <w:p w14:paraId="166611F2">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3.</w:t>
            </w:r>
            <w:r>
              <w:rPr>
                <w:rFonts w:hint="eastAsia" w:ascii="宋体" w:hAnsi="宋体" w:eastAsia="宋体" w:cs="宋体"/>
                <w:szCs w:val="20"/>
                <w:bdr w:val="none" w:color="auto" w:sz="0" w:space="0"/>
              </w:rPr>
              <w:t>完成了</w:t>
            </w:r>
            <w:r>
              <w:rPr>
                <w:rFonts w:hint="eastAsia" w:ascii="宋体" w:hAnsi="宋体" w:eastAsia="宋体" w:cs="宋体"/>
                <w:szCs w:val="20"/>
                <w:bdr w:val="none" w:color="auto" w:sz="0" w:space="0"/>
                <w:lang w:val="en-US"/>
              </w:rPr>
              <w:t>12</w:t>
            </w:r>
            <w:r>
              <w:rPr>
                <w:rFonts w:hint="eastAsia" w:ascii="宋体" w:hAnsi="宋体" w:eastAsia="宋体" w:cs="宋体"/>
                <w:szCs w:val="20"/>
                <w:bdr w:val="none" w:color="auto" w:sz="0" w:space="0"/>
              </w:rPr>
              <w:t>个软件系统和</w:t>
            </w:r>
            <w:r>
              <w:rPr>
                <w:rFonts w:hint="eastAsia" w:ascii="宋体" w:hAnsi="宋体" w:eastAsia="宋体" w:cs="宋体"/>
                <w:szCs w:val="20"/>
                <w:bdr w:val="none" w:color="auto" w:sz="0" w:space="0"/>
                <w:lang w:val="en-US"/>
              </w:rPr>
              <w:t>2</w:t>
            </w:r>
            <w:r>
              <w:rPr>
                <w:rFonts w:hint="eastAsia" w:ascii="宋体" w:hAnsi="宋体" w:eastAsia="宋体" w:cs="宋体"/>
                <w:szCs w:val="20"/>
                <w:bdr w:val="none" w:color="auto" w:sz="0" w:space="0"/>
              </w:rPr>
              <w:t>类硬件的运维工作，信息系统运行稳定。</w:t>
            </w:r>
          </w:p>
          <w:p w14:paraId="08F64995">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4 .</w:t>
            </w:r>
            <w:r>
              <w:rPr>
                <w:rFonts w:hint="eastAsia" w:ascii="宋体" w:hAnsi="宋体" w:eastAsia="宋体" w:cs="宋体"/>
                <w:szCs w:val="20"/>
                <w:bdr w:val="none" w:color="auto" w:sz="0" w:space="0"/>
              </w:rPr>
              <w:t>按照省委部署，举办基本培训班</w:t>
            </w:r>
            <w:r>
              <w:rPr>
                <w:rFonts w:hint="eastAsia" w:ascii="宋体" w:hAnsi="宋体" w:eastAsia="宋体" w:cs="宋体"/>
                <w:szCs w:val="20"/>
                <w:bdr w:val="none" w:color="auto" w:sz="0" w:space="0"/>
                <w:lang w:val="en-US"/>
              </w:rPr>
              <w:t>75</w:t>
            </w:r>
            <w:r>
              <w:rPr>
                <w:rFonts w:hint="eastAsia" w:ascii="宋体" w:hAnsi="宋体" w:eastAsia="宋体" w:cs="宋体"/>
                <w:szCs w:val="20"/>
                <w:bdr w:val="none" w:color="auto" w:sz="0" w:space="0"/>
              </w:rPr>
              <w:t>个，培训学员</w:t>
            </w:r>
            <w:r>
              <w:rPr>
                <w:rFonts w:hint="eastAsia" w:ascii="宋体" w:hAnsi="宋体" w:eastAsia="宋体" w:cs="宋体"/>
                <w:szCs w:val="20"/>
                <w:bdr w:val="none" w:color="auto" w:sz="0" w:space="0"/>
                <w:lang w:val="en-US"/>
              </w:rPr>
              <w:t>6208</w:t>
            </w:r>
            <w:r>
              <w:rPr>
                <w:rFonts w:hint="eastAsia" w:ascii="宋体" w:hAnsi="宋体" w:eastAsia="宋体" w:cs="宋体"/>
                <w:szCs w:val="20"/>
                <w:bdr w:val="none" w:color="auto" w:sz="0" w:space="0"/>
              </w:rPr>
              <w:t>人次。</w:t>
            </w:r>
          </w:p>
          <w:p w14:paraId="5A5707B9">
            <w:pPr>
              <w:pStyle w:val="9"/>
              <w:widowControl/>
              <w:spacing w:before="0" w:beforeAutospacing="0" w:after="0" w:afterAutospacing="0" w:line="300" w:lineRule="exact"/>
              <w:ind w:left="0" w:leftChars="0" w:right="0" w:firstLine="200" w:firstLineChars="10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r>
              <w:rPr>
                <w:rFonts w:hint="eastAsia" w:ascii="宋体" w:hAnsi="宋体" w:eastAsia="宋体" w:cs="宋体"/>
                <w:szCs w:val="20"/>
                <w:bdr w:val="none" w:color="auto" w:sz="0" w:space="0"/>
              </w:rPr>
              <w:t>因政策限制取消公务用车购置计划，公务用车购置费为</w:t>
            </w:r>
            <w:r>
              <w:rPr>
                <w:rFonts w:hint="eastAsia" w:ascii="宋体" w:hAnsi="宋体" w:eastAsia="宋体" w:cs="宋体"/>
                <w:szCs w:val="20"/>
                <w:bdr w:val="none" w:color="auto" w:sz="0" w:space="0"/>
                <w:lang w:val="en-US"/>
              </w:rPr>
              <w:t>0.00</w:t>
            </w:r>
            <w:r>
              <w:rPr>
                <w:rFonts w:hint="eastAsia" w:ascii="宋体" w:hAnsi="宋体" w:eastAsia="宋体" w:cs="宋体"/>
                <w:szCs w:val="20"/>
                <w:bdr w:val="none" w:color="auto" w:sz="0" w:space="0"/>
              </w:rPr>
              <w:t>万元</w:t>
            </w:r>
          </w:p>
          <w:p w14:paraId="7C8373E9">
            <w:pPr>
              <w:pStyle w:val="9"/>
              <w:widowControl/>
              <w:spacing w:before="0" w:beforeAutospacing="0" w:after="0" w:afterAutospacing="0" w:line="300" w:lineRule="exact"/>
              <w:ind w:left="0" w:leftChars="0" w:right="0" w:firstLine="0" w:firstLineChars="0"/>
              <w:rPr>
                <w:bdr w:val="none" w:color="auto" w:sz="0" w:space="0"/>
                <w:lang w:val="en-US"/>
              </w:rPr>
            </w:pPr>
            <w:r>
              <w:rPr>
                <w:rFonts w:hint="eastAsia" w:ascii="宋体" w:hAnsi="宋体" w:eastAsia="宋体" w:cs="宋体"/>
                <w:szCs w:val="20"/>
                <w:bdr w:val="none" w:color="auto" w:sz="0" w:space="0"/>
                <w:lang w:val="en-US"/>
              </w:rPr>
              <w:t xml:space="preserve">  6.</w:t>
            </w:r>
            <w:r>
              <w:rPr>
                <w:rFonts w:hint="eastAsia" w:ascii="宋体" w:hAnsi="宋体" w:eastAsia="宋体" w:cs="宋体"/>
                <w:szCs w:val="20"/>
                <w:bdr w:val="none" w:color="auto" w:sz="0" w:space="0"/>
              </w:rPr>
              <w:t>大礼堂座椅购置经费</w:t>
            </w:r>
            <w:r>
              <w:rPr>
                <w:rFonts w:hint="eastAsia" w:ascii="宋体" w:hAnsi="宋体" w:eastAsia="宋体" w:cs="宋体"/>
                <w:szCs w:val="20"/>
                <w:bdr w:val="none" w:color="auto" w:sz="0" w:space="0"/>
                <w:lang w:val="en-US"/>
              </w:rPr>
              <w:t>(2023</w:t>
            </w:r>
            <w:r>
              <w:rPr>
                <w:rFonts w:hint="eastAsia" w:ascii="宋体" w:hAnsi="宋体" w:eastAsia="宋体" w:cs="宋体"/>
                <w:szCs w:val="20"/>
                <w:bdr w:val="none" w:color="auto" w:sz="0" w:space="0"/>
              </w:rPr>
              <w:t>结转</w:t>
            </w:r>
            <w:r>
              <w:rPr>
                <w:rFonts w:hint="eastAsia" w:ascii="宋体" w:hAnsi="宋体" w:eastAsia="宋体" w:cs="宋体"/>
                <w:szCs w:val="20"/>
                <w:bdr w:val="none" w:color="auto" w:sz="0" w:space="0"/>
                <w:lang w:val="en-US"/>
              </w:rPr>
              <w:t>)</w:t>
            </w:r>
            <w:r>
              <w:rPr>
                <w:rFonts w:hint="eastAsia" w:ascii="宋体" w:hAnsi="宋体" w:eastAsia="宋体" w:cs="宋体"/>
                <w:szCs w:val="20"/>
                <w:bdr w:val="none" w:color="auto" w:sz="0" w:space="0"/>
              </w:rPr>
              <w:t>已经按照合同支付完毕。</w:t>
            </w:r>
          </w:p>
        </w:tc>
      </w:tr>
      <w:tr w14:paraId="2C02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1" w:hRule="atLeast"/>
        </w:trPr>
        <w:tc>
          <w:tcPr>
            <w:tcW w:w="931" w:type="dxa"/>
            <w:vMerge w:val="restart"/>
            <w:tcBorders>
              <w:top w:val="single" w:color="auto" w:sz="4" w:space="0"/>
              <w:left w:val="single" w:color="auto" w:sz="4" w:space="0"/>
              <w:bottom w:val="single" w:color="auto" w:sz="4" w:space="0"/>
              <w:right w:val="single" w:color="auto" w:sz="4" w:space="0"/>
            </w:tcBorders>
            <w:shd w:val="clear"/>
            <w:vAlign w:val="center"/>
          </w:tcPr>
          <w:p w14:paraId="7123E7A7">
            <w:pPr>
              <w:pStyle w:val="9"/>
              <w:widowControl/>
              <w:spacing w:before="0" w:beforeAutospacing="0" w:after="120" w:afterAutospacing="0" w:line="300" w:lineRule="exact"/>
              <w:ind w:left="420" w:leftChars="200" w:right="0" w:firstLine="400"/>
              <w:jc w:val="center"/>
              <w:rPr>
                <w:bdr w:val="none" w:color="auto" w:sz="0" w:space="0"/>
                <w:lang w:val="en-US"/>
              </w:rPr>
            </w:pPr>
          </w:p>
          <w:p w14:paraId="302AA6A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绩</w:t>
            </w:r>
          </w:p>
          <w:p w14:paraId="446E016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效</w:t>
            </w:r>
          </w:p>
          <w:p w14:paraId="4ED6E773">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w:t>
            </w:r>
          </w:p>
          <w:p w14:paraId="5398924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标</w:t>
            </w:r>
          </w:p>
        </w:tc>
        <w:tc>
          <w:tcPr>
            <w:tcW w:w="1099" w:type="dxa"/>
            <w:tcBorders>
              <w:top w:val="single" w:color="auto" w:sz="4" w:space="0"/>
              <w:left w:val="single" w:color="auto" w:sz="4" w:space="0"/>
              <w:bottom w:val="single" w:color="auto" w:sz="4" w:space="0"/>
              <w:right w:val="single" w:color="auto" w:sz="4" w:space="0"/>
            </w:tcBorders>
            <w:shd w:val="clear"/>
            <w:vAlign w:val="center"/>
          </w:tcPr>
          <w:p w14:paraId="51A08DE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一级</w:t>
            </w:r>
          </w:p>
          <w:p w14:paraId="41E0469B">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tc>
        <w:tc>
          <w:tcPr>
            <w:tcW w:w="585" w:type="dxa"/>
            <w:tcBorders>
              <w:top w:val="single" w:color="auto" w:sz="4" w:space="0"/>
              <w:left w:val="single" w:color="auto" w:sz="4" w:space="0"/>
              <w:bottom w:val="single" w:color="auto" w:sz="4" w:space="0"/>
              <w:right w:val="single" w:color="auto" w:sz="4" w:space="0"/>
            </w:tcBorders>
            <w:shd w:val="clear"/>
            <w:vAlign w:val="center"/>
          </w:tcPr>
          <w:p w14:paraId="50CAC4C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二级指标</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6EFD8F5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三级指标</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2985B06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年度</w:t>
            </w:r>
          </w:p>
          <w:p w14:paraId="73DAE053">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指标值</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1BE81B3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实际</w:t>
            </w:r>
          </w:p>
          <w:p w14:paraId="5CCB45D8">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完成值</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3B88E4B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分值</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0D484DB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得分</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6400ECB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偏差原因</w:t>
            </w:r>
          </w:p>
          <w:p w14:paraId="453A902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分析及</w:t>
            </w:r>
          </w:p>
          <w:p w14:paraId="4A9DE2E8">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改进措施</w:t>
            </w:r>
          </w:p>
        </w:tc>
      </w:tr>
      <w:tr w14:paraId="346A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3" w:hRule="atLeas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3920A349">
            <w:pPr>
              <w:rPr>
                <w:rFonts w:hint="default" w:ascii="Times New Roman" w:hAnsi="Times New Roman" w:cs="Times New Roman"/>
                <w:sz w:val="20"/>
                <w:szCs w:val="20"/>
              </w:rPr>
            </w:pPr>
          </w:p>
        </w:tc>
        <w:tc>
          <w:tcPr>
            <w:tcW w:w="1099" w:type="dxa"/>
            <w:vMerge w:val="restart"/>
            <w:tcBorders>
              <w:top w:val="single" w:color="auto" w:sz="4" w:space="0"/>
              <w:left w:val="single" w:color="auto" w:sz="4" w:space="0"/>
              <w:bottom w:val="single" w:color="auto" w:sz="4" w:space="0"/>
              <w:right w:val="single" w:color="auto" w:sz="4" w:space="0"/>
            </w:tcBorders>
            <w:shd w:val="clear"/>
            <w:vAlign w:val="center"/>
          </w:tcPr>
          <w:p w14:paraId="2A5E6A6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产出</w:t>
            </w:r>
          </w:p>
          <w:p w14:paraId="7235D39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p w14:paraId="7E3B6A9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(50</w:t>
            </w:r>
            <w:r>
              <w:rPr>
                <w:rFonts w:hint="eastAsia" w:ascii="宋体" w:hAnsi="宋体" w:eastAsia="宋体" w:cs="宋体"/>
                <w:szCs w:val="20"/>
                <w:bdr w:val="none" w:color="auto" w:sz="0" w:space="0"/>
              </w:rPr>
              <w:t>分</w:t>
            </w:r>
            <w:r>
              <w:rPr>
                <w:rFonts w:hint="eastAsia" w:ascii="宋体" w:hAnsi="宋体" w:eastAsia="宋体" w:cs="宋体"/>
                <w:szCs w:val="20"/>
                <w:bdr w:val="none" w:color="auto" w:sz="0" w:space="0"/>
                <w:lang w:val="en-US"/>
              </w:rPr>
              <w:t>)</w:t>
            </w:r>
          </w:p>
        </w:tc>
        <w:tc>
          <w:tcPr>
            <w:tcW w:w="585" w:type="dxa"/>
            <w:vMerge w:val="restart"/>
            <w:tcBorders>
              <w:top w:val="single" w:color="auto" w:sz="4" w:space="0"/>
              <w:left w:val="single" w:color="auto" w:sz="4" w:space="0"/>
              <w:bottom w:val="single" w:color="auto" w:sz="4" w:space="0"/>
              <w:right w:val="single" w:color="auto" w:sz="4" w:space="0"/>
            </w:tcBorders>
            <w:shd w:val="clear"/>
            <w:vAlign w:val="center"/>
          </w:tcPr>
          <w:p w14:paraId="61B87FA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数量指标</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002CC670">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湘江大讲堂专通系统运维情况</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26E47E0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运转优良率</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70F5841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100%</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39FC869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8</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172881C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8</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671C9EA4">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tc>
      </w:tr>
      <w:tr w14:paraId="01F4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9" w:hRule="atLeas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2372E163">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658AEF4C">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584352DF">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66EFDC13">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基本培训班次</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28B00837">
            <w:pPr>
              <w:pStyle w:val="9"/>
              <w:widowControl/>
              <w:spacing w:before="0" w:beforeAutospacing="0" w:after="0" w:afterAutospacing="0" w:line="300" w:lineRule="exact"/>
              <w:ind w:left="0" w:leftChars="0" w:right="0" w:firstLine="200" w:firstLineChars="10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70</w:t>
            </w:r>
            <w:r>
              <w:rPr>
                <w:rFonts w:hint="eastAsia" w:ascii="宋体" w:hAnsi="宋体" w:eastAsia="宋体" w:cs="宋体"/>
                <w:szCs w:val="20"/>
                <w:bdr w:val="none" w:color="auto" w:sz="0" w:space="0"/>
              </w:rPr>
              <w:t>个</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2835A4F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75</w:t>
            </w:r>
            <w:r>
              <w:rPr>
                <w:rFonts w:hint="eastAsia" w:ascii="宋体" w:hAnsi="宋体" w:eastAsia="宋体" w:cs="宋体"/>
                <w:szCs w:val="20"/>
                <w:bdr w:val="none" w:color="auto" w:sz="0" w:space="0"/>
              </w:rPr>
              <w:t>个</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3D3B6718">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6C88660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4FB391E3">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tc>
      </w:tr>
      <w:tr w14:paraId="2AF4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6F30CC8C">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4F1F8CC8">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61A91DC5">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5081AAED">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软件运维数量</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1A9CC86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12</w:t>
            </w:r>
            <w:r>
              <w:rPr>
                <w:rFonts w:hint="eastAsia" w:ascii="宋体" w:hAnsi="宋体" w:eastAsia="宋体" w:cs="宋体"/>
                <w:szCs w:val="20"/>
                <w:bdr w:val="none" w:color="auto" w:sz="0" w:space="0"/>
              </w:rPr>
              <w:t>个</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0E2BDB2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12</w:t>
            </w:r>
            <w:r>
              <w:rPr>
                <w:rFonts w:hint="eastAsia" w:ascii="宋体" w:hAnsi="宋体" w:eastAsia="宋体" w:cs="宋体"/>
                <w:szCs w:val="20"/>
                <w:bdr w:val="none" w:color="auto" w:sz="0" w:space="0"/>
              </w:rPr>
              <w:t>个</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3703593B">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55377AC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7C3BF4DC">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tc>
      </w:tr>
      <w:tr w14:paraId="29C2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797BA61F">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1BA578B1">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59A57DB6">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5F760CD0">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大礼堂桌椅按合约支付情况</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43298D9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支付率</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2571185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100%</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5E393C3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4ECD139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63368344">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tc>
      </w:tr>
      <w:tr w14:paraId="1EA0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1" w:hRule="exact"/>
        </w:trPr>
        <w:tc>
          <w:tcPr>
            <w:tcW w:w="931" w:type="dxa"/>
            <w:vMerge w:val="restart"/>
            <w:tcBorders>
              <w:top w:val="single" w:color="auto" w:sz="4" w:space="0"/>
              <w:left w:val="single" w:color="auto" w:sz="4" w:space="0"/>
              <w:bottom w:val="single" w:color="auto" w:sz="4" w:space="0"/>
              <w:right w:val="single" w:color="auto" w:sz="4" w:space="0"/>
            </w:tcBorders>
            <w:shd w:val="clear"/>
            <w:vAlign w:val="center"/>
          </w:tcPr>
          <w:p w14:paraId="6F65192A">
            <w:pPr>
              <w:pStyle w:val="9"/>
              <w:widowControl/>
              <w:spacing w:before="0" w:beforeAutospacing="0" w:after="120" w:afterAutospacing="0" w:line="300" w:lineRule="exact"/>
              <w:ind w:left="420" w:leftChars="200" w:right="0" w:firstLine="400"/>
              <w:jc w:val="center"/>
              <w:rPr>
                <w:bdr w:val="none" w:color="auto" w:sz="0" w:space="0"/>
                <w:lang w:val="en-US"/>
              </w:rPr>
            </w:pPr>
          </w:p>
          <w:p w14:paraId="11E9321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绩</w:t>
            </w:r>
          </w:p>
          <w:p w14:paraId="666EA10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效</w:t>
            </w:r>
          </w:p>
          <w:p w14:paraId="792432C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w:t>
            </w:r>
          </w:p>
          <w:p w14:paraId="12701B5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标</w:t>
            </w:r>
          </w:p>
        </w:tc>
        <w:tc>
          <w:tcPr>
            <w:tcW w:w="1099" w:type="dxa"/>
            <w:vMerge w:val="restart"/>
            <w:tcBorders>
              <w:top w:val="single" w:color="auto" w:sz="4" w:space="0"/>
              <w:left w:val="single" w:color="auto" w:sz="4" w:space="0"/>
              <w:bottom w:val="single" w:color="auto" w:sz="4" w:space="0"/>
              <w:right w:val="single" w:color="auto" w:sz="4" w:space="0"/>
            </w:tcBorders>
            <w:shd w:val="clear"/>
            <w:vAlign w:val="center"/>
          </w:tcPr>
          <w:p w14:paraId="2DC117C8">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产出</w:t>
            </w:r>
          </w:p>
          <w:p w14:paraId="219A6B3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p w14:paraId="3579E2F3">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(50</w:t>
            </w:r>
            <w:r>
              <w:rPr>
                <w:rFonts w:hint="eastAsia" w:ascii="宋体" w:hAnsi="宋体" w:eastAsia="宋体" w:cs="宋体"/>
                <w:szCs w:val="20"/>
                <w:bdr w:val="none" w:color="auto" w:sz="0" w:space="0"/>
              </w:rPr>
              <w:t>分</w:t>
            </w:r>
            <w:r>
              <w:rPr>
                <w:rFonts w:hint="eastAsia" w:ascii="宋体" w:hAnsi="宋体" w:eastAsia="宋体" w:cs="宋体"/>
                <w:szCs w:val="20"/>
                <w:bdr w:val="none" w:color="auto" w:sz="0" w:space="0"/>
                <w:lang w:val="en-US"/>
              </w:rPr>
              <w:t>)</w:t>
            </w:r>
          </w:p>
        </w:tc>
        <w:tc>
          <w:tcPr>
            <w:tcW w:w="585" w:type="dxa"/>
            <w:vMerge w:val="restart"/>
            <w:tcBorders>
              <w:top w:val="single" w:color="auto" w:sz="4" w:space="0"/>
              <w:left w:val="single" w:color="auto" w:sz="4" w:space="0"/>
              <w:bottom w:val="single" w:color="auto" w:sz="4" w:space="0"/>
              <w:right w:val="single" w:color="auto" w:sz="4" w:space="0"/>
            </w:tcBorders>
            <w:shd w:val="clear"/>
            <w:vAlign w:val="center"/>
          </w:tcPr>
          <w:p w14:paraId="5A7E562A">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质量指标</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54CA199B">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隔音效果</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33B8D4F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良好</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77EF78C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良好</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181F2F92">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0ACD26BB">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366486DE">
            <w:pPr>
              <w:pStyle w:val="9"/>
              <w:widowControl/>
              <w:spacing w:before="0" w:beforeAutospacing="0" w:after="0" w:afterAutospacing="0" w:line="300" w:lineRule="exact"/>
              <w:ind w:left="0" w:leftChars="0" w:right="0" w:firstLine="0" w:firstLineChars="0"/>
              <w:rPr>
                <w:rFonts w:hint="eastAsia" w:ascii="宋体" w:hAnsi="宋体" w:eastAsia="宋体" w:cs="宋体"/>
                <w:szCs w:val="20"/>
                <w:highlight w:val="yellow"/>
                <w:bdr w:val="none" w:color="auto" w:sz="0" w:space="0"/>
                <w:lang w:val="en-US"/>
              </w:rPr>
            </w:pPr>
          </w:p>
        </w:tc>
      </w:tr>
      <w:tr w14:paraId="3631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1" w:hRule="atLeas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4765DA65">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1110A29C">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323C71BD">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1C5E86CB">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2"/>
                <w:bdr w:val="none" w:color="auto" w:sz="0" w:space="0"/>
              </w:rPr>
              <w:t>设备运行</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64ADC75B">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良好</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143A194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良好</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2C93D493">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58F375E2">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60BEABD6">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tc>
      </w:tr>
      <w:tr w14:paraId="7806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1" w:hRule="atLeas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0DEECCA9">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71DD0F7F">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29FDA1EB">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4CC90D0E">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信息化软、硬件运行效果</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2B5B730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良好</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24D5695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良好</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6F11E28E">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69BF5FA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198EC4D6">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r w14:paraId="7A1B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7"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1FF521DF">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6318EB3F">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36AF0EF5">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44AE7F35">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车辆运行</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3972306D">
            <w:pPr>
              <w:pStyle w:val="9"/>
              <w:widowControl/>
              <w:spacing w:before="0" w:beforeAutospacing="0" w:after="0" w:afterAutospacing="0" w:line="300" w:lineRule="exact"/>
              <w:ind w:left="0" w:leftChars="0" w:right="0" w:firstLine="100" w:firstLineChars="5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良好</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06CC04F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良好</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49F7A7DE">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288CF9A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6976B96D">
            <w:pPr>
              <w:pStyle w:val="9"/>
              <w:widowControl/>
              <w:spacing w:before="0" w:beforeAutospacing="0" w:after="0" w:afterAutospacing="0" w:line="300" w:lineRule="exact"/>
              <w:ind w:left="0" w:leftChars="0" w:right="0" w:firstLine="0" w:firstLineChars="0"/>
              <w:rPr>
                <w:rFonts w:hint="eastAsia" w:ascii="宋体" w:hAnsi="宋体" w:eastAsia="宋体" w:cs="宋体"/>
                <w:szCs w:val="20"/>
                <w:highlight w:val="yellow"/>
                <w:bdr w:val="none" w:color="auto" w:sz="0" w:space="0"/>
                <w:lang w:val="en-US"/>
              </w:rPr>
            </w:pPr>
          </w:p>
        </w:tc>
      </w:tr>
      <w:tr w14:paraId="15F6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4"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407F5C24">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25289E4F">
            <w:pPr>
              <w:rPr>
                <w:rFonts w:hint="default" w:ascii="Times New Roman" w:hAnsi="Times New Roman" w:cs="Times New Roman"/>
                <w:sz w:val="20"/>
                <w:szCs w:val="20"/>
              </w:rPr>
            </w:pPr>
          </w:p>
        </w:tc>
        <w:tc>
          <w:tcPr>
            <w:tcW w:w="585" w:type="dxa"/>
            <w:vMerge w:val="restart"/>
            <w:tcBorders>
              <w:top w:val="single" w:color="auto" w:sz="4" w:space="0"/>
              <w:left w:val="single" w:color="auto" w:sz="4" w:space="0"/>
              <w:bottom w:val="single" w:color="auto" w:sz="4" w:space="0"/>
              <w:right w:val="single" w:color="auto" w:sz="4" w:space="0"/>
            </w:tcBorders>
            <w:shd w:val="clear"/>
            <w:vAlign w:val="center"/>
          </w:tcPr>
          <w:p w14:paraId="25CD88E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时效指标</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2172F01B">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德政楼隔音改造完成时间</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1FBF458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3755BCD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61D7F20B">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0078DC2A">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13DED828">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r w14:paraId="714B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7D3414B3">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5AB31974">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62CF6215">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60E97B43">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2"/>
                <w:bdr w:val="none" w:color="auto" w:sz="0" w:space="0"/>
              </w:rPr>
              <w:t>湘江大讲堂视频系统运行时间</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7F00703E">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01E713D8">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77CE511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79D1F34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538FEBC9">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p>
        </w:tc>
      </w:tr>
      <w:tr w14:paraId="5295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26C95F1E">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741C929C">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7EA35E06">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449395AC">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软硬件运维完成时间</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47965F5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729094E8">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当年</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0AF0BD90">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199307B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09A4F129">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r w14:paraId="2F5E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76"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04D5142E">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1E61E2F8">
            <w:pPr>
              <w:rPr>
                <w:rFonts w:hint="default" w:ascii="Times New Roman" w:hAnsi="Times New Roman" w:cs="Times New Roman"/>
                <w:sz w:val="20"/>
                <w:szCs w:val="20"/>
              </w:rPr>
            </w:pPr>
          </w:p>
        </w:tc>
        <w:tc>
          <w:tcPr>
            <w:tcW w:w="585" w:type="dxa"/>
            <w:tcBorders>
              <w:top w:val="single" w:color="auto" w:sz="4" w:space="0"/>
              <w:left w:val="single" w:color="auto" w:sz="4" w:space="0"/>
              <w:bottom w:val="single" w:color="auto" w:sz="4" w:space="0"/>
              <w:right w:val="single" w:color="auto" w:sz="4" w:space="0"/>
            </w:tcBorders>
            <w:shd w:val="clear"/>
            <w:vAlign w:val="center"/>
          </w:tcPr>
          <w:p w14:paraId="5EBD586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成本指标</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3B4791C9">
            <w:pPr>
              <w:pStyle w:val="9"/>
              <w:widowControl/>
              <w:spacing w:before="0" w:beforeAutospacing="0" w:after="0" w:afterAutospacing="0" w:line="300" w:lineRule="exact"/>
              <w:ind w:left="0" w:leftChars="0" w:right="0" w:firstLine="0" w:firstLineChars="0"/>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rPr>
              <w:t>项目支出预算控制率</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7A366CE6">
            <w:pPr>
              <w:pStyle w:val="9"/>
              <w:widowControl/>
              <w:spacing w:before="0" w:beforeAutospacing="0" w:after="0" w:afterAutospacing="0" w:line="300" w:lineRule="exact"/>
              <w:ind w:left="0" w:leftChars="0" w:right="0" w:firstLine="300" w:firstLineChars="150"/>
              <w:rPr>
                <w:rFonts w:hint="eastAsia" w:ascii="宋体" w:hAnsi="宋体" w:eastAsia="宋体" w:cs="宋体"/>
                <w:color w:val="000000"/>
                <w:szCs w:val="20"/>
                <w:bdr w:val="none" w:color="auto" w:sz="0" w:space="0"/>
                <w:lang w:val="en-US"/>
              </w:rPr>
            </w:pPr>
            <w:r>
              <w:rPr>
                <w:rFonts w:hint="eastAsia" w:ascii="宋体" w:hAnsi="宋体" w:eastAsia="宋体" w:cs="宋体"/>
                <w:bdr w:val="none" w:color="auto" w:sz="0" w:space="0"/>
              </w:rPr>
              <w:t>≤</w:t>
            </w:r>
            <w:r>
              <w:rPr>
                <w:rFonts w:hint="eastAsia" w:ascii="宋体" w:hAnsi="宋体" w:eastAsia="宋体" w:cs="宋体"/>
                <w:bdr w:val="none" w:color="auto" w:sz="0" w:space="0"/>
                <w:lang w:val="en-US"/>
              </w:rPr>
              <w:t xml:space="preserve"> 100%</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6AD237C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83.95%</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7A0165A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2</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340F68E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2</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0811657F">
            <w:pPr>
              <w:pStyle w:val="9"/>
              <w:widowControl/>
              <w:spacing w:before="0" w:beforeAutospacing="0" w:after="0" w:afterAutospacing="0" w:line="300" w:lineRule="exact"/>
              <w:ind w:left="0" w:leftChars="0" w:right="0" w:firstLine="0" w:firstLineChars="0"/>
              <w:rPr>
                <w:rFonts w:hint="eastAsia" w:ascii="宋体" w:hAnsi="宋体" w:eastAsia="宋体" w:cs="宋体"/>
                <w:color w:val="000000"/>
                <w:szCs w:val="20"/>
                <w:bdr w:val="none" w:color="auto" w:sz="0" w:space="0"/>
                <w:lang w:val="en-US"/>
              </w:rPr>
            </w:pPr>
          </w:p>
        </w:tc>
      </w:tr>
      <w:tr w14:paraId="60AB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3"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48B4B9DA">
            <w:pPr>
              <w:rPr>
                <w:rFonts w:hint="default" w:ascii="Times New Roman" w:hAnsi="Times New Roman" w:cs="Times New Roman"/>
                <w:sz w:val="20"/>
                <w:szCs w:val="20"/>
              </w:rPr>
            </w:pPr>
          </w:p>
        </w:tc>
        <w:tc>
          <w:tcPr>
            <w:tcW w:w="1099" w:type="dxa"/>
            <w:vMerge w:val="restart"/>
            <w:tcBorders>
              <w:top w:val="single" w:color="auto" w:sz="4" w:space="0"/>
              <w:left w:val="single" w:color="auto" w:sz="4" w:space="0"/>
              <w:bottom w:val="single" w:color="auto" w:sz="4" w:space="0"/>
              <w:right w:val="single" w:color="auto" w:sz="4" w:space="0"/>
            </w:tcBorders>
            <w:shd w:val="clear"/>
            <w:vAlign w:val="center"/>
          </w:tcPr>
          <w:p w14:paraId="6704542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效益</w:t>
            </w:r>
          </w:p>
          <w:p w14:paraId="0A69417E">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p w14:paraId="744C4558">
            <w:pPr>
              <w:pStyle w:val="9"/>
              <w:widowControl/>
              <w:spacing w:before="0" w:beforeAutospacing="0" w:after="0" w:afterAutospacing="0" w:line="300" w:lineRule="exact"/>
              <w:ind w:left="0" w:leftChars="0" w:right="0" w:firstLine="200" w:firstLineChars="10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(30</w:t>
            </w:r>
            <w:r>
              <w:rPr>
                <w:rFonts w:hint="eastAsia" w:ascii="宋体" w:hAnsi="宋体" w:eastAsia="宋体" w:cs="宋体"/>
                <w:szCs w:val="20"/>
                <w:bdr w:val="none" w:color="auto" w:sz="0" w:space="0"/>
              </w:rPr>
              <w:t>分</w:t>
            </w:r>
            <w:r>
              <w:rPr>
                <w:rFonts w:hint="eastAsia" w:ascii="宋体" w:hAnsi="宋体" w:eastAsia="宋体" w:cs="宋体"/>
                <w:szCs w:val="20"/>
                <w:bdr w:val="none" w:color="auto" w:sz="0" w:space="0"/>
                <w:lang w:val="en-US"/>
              </w:rPr>
              <w:t>)</w:t>
            </w:r>
          </w:p>
        </w:tc>
        <w:tc>
          <w:tcPr>
            <w:tcW w:w="585" w:type="dxa"/>
            <w:tcBorders>
              <w:top w:val="single" w:color="auto" w:sz="4" w:space="0"/>
              <w:left w:val="single" w:color="auto" w:sz="4" w:space="0"/>
              <w:bottom w:val="single" w:color="auto" w:sz="4" w:space="0"/>
              <w:right w:val="single" w:color="auto" w:sz="4" w:space="0"/>
            </w:tcBorders>
            <w:shd w:val="clear"/>
            <w:vAlign w:val="center"/>
          </w:tcPr>
          <w:p w14:paraId="382637C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经济效益</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13C0B01E">
            <w:pPr>
              <w:pStyle w:val="9"/>
              <w:widowControl/>
              <w:spacing w:before="0" w:beforeAutospacing="0" w:after="0" w:afterAutospacing="0" w:line="300" w:lineRule="exact"/>
              <w:ind w:left="0" w:leftChars="0" w:right="0" w:firstLine="0" w:firstLineChars="0"/>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rPr>
              <w:t>成本节约</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493D5024">
            <w:pPr>
              <w:pStyle w:val="9"/>
              <w:widowControl/>
              <w:spacing w:before="0" w:beforeAutospacing="0" w:after="0" w:afterAutospacing="0" w:line="300" w:lineRule="exact"/>
              <w:ind w:left="0" w:leftChars="0" w:right="0" w:firstLine="0" w:firstLineChars="0"/>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rPr>
              <w:t>低碳出行厉行节约</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1C0BC4C2">
            <w:pPr>
              <w:pStyle w:val="9"/>
              <w:widowControl/>
              <w:spacing w:before="0" w:beforeAutospacing="0" w:after="0" w:afterAutospacing="0" w:line="30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rPr>
              <w:t>效果明显</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619ADD9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5</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205FDD4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color w:val="000000"/>
                <w:szCs w:val="20"/>
                <w:bdr w:val="none" w:color="auto" w:sz="0" w:space="0"/>
                <w:lang w:val="en-US"/>
              </w:rPr>
            </w:pPr>
            <w:r>
              <w:rPr>
                <w:rFonts w:hint="eastAsia" w:ascii="宋体" w:hAnsi="宋体" w:eastAsia="宋体" w:cs="宋体"/>
                <w:color w:val="000000"/>
                <w:szCs w:val="20"/>
                <w:bdr w:val="none" w:color="auto" w:sz="0" w:space="0"/>
                <w:lang w:val="en-US"/>
              </w:rPr>
              <w:t>5</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26724AC4">
            <w:pPr>
              <w:pStyle w:val="9"/>
              <w:widowControl/>
              <w:spacing w:before="0" w:beforeAutospacing="0" w:after="0" w:afterAutospacing="0" w:line="300" w:lineRule="exact"/>
              <w:ind w:left="0" w:leftChars="0" w:right="0" w:firstLine="0" w:firstLineChars="0"/>
              <w:rPr>
                <w:rFonts w:hint="eastAsia" w:ascii="宋体" w:hAnsi="宋体" w:eastAsia="宋体" w:cs="宋体"/>
                <w:color w:val="000000"/>
                <w:szCs w:val="20"/>
                <w:bdr w:val="none" w:color="auto" w:sz="0" w:space="0"/>
                <w:lang w:val="en-US"/>
              </w:rPr>
            </w:pPr>
          </w:p>
        </w:tc>
      </w:tr>
      <w:tr w14:paraId="40E3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52"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0AB31E61">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4752DD75">
            <w:pPr>
              <w:rPr>
                <w:rFonts w:hint="default" w:ascii="Times New Roman" w:hAnsi="Times New Roman" w:cs="Times New Roman"/>
                <w:sz w:val="20"/>
                <w:szCs w:val="20"/>
              </w:rPr>
            </w:pPr>
          </w:p>
        </w:tc>
        <w:tc>
          <w:tcPr>
            <w:tcW w:w="585" w:type="dxa"/>
            <w:vMerge w:val="restart"/>
            <w:tcBorders>
              <w:top w:val="single" w:color="auto" w:sz="4" w:space="0"/>
              <w:left w:val="single" w:color="auto" w:sz="4" w:space="0"/>
              <w:bottom w:val="single" w:color="auto" w:sz="4" w:space="0"/>
              <w:right w:val="single" w:color="auto" w:sz="4" w:space="0"/>
            </w:tcBorders>
            <w:shd w:val="clear"/>
            <w:vAlign w:val="center"/>
          </w:tcPr>
          <w:p w14:paraId="30AE2D78">
            <w:pPr>
              <w:pStyle w:val="9"/>
              <w:widowControl/>
              <w:spacing w:before="0" w:beforeAutospacing="0" w:after="0" w:afterAutospacing="0" w:line="26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社会效</w:t>
            </w:r>
          </w:p>
          <w:p w14:paraId="434B9C72">
            <w:pPr>
              <w:pStyle w:val="9"/>
              <w:widowControl/>
              <w:spacing w:before="0" w:beforeAutospacing="0" w:after="0" w:afterAutospacing="0" w:line="26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益指标</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537BE3F5">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改善学员住宿环境</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48865BD5">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p>
          <w:p w14:paraId="2D294539">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通过后街提质改造，为学员和教职工提供安静的工作和学习环境。</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343C38B9">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显著提高工作学习效率</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081E799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10887BB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0008A1A6">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highlight w:val="yellow"/>
                <w:bdr w:val="none" w:color="auto" w:sz="0" w:space="0"/>
                <w:lang w:val="en-US"/>
              </w:rPr>
            </w:pPr>
          </w:p>
        </w:tc>
      </w:tr>
      <w:tr w14:paraId="4C75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1AED13CE">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4DC887DC">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7B90B4D6">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117F9FF8">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后街居民满意度</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00029B57">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满意率大于</w:t>
            </w:r>
            <w:r>
              <w:rPr>
                <w:rFonts w:hint="eastAsia" w:ascii="宋体" w:hAnsi="宋体" w:eastAsia="宋体" w:cs="宋体"/>
                <w:szCs w:val="20"/>
                <w:bdr w:val="none" w:color="auto" w:sz="0" w:space="0"/>
                <w:lang w:val="en-US"/>
              </w:rPr>
              <w:t>95%</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7499527C">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lang w:val="en-US"/>
              </w:rPr>
              <w:t>98%</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602EA3A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3AFB7B8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5FE1D10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r>
      <w:tr w14:paraId="69F8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72" w:hRule="exact"/>
        </w:trPr>
        <w:tc>
          <w:tcPr>
            <w:tcW w:w="931" w:type="dxa"/>
            <w:vMerge w:val="restart"/>
            <w:tcBorders>
              <w:top w:val="single" w:color="auto" w:sz="4" w:space="0"/>
              <w:left w:val="single" w:color="auto" w:sz="4" w:space="0"/>
              <w:bottom w:val="single" w:color="auto" w:sz="4" w:space="0"/>
              <w:right w:val="single" w:color="auto" w:sz="4" w:space="0"/>
            </w:tcBorders>
            <w:shd w:val="clear"/>
            <w:vAlign w:val="center"/>
          </w:tcPr>
          <w:p w14:paraId="1BA3BA80">
            <w:pPr>
              <w:pStyle w:val="9"/>
              <w:widowControl/>
              <w:spacing w:before="0" w:beforeAutospacing="0" w:after="120" w:afterAutospacing="0" w:line="300" w:lineRule="exact"/>
              <w:ind w:left="420" w:leftChars="200" w:right="0" w:firstLine="400"/>
              <w:jc w:val="center"/>
              <w:rPr>
                <w:bdr w:val="none" w:color="auto" w:sz="0" w:space="0"/>
                <w:lang w:val="en-US"/>
              </w:rPr>
            </w:pPr>
          </w:p>
          <w:p w14:paraId="3245CFA2">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绩</w:t>
            </w:r>
          </w:p>
          <w:p w14:paraId="110F906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效</w:t>
            </w:r>
          </w:p>
          <w:p w14:paraId="38440985">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w:t>
            </w:r>
          </w:p>
          <w:p w14:paraId="42B54683">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标</w:t>
            </w: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33DE5FB8">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68955121">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3E6DB7C8">
            <w:pPr>
              <w:pStyle w:val="9"/>
              <w:widowControl/>
              <w:spacing w:before="0" w:beforeAutospacing="0" w:after="0" w:afterAutospacing="0" w:line="26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便利职工办公和学员培训</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04DD79DD">
            <w:pPr>
              <w:pStyle w:val="9"/>
              <w:widowControl/>
              <w:spacing w:before="0" w:beforeAutospacing="0" w:after="0" w:afterAutospacing="0" w:line="26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信息系统的运维可以更好地向教职工和学员提供便利的</w:t>
            </w:r>
            <w:r>
              <w:rPr>
                <w:rFonts w:hint="eastAsia" w:ascii="宋体" w:hAnsi="宋体" w:eastAsia="宋体" w:cs="宋体"/>
                <w:szCs w:val="20"/>
                <w:bdr w:val="none" w:color="auto" w:sz="0" w:space="0"/>
                <w:lang w:val="en-US"/>
              </w:rPr>
              <w:t>IT</w:t>
            </w:r>
            <w:r>
              <w:rPr>
                <w:rFonts w:hint="eastAsia" w:ascii="宋体" w:hAnsi="宋体" w:eastAsia="宋体" w:cs="宋体"/>
                <w:szCs w:val="20"/>
                <w:bdr w:val="none" w:color="auto" w:sz="0" w:space="0"/>
              </w:rPr>
              <w:t>服务，提高办公和学习的效率。</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0039EE8B">
            <w:pPr>
              <w:pStyle w:val="9"/>
              <w:widowControl/>
              <w:spacing w:before="0" w:beforeAutospacing="0" w:after="0" w:afterAutospacing="0" w:line="26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信息系统的有效运维，保障了校（院）的信息安全，便利了职工办公和学员培训。</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1016C61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05495338">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63D8FE2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p>
        </w:tc>
      </w:tr>
      <w:tr w14:paraId="7F5F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9"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06A2610F">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41A91D19">
            <w:pPr>
              <w:rPr>
                <w:rFonts w:hint="default" w:ascii="Times New Roman" w:hAnsi="Times New Roman" w:cs="Times New Roman"/>
                <w:sz w:val="20"/>
                <w:szCs w:val="20"/>
              </w:rPr>
            </w:pPr>
          </w:p>
        </w:tc>
        <w:tc>
          <w:tcPr>
            <w:tcW w:w="585" w:type="dxa"/>
            <w:tcBorders>
              <w:top w:val="single" w:color="auto" w:sz="4" w:space="0"/>
              <w:left w:val="single" w:color="auto" w:sz="4" w:space="0"/>
              <w:bottom w:val="single" w:color="auto" w:sz="4" w:space="0"/>
              <w:right w:val="single" w:color="auto" w:sz="4" w:space="0"/>
            </w:tcBorders>
            <w:shd w:val="clear"/>
            <w:vAlign w:val="center"/>
          </w:tcPr>
          <w:p w14:paraId="4F82FD31">
            <w:pPr>
              <w:pStyle w:val="9"/>
              <w:widowControl/>
              <w:spacing w:before="0" w:beforeAutospacing="0" w:after="0" w:afterAutospacing="0" w:line="26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生态效</w:t>
            </w:r>
          </w:p>
          <w:p w14:paraId="0B06B60D">
            <w:pPr>
              <w:pStyle w:val="9"/>
              <w:widowControl/>
              <w:spacing w:before="0" w:beforeAutospacing="0" w:after="0" w:afterAutospacing="0" w:line="26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益指标</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7352D03C">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减少尾气排放</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091543AF">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使用新能源车辆，减少尾气排放，降低对大气的污染</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55C5A6D4">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新能源的使用，有效减少了尾气排放，降低对大气的污染</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4135115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65B8E6C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54A61CF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highlight w:val="yellow"/>
                <w:bdr w:val="none" w:color="auto" w:sz="0" w:space="0"/>
                <w:lang w:val="en-US"/>
              </w:rPr>
            </w:pPr>
          </w:p>
        </w:tc>
      </w:tr>
      <w:tr w14:paraId="4083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62"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0535EE99">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4B360F84">
            <w:pPr>
              <w:rPr>
                <w:rFonts w:hint="default" w:ascii="Times New Roman" w:hAnsi="Times New Roman" w:cs="Times New Roman"/>
                <w:sz w:val="20"/>
                <w:szCs w:val="20"/>
              </w:rPr>
            </w:pPr>
          </w:p>
        </w:tc>
        <w:tc>
          <w:tcPr>
            <w:tcW w:w="585" w:type="dxa"/>
            <w:tcBorders>
              <w:top w:val="single" w:color="auto" w:sz="4" w:space="0"/>
              <w:left w:val="single" w:color="auto" w:sz="4" w:space="0"/>
              <w:bottom w:val="single" w:color="auto" w:sz="4" w:space="0"/>
              <w:right w:val="single" w:color="auto" w:sz="4" w:space="0"/>
            </w:tcBorders>
            <w:shd w:val="clear"/>
            <w:vAlign w:val="center"/>
          </w:tcPr>
          <w:p w14:paraId="5DD205EF">
            <w:pPr>
              <w:pStyle w:val="9"/>
              <w:widowControl/>
              <w:spacing w:before="0" w:beforeAutospacing="0" w:after="0" w:afterAutospacing="0" w:line="260" w:lineRule="exact"/>
              <w:ind w:left="0" w:leftChars="0" w:right="0" w:firstLine="0" w:firstLineChars="0"/>
              <w:jc w:val="center"/>
              <w:rPr>
                <w:bdr w:val="none" w:color="auto" w:sz="0" w:space="0"/>
                <w:lang w:val="en-US"/>
              </w:rPr>
            </w:pPr>
          </w:p>
          <w:p w14:paraId="137187D6">
            <w:pPr>
              <w:pStyle w:val="9"/>
              <w:widowControl/>
              <w:spacing w:before="0" w:beforeAutospacing="0" w:after="0" w:afterAutospacing="0" w:line="260" w:lineRule="exact"/>
              <w:ind w:left="0" w:leftChars="0" w:right="0" w:firstLine="0" w:firstLineChars="0"/>
              <w:jc w:val="center"/>
              <w:rPr>
                <w:bdr w:val="none" w:color="auto" w:sz="0" w:space="0"/>
                <w:lang w:val="en-US"/>
              </w:rPr>
            </w:pPr>
            <w:r>
              <w:rPr>
                <w:rFonts w:hint="eastAsia" w:ascii="Times New Roman" w:hAnsi="Times New Roman" w:eastAsia="宋体" w:cs="宋体"/>
                <w:bdr w:val="none" w:color="auto" w:sz="0" w:space="0"/>
              </w:rPr>
              <w:t>可持续影响指</w:t>
            </w:r>
            <w:r>
              <w:rPr>
                <w:rFonts w:hint="eastAsia" w:ascii="宋体" w:hAnsi="宋体" w:eastAsia="宋体" w:cs="宋体"/>
                <w:szCs w:val="20"/>
                <w:bdr w:val="none" w:color="auto" w:sz="0" w:space="0"/>
              </w:rPr>
              <w:t>标</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47F6E556">
            <w:pPr>
              <w:pStyle w:val="9"/>
              <w:widowControl/>
              <w:spacing w:before="0" w:beforeAutospacing="0" w:after="0" w:afterAutospacing="0" w:line="26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改善学员住宿和学习环境</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2D3CC58B">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p>
          <w:p w14:paraId="23CF5372">
            <w:pPr>
              <w:pStyle w:val="9"/>
              <w:widowControl/>
              <w:spacing w:before="0" w:beforeAutospacing="0" w:after="0" w:afterAutospacing="0" w:line="26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通过后街提质改造，为学员和教职工提供舒适优美的工作和学习环境。</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703D4B82">
            <w:pPr>
              <w:pStyle w:val="9"/>
              <w:widowControl/>
              <w:spacing w:before="0" w:beforeAutospacing="0" w:after="0" w:afterAutospacing="0" w:line="260" w:lineRule="exact"/>
              <w:ind w:left="0" w:leftChars="0" w:right="0" w:firstLine="0" w:firstLineChars="0"/>
              <w:rPr>
                <w:rFonts w:hint="eastAsia" w:ascii="宋体" w:hAnsi="宋体" w:eastAsia="宋体" w:cs="宋体"/>
                <w:szCs w:val="20"/>
                <w:highlight w:val="yellow"/>
                <w:bdr w:val="none" w:color="auto" w:sz="0" w:space="0"/>
                <w:lang w:val="en-US"/>
              </w:rPr>
            </w:pPr>
            <w:r>
              <w:rPr>
                <w:rFonts w:hint="eastAsia" w:ascii="宋体" w:hAnsi="宋体" w:eastAsia="宋体" w:cs="宋体"/>
                <w:szCs w:val="20"/>
                <w:bdr w:val="none" w:color="auto" w:sz="0" w:space="0"/>
              </w:rPr>
              <w:t>显著提高工作学习效率</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6A02346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4134B9C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5</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14319DC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highlight w:val="yellow"/>
                <w:bdr w:val="none" w:color="auto" w:sz="0" w:space="0"/>
                <w:lang w:val="en-US"/>
              </w:rPr>
            </w:pPr>
          </w:p>
        </w:tc>
      </w:tr>
      <w:tr w14:paraId="6629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4"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2E215E46">
            <w:pPr>
              <w:rPr>
                <w:rFonts w:hint="default" w:ascii="Times New Roman" w:hAnsi="Times New Roman" w:cs="Times New Roman"/>
                <w:sz w:val="20"/>
                <w:szCs w:val="20"/>
              </w:rPr>
            </w:pPr>
          </w:p>
        </w:tc>
        <w:tc>
          <w:tcPr>
            <w:tcW w:w="1099" w:type="dxa"/>
            <w:vMerge w:val="restart"/>
            <w:tcBorders>
              <w:top w:val="single" w:color="auto" w:sz="4" w:space="0"/>
              <w:left w:val="single" w:color="auto" w:sz="4" w:space="0"/>
              <w:bottom w:val="single" w:color="auto" w:sz="4" w:space="0"/>
              <w:right w:val="single" w:color="auto" w:sz="4" w:space="0"/>
            </w:tcBorders>
            <w:shd w:val="clear"/>
            <w:vAlign w:val="center"/>
          </w:tcPr>
          <w:p w14:paraId="7D5DD94D">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满意度</w:t>
            </w:r>
          </w:p>
          <w:p w14:paraId="74CCC75C">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指标</w:t>
            </w:r>
          </w:p>
          <w:p w14:paraId="25A52A4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(10</w:t>
            </w:r>
            <w:r>
              <w:rPr>
                <w:rFonts w:hint="eastAsia" w:ascii="宋体" w:hAnsi="宋体" w:eastAsia="宋体" w:cs="宋体"/>
                <w:szCs w:val="20"/>
                <w:bdr w:val="none" w:color="auto" w:sz="0" w:space="0"/>
              </w:rPr>
              <w:t>分</w:t>
            </w:r>
            <w:r>
              <w:rPr>
                <w:rFonts w:hint="eastAsia" w:ascii="宋体" w:hAnsi="宋体" w:eastAsia="宋体" w:cs="宋体"/>
                <w:szCs w:val="20"/>
                <w:bdr w:val="none" w:color="auto" w:sz="0" w:space="0"/>
                <w:lang w:val="en-US"/>
              </w:rPr>
              <w:t>)</w:t>
            </w:r>
          </w:p>
        </w:tc>
        <w:tc>
          <w:tcPr>
            <w:tcW w:w="585" w:type="dxa"/>
            <w:vMerge w:val="restart"/>
            <w:tcBorders>
              <w:top w:val="single" w:color="auto" w:sz="4" w:space="0"/>
              <w:left w:val="single" w:color="auto" w:sz="4" w:space="0"/>
              <w:bottom w:val="single" w:color="auto" w:sz="4" w:space="0"/>
              <w:right w:val="single" w:color="auto" w:sz="4" w:space="0"/>
            </w:tcBorders>
            <w:shd w:val="clear"/>
            <w:vAlign w:val="center"/>
          </w:tcPr>
          <w:p w14:paraId="2EECBC91">
            <w:pPr>
              <w:pStyle w:val="9"/>
              <w:widowControl/>
              <w:spacing w:before="0" w:beforeAutospacing="0" w:after="0" w:afterAutospacing="0" w:line="26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服务对象满意度指标</w:t>
            </w: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6D185350">
            <w:pPr>
              <w:pStyle w:val="9"/>
              <w:widowControl/>
              <w:spacing w:before="0" w:beforeAutospacing="0" w:after="0" w:afterAutospacing="0" w:line="26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教职工满意度</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395D092A">
            <w:pPr>
              <w:pStyle w:val="9"/>
              <w:widowControl/>
              <w:spacing w:before="0" w:beforeAutospacing="0" w:after="0" w:afterAutospacing="0" w:line="26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w:t>
            </w:r>
            <w:r>
              <w:rPr>
                <w:rFonts w:hint="eastAsia" w:ascii="宋体" w:hAnsi="宋体" w:eastAsia="宋体" w:cs="宋体"/>
                <w:szCs w:val="20"/>
                <w:bdr w:val="none" w:color="auto" w:sz="0" w:space="0"/>
              </w:rPr>
              <w:t>≥</w:t>
            </w:r>
            <w:r>
              <w:rPr>
                <w:rFonts w:hint="eastAsia" w:ascii="宋体" w:hAnsi="宋体" w:eastAsia="宋体" w:cs="宋体"/>
                <w:szCs w:val="20"/>
                <w:bdr w:val="none" w:color="auto" w:sz="0" w:space="0"/>
                <w:lang w:val="en-US"/>
              </w:rPr>
              <w:t>90%</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4C98C9F5">
            <w:pPr>
              <w:pStyle w:val="9"/>
              <w:widowControl/>
              <w:spacing w:before="0" w:beforeAutospacing="0" w:after="0" w:afterAutospacing="0" w:line="26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95%</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251C2034">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5C95AEBF">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4</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0D5238E7">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highlight w:val="yellow"/>
                <w:bdr w:val="none" w:color="auto" w:sz="0" w:space="0"/>
                <w:lang w:val="en-US"/>
              </w:rPr>
            </w:pPr>
          </w:p>
        </w:tc>
      </w:tr>
      <w:tr w14:paraId="4A94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4" w:hRule="exact"/>
        </w:trPr>
        <w:tc>
          <w:tcPr>
            <w:tcW w:w="931" w:type="dxa"/>
            <w:vMerge w:val="continue"/>
            <w:tcBorders>
              <w:top w:val="single" w:color="auto" w:sz="4" w:space="0"/>
              <w:left w:val="single" w:color="auto" w:sz="4" w:space="0"/>
              <w:bottom w:val="single" w:color="auto" w:sz="4" w:space="0"/>
              <w:right w:val="single" w:color="auto" w:sz="4" w:space="0"/>
            </w:tcBorders>
            <w:shd w:val="clear"/>
            <w:vAlign w:val="center"/>
          </w:tcPr>
          <w:p w14:paraId="78C0B402">
            <w:pPr>
              <w:rPr>
                <w:rFonts w:hint="default" w:ascii="Times New Roman" w:hAnsi="Times New Roman" w:cs="Times New Roman"/>
                <w:sz w:val="20"/>
                <w:szCs w:val="20"/>
              </w:rPr>
            </w:pPr>
          </w:p>
        </w:tc>
        <w:tc>
          <w:tcPr>
            <w:tcW w:w="1099" w:type="dxa"/>
            <w:vMerge w:val="continue"/>
            <w:tcBorders>
              <w:top w:val="single" w:color="auto" w:sz="4" w:space="0"/>
              <w:left w:val="single" w:color="auto" w:sz="4" w:space="0"/>
              <w:bottom w:val="single" w:color="auto" w:sz="4" w:space="0"/>
              <w:right w:val="single" w:color="auto" w:sz="4" w:space="0"/>
            </w:tcBorders>
            <w:shd w:val="clear"/>
            <w:vAlign w:val="center"/>
          </w:tcPr>
          <w:p w14:paraId="59E3010A">
            <w:pPr>
              <w:rPr>
                <w:rFonts w:hint="default" w:ascii="Times New Roman" w:hAnsi="Times New Roman" w:cs="Times New Roman"/>
                <w:sz w:val="20"/>
                <w:szCs w:val="20"/>
              </w:rPr>
            </w:pPr>
          </w:p>
        </w:tc>
        <w:tc>
          <w:tcPr>
            <w:tcW w:w="585" w:type="dxa"/>
            <w:vMerge w:val="continue"/>
            <w:tcBorders>
              <w:top w:val="single" w:color="auto" w:sz="4" w:space="0"/>
              <w:left w:val="single" w:color="auto" w:sz="4" w:space="0"/>
              <w:bottom w:val="single" w:color="auto" w:sz="4" w:space="0"/>
              <w:right w:val="single" w:color="auto" w:sz="4" w:space="0"/>
            </w:tcBorders>
            <w:shd w:val="clear"/>
            <w:vAlign w:val="center"/>
          </w:tcPr>
          <w:p w14:paraId="3160108C">
            <w:pPr>
              <w:rPr>
                <w:rFonts w:hint="default" w:ascii="Times New Roman" w:hAnsi="Times New Roman" w:cs="Times New Roman"/>
                <w:sz w:val="20"/>
                <w:szCs w:val="20"/>
              </w:rPr>
            </w:pPr>
          </w:p>
        </w:tc>
        <w:tc>
          <w:tcPr>
            <w:tcW w:w="1018" w:type="dxa"/>
            <w:tcBorders>
              <w:top w:val="single" w:color="auto" w:sz="4" w:space="0"/>
              <w:left w:val="single" w:color="auto" w:sz="4" w:space="0"/>
              <w:bottom w:val="single" w:color="auto" w:sz="4" w:space="0"/>
              <w:right w:val="single" w:color="auto" w:sz="4" w:space="0"/>
            </w:tcBorders>
            <w:shd w:val="clear"/>
            <w:vAlign w:val="center"/>
          </w:tcPr>
          <w:p w14:paraId="56AA668D">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学员满意度</w:t>
            </w:r>
          </w:p>
        </w:tc>
        <w:tc>
          <w:tcPr>
            <w:tcW w:w="1379" w:type="dxa"/>
            <w:tcBorders>
              <w:top w:val="single" w:color="auto" w:sz="4" w:space="0"/>
              <w:left w:val="single" w:color="auto" w:sz="4" w:space="0"/>
              <w:bottom w:val="single" w:color="auto" w:sz="4" w:space="0"/>
              <w:right w:val="single" w:color="auto" w:sz="4" w:space="0"/>
            </w:tcBorders>
            <w:shd w:val="clear"/>
            <w:vAlign w:val="center"/>
          </w:tcPr>
          <w:p w14:paraId="795BDAB9">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w:t>
            </w:r>
            <w:r>
              <w:rPr>
                <w:rFonts w:hint="eastAsia" w:ascii="宋体" w:hAnsi="宋体" w:eastAsia="宋体" w:cs="宋体"/>
                <w:szCs w:val="20"/>
                <w:bdr w:val="none" w:color="auto" w:sz="0" w:space="0"/>
              </w:rPr>
              <w:t>≥</w:t>
            </w:r>
            <w:r>
              <w:rPr>
                <w:rFonts w:hint="eastAsia" w:ascii="宋体" w:hAnsi="宋体" w:eastAsia="宋体" w:cs="宋体"/>
                <w:szCs w:val="20"/>
                <w:bdr w:val="none" w:color="auto" w:sz="0" w:space="0"/>
                <w:lang w:val="en-US"/>
              </w:rPr>
              <w:t>95%</w:t>
            </w:r>
          </w:p>
        </w:tc>
        <w:tc>
          <w:tcPr>
            <w:tcW w:w="1221" w:type="dxa"/>
            <w:tcBorders>
              <w:top w:val="single" w:color="auto" w:sz="4" w:space="0"/>
              <w:left w:val="single" w:color="auto" w:sz="4" w:space="0"/>
              <w:bottom w:val="single" w:color="auto" w:sz="4" w:space="0"/>
              <w:right w:val="single" w:color="auto" w:sz="4" w:space="0"/>
            </w:tcBorders>
            <w:shd w:val="clear"/>
            <w:vAlign w:val="center"/>
          </w:tcPr>
          <w:p w14:paraId="4C324E1F">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100%</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64B3B8B3">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2CAF5231">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6</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44C3ECE9">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highlight w:val="yellow"/>
                <w:bdr w:val="none" w:color="auto" w:sz="0" w:space="0"/>
                <w:lang w:val="en-US"/>
              </w:rPr>
            </w:pPr>
          </w:p>
        </w:tc>
      </w:tr>
      <w:tr w14:paraId="2351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3" w:hRule="atLeast"/>
        </w:trPr>
        <w:tc>
          <w:tcPr>
            <w:tcW w:w="6233" w:type="dxa"/>
            <w:gridSpan w:val="6"/>
            <w:tcBorders>
              <w:top w:val="single" w:color="auto" w:sz="4" w:space="0"/>
              <w:left w:val="single" w:color="auto" w:sz="4" w:space="0"/>
              <w:bottom w:val="single" w:color="auto" w:sz="4" w:space="0"/>
              <w:right w:val="single" w:color="auto" w:sz="4" w:space="0"/>
            </w:tcBorders>
            <w:shd w:val="clear"/>
            <w:vAlign w:val="center"/>
          </w:tcPr>
          <w:p w14:paraId="350019C8">
            <w:pPr>
              <w:pStyle w:val="9"/>
              <w:widowControl/>
              <w:spacing w:before="0" w:beforeAutospacing="0" w:after="0" w:afterAutospacing="0" w:line="300" w:lineRule="exact"/>
              <w:ind w:left="0" w:leftChars="0" w:right="0" w:firstLine="0" w:firstLineChars="0"/>
              <w:jc w:val="center"/>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总分</w:t>
            </w:r>
          </w:p>
        </w:tc>
        <w:tc>
          <w:tcPr>
            <w:tcW w:w="735" w:type="dxa"/>
            <w:tcBorders>
              <w:top w:val="single" w:color="auto" w:sz="4" w:space="0"/>
              <w:left w:val="single" w:color="auto" w:sz="4" w:space="0"/>
              <w:bottom w:val="single" w:color="auto" w:sz="4" w:space="0"/>
              <w:right w:val="single" w:color="auto" w:sz="4" w:space="0"/>
            </w:tcBorders>
            <w:shd w:val="clear"/>
            <w:vAlign w:val="center"/>
          </w:tcPr>
          <w:p w14:paraId="148D7B25">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 xml:space="preserve"> 100</w:t>
            </w:r>
          </w:p>
        </w:tc>
        <w:tc>
          <w:tcPr>
            <w:tcW w:w="833" w:type="dxa"/>
            <w:tcBorders>
              <w:top w:val="single" w:color="auto" w:sz="4" w:space="0"/>
              <w:left w:val="single" w:color="auto" w:sz="4" w:space="0"/>
              <w:bottom w:val="single" w:color="auto" w:sz="4" w:space="0"/>
              <w:right w:val="single" w:color="auto" w:sz="4" w:space="0"/>
            </w:tcBorders>
            <w:shd w:val="clear"/>
            <w:vAlign w:val="center"/>
          </w:tcPr>
          <w:p w14:paraId="49B9A77D">
            <w:pPr>
              <w:pStyle w:val="9"/>
              <w:widowControl/>
              <w:spacing w:before="0" w:beforeAutospacing="0" w:after="0" w:afterAutospacing="0" w:line="300" w:lineRule="exact"/>
              <w:ind w:left="0" w:leftChars="0" w:right="0" w:firstLine="100" w:firstLineChars="5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lang w:val="en-US"/>
              </w:rPr>
              <w:t>98.4</w:t>
            </w:r>
          </w:p>
        </w:tc>
        <w:tc>
          <w:tcPr>
            <w:tcW w:w="1312" w:type="dxa"/>
            <w:tcBorders>
              <w:top w:val="single" w:color="auto" w:sz="4" w:space="0"/>
              <w:left w:val="single" w:color="auto" w:sz="4" w:space="0"/>
              <w:bottom w:val="single" w:color="auto" w:sz="4" w:space="0"/>
              <w:right w:val="single" w:color="auto" w:sz="4" w:space="0"/>
            </w:tcBorders>
            <w:shd w:val="clear"/>
            <w:vAlign w:val="center"/>
          </w:tcPr>
          <w:p w14:paraId="0FC832D7">
            <w:pPr>
              <w:pStyle w:val="9"/>
              <w:widowControl/>
              <w:spacing w:before="0" w:beforeAutospacing="0" w:after="0" w:afterAutospacing="0" w:line="300" w:lineRule="exact"/>
              <w:ind w:left="0" w:leftChars="0" w:right="0" w:firstLine="0" w:firstLineChars="0"/>
              <w:rPr>
                <w:rFonts w:hint="eastAsia" w:ascii="宋体" w:hAnsi="宋体" w:eastAsia="宋体" w:cs="宋体"/>
                <w:szCs w:val="20"/>
                <w:bdr w:val="none" w:color="auto" w:sz="0" w:space="0"/>
                <w:lang w:val="en-US"/>
              </w:rPr>
            </w:pPr>
            <w:r>
              <w:rPr>
                <w:rFonts w:hint="eastAsia" w:ascii="宋体" w:hAnsi="宋体" w:eastAsia="宋体" w:cs="宋体"/>
                <w:szCs w:val="20"/>
                <w:bdr w:val="none" w:color="auto" w:sz="0" w:space="0"/>
              </w:rPr>
              <w:t>　</w:t>
            </w:r>
          </w:p>
        </w:tc>
      </w:tr>
    </w:tbl>
    <w:p w14:paraId="4CF2452D">
      <w:pPr>
        <w:keepNext w:val="0"/>
        <w:keepLines w:val="0"/>
        <w:widowControl w:val="0"/>
        <w:suppressLineNumbers w:val="0"/>
        <w:spacing w:before="126" w:beforeLines="20" w:beforeAutospacing="0" w:after="0" w:afterAutospacing="0" w:line="360" w:lineRule="exact"/>
        <w:ind w:left="0" w:right="0"/>
        <w:jc w:val="both"/>
        <w:rPr>
          <w:rFonts w:hint="eastAsia" w:ascii="仿宋_GB2312"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填表人：吴丹                               填报日期：2025年4月17日</w:t>
      </w:r>
    </w:p>
    <w:p w14:paraId="518CA78F">
      <w:pPr>
        <w:keepNext w:val="0"/>
        <w:keepLines w:val="0"/>
        <w:widowControl w:val="0"/>
        <w:suppressLineNumbers w:val="0"/>
        <w:spacing w:before="126" w:beforeLines="20" w:beforeAutospacing="0" w:after="0" w:afterAutospacing="0" w:line="360" w:lineRule="exact"/>
        <w:ind w:left="0" w:right="0"/>
        <w:jc w:val="both"/>
      </w:pPr>
      <w:r>
        <w:rPr>
          <w:rFonts w:hint="eastAsia" w:ascii="仿宋_GB2312" w:hAnsi="Times New Roman" w:eastAsia="仿宋_GB2312" w:cs="仿宋_GB2312"/>
          <w:kern w:val="2"/>
          <w:sz w:val="24"/>
          <w:szCs w:val="24"/>
          <w:lang w:val="en-US" w:eastAsia="zh-CN" w:bidi="ar"/>
        </w:rPr>
        <w:t>联系电话：18570802181                      单位负责人签字：</w:t>
      </w:r>
    </w:p>
    <w:sectPr>
      <w:pgSz w:w="11906" w:h="16838"/>
      <w:pgMar w:top="2098" w:right="1474" w:bottom="1534" w:left="1588" w:header="851" w:footer="1588" w:gutter="0"/>
      <w:paperSrc/>
      <w:cols w:space="425" w:num="1"/>
      <w:docGrid w:type="linesAndChar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185205-4584-4AAA-84AF-3F1EF1CF7A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2" w:fontKey="{31C31CC4-F590-49FB-81C8-26F0424014FB}"/>
  </w:font>
  <w:font w:name="仿宋_GB2312">
    <w:panose1 w:val="02010609030101010101"/>
    <w:charset w:val="86"/>
    <w:family w:val="auto"/>
    <w:pitch w:val="fixed"/>
    <w:sig w:usb0="00000001" w:usb1="080E0000" w:usb2="00000000" w:usb3="00000000" w:csb0="00040000" w:csb1="00000000"/>
    <w:embedRegular r:id="rId3" w:fontKey="{B985D116-AAD7-470D-A440-49B8E86571AB}"/>
  </w:font>
  <w:font w:name="Cambria Math">
    <w:panose1 w:val="02040503050406030204"/>
    <w:charset w:val="00"/>
    <w:family w:val="auto"/>
    <w:pitch w:val="variable"/>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F6364115-DF89-4728-A4BB-7EFB6F404D23}"/>
  </w:font>
  <w:font w:name="仿宋">
    <w:panose1 w:val="02010609060101010101"/>
    <w:charset w:val="86"/>
    <w:family w:val="auto"/>
    <w:pitch w:val="fixed"/>
    <w:sig w:usb0="800002BF" w:usb1="38CF7CFA" w:usb2="00000016" w:usb3="00000000" w:csb0="00040001" w:csb1="00000000"/>
    <w:embedRegular r:id="rId5" w:fontKey="{3BE65CA9-1F2B-44AF-AFEE-D0CF9A6EA841}"/>
  </w:font>
  <w:font w:name="@宋体">
    <w:panose1 w:val="02010600030101010101"/>
    <w:charset w:val="86"/>
    <w:family w:val="auto"/>
    <w:pitch w:val="variable"/>
    <w:sig w:usb0="000002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481F9"/>
    <w:multiLevelType w:val="multilevel"/>
    <w:tmpl w:val="B6E481F9"/>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2732BFE1"/>
    <w:multiLevelType w:val="multilevel"/>
    <w:tmpl w:val="2732BFE1"/>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52A07D9E"/>
    <w:multiLevelType w:val="multilevel"/>
    <w:tmpl w:val="52A07D9E"/>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F2BCC"/>
    <w:rsid w:val="117B20CE"/>
    <w:rsid w:val="4AD0284C"/>
    <w:rsid w:val="6C5F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iPriority w:val="0"/>
  </w:style>
  <w:style w:type="table" w:default="1" w:styleId="1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Indent"/>
    <w:basedOn w:val="1"/>
    <w:link w:val="16"/>
    <w:uiPriority w:val="0"/>
    <w:pPr>
      <w:spacing w:after="120" w:afterLines="0" w:afterAutospacing="0"/>
      <w:ind w:left="420" w:leftChars="200"/>
    </w:pPr>
  </w:style>
  <w:style w:type="paragraph" w:styleId="4">
    <w:name w:val="Date"/>
    <w:basedOn w:val="1"/>
    <w:next w:val="1"/>
    <w:link w:val="14"/>
    <w:uiPriority w:val="0"/>
    <w:pPr>
      <w:ind w:left="100" w:leftChars="2500"/>
    </w:pPr>
  </w:style>
  <w:style w:type="paragraph" w:styleId="5">
    <w:name w:val="footer"/>
    <w:basedOn w:val="1"/>
    <w:link w:val="13"/>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仿宋_GB2312" w:cs="Times New Roman"/>
      <w:kern w:val="2"/>
      <w:sz w:val="18"/>
      <w:szCs w:val="18"/>
      <w:lang w:val="en-US" w:eastAsia="zh-CN" w:bidi="ar"/>
    </w:rPr>
  </w:style>
  <w:style w:type="paragraph" w:styleId="6">
    <w:name w:val="header"/>
    <w:basedOn w:val="1"/>
    <w:link w:val="1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link w:val="21"/>
    <w:uiPriority w:val="0"/>
    <w:pPr>
      <w:snapToGrid w:val="0"/>
      <w:jc w:val="left"/>
    </w:pPr>
    <w:rPr>
      <w:sz w:val="18"/>
    </w:rPr>
  </w:style>
  <w:style w:type="paragraph" w:styleId="8">
    <w:name w:val="HTML Preformatted"/>
    <w:basedOn w:val="1"/>
    <w:link w:val="19"/>
    <w:uiPriority w:val="0"/>
    <w:rPr>
      <w:rFonts w:ascii="Courier New" w:hAnsi="Courier New"/>
      <w:sz w:val="20"/>
    </w:rPr>
  </w:style>
  <w:style w:type="paragraph" w:styleId="9">
    <w:name w:val="Body Text First Indent 2"/>
    <w:basedOn w:val="3"/>
    <w:next w:val="1"/>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0"/>
      <w:sz w:val="20"/>
      <w:szCs w:val="24"/>
      <w:lang w:val="en-US" w:eastAsia="zh-CN" w:bidi="ar"/>
    </w:rPr>
  </w:style>
  <w:style w:type="character" w:styleId="12">
    <w:name w:val="Strong"/>
    <w:basedOn w:val="11"/>
    <w:qFormat/>
    <w:uiPriority w:val="0"/>
    <w:rPr>
      <w:b/>
    </w:rPr>
  </w:style>
  <w:style w:type="character" w:customStyle="1" w:styleId="13">
    <w:name w:val="页脚 字符"/>
    <w:basedOn w:val="11"/>
    <w:link w:val="5"/>
    <w:uiPriority w:val="0"/>
    <w:rPr>
      <w:rFonts w:hint="eastAsia" w:ascii="仿宋_GB2312" w:eastAsia="仿宋_GB2312" w:cs="仿宋_GB2312"/>
      <w:kern w:val="2"/>
      <w:sz w:val="18"/>
      <w:szCs w:val="18"/>
    </w:rPr>
  </w:style>
  <w:style w:type="character" w:customStyle="1" w:styleId="14">
    <w:name w:val="日期 字符"/>
    <w:basedOn w:val="11"/>
    <w:link w:val="4"/>
    <w:uiPriority w:val="0"/>
    <w:rPr>
      <w:rFonts w:hint="eastAsia" w:ascii="仿宋_GB2312" w:eastAsia="仿宋_GB2312" w:cs="仿宋_GB2312"/>
      <w:kern w:val="2"/>
      <w:sz w:val="30"/>
      <w:szCs w:val="30"/>
    </w:rPr>
  </w:style>
  <w:style w:type="character" w:customStyle="1" w:styleId="15">
    <w:name w:val="正文首行缩进 2 Char1"/>
    <w:basedOn w:val="16"/>
    <w:uiPriority w:val="0"/>
    <w:rPr>
      <w:rFonts w:hint="default" w:ascii="Times New Roman" w:hAnsi="Times New Roman" w:eastAsia="仿宋_GB2312" w:cs="Times New Roman"/>
      <w:kern w:val="2"/>
      <w:sz w:val="30"/>
      <w:szCs w:val="24"/>
    </w:rPr>
  </w:style>
  <w:style w:type="character" w:customStyle="1" w:styleId="16">
    <w:name w:val="正文文本缩进 字符"/>
    <w:basedOn w:val="11"/>
    <w:link w:val="3"/>
    <w:uiPriority w:val="0"/>
    <w:rPr>
      <w:rFonts w:hint="eastAsia" w:ascii="仿宋_GB2312" w:eastAsia="仿宋_GB2312" w:cs="仿宋_GB2312"/>
      <w:kern w:val="2"/>
      <w:sz w:val="30"/>
      <w:szCs w:val="30"/>
    </w:rPr>
  </w:style>
  <w:style w:type="paragraph" w:customStyle="1" w:styleId="17">
    <w:name w:val="Body Text First Indent 2"/>
    <w:basedOn w:val="3"/>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0"/>
      <w:sz w:val="20"/>
      <w:szCs w:val="24"/>
      <w:lang w:val="en-US" w:eastAsia="zh-CN" w:bidi="ar"/>
    </w:rPr>
  </w:style>
  <w:style w:type="character" w:customStyle="1" w:styleId="18">
    <w:name w:val="页眉 字符"/>
    <w:basedOn w:val="11"/>
    <w:link w:val="6"/>
    <w:uiPriority w:val="0"/>
    <w:rPr>
      <w:rFonts w:hint="eastAsia" w:ascii="仿宋_GB2312" w:eastAsia="仿宋_GB2312" w:cs="仿宋_GB2312"/>
      <w:kern w:val="2"/>
      <w:sz w:val="18"/>
      <w:szCs w:val="18"/>
    </w:rPr>
  </w:style>
  <w:style w:type="character" w:customStyle="1" w:styleId="19">
    <w:name w:val="HTML 预设格式 字符"/>
    <w:basedOn w:val="11"/>
    <w:link w:val="8"/>
    <w:uiPriority w:val="0"/>
    <w:rPr>
      <w:rFonts w:hint="eastAsia" w:ascii="宋体" w:hAnsi="宋体" w:eastAsia="宋体" w:cs="宋体"/>
      <w:sz w:val="24"/>
      <w:szCs w:val="24"/>
    </w:rPr>
  </w:style>
  <w:style w:type="character" w:customStyle="1" w:styleId="20">
    <w:name w:val="标题 1 字符"/>
    <w:basedOn w:val="11"/>
    <w:link w:val="2"/>
    <w:uiPriority w:val="0"/>
    <w:rPr>
      <w:rFonts w:hint="default" w:ascii="Calibri" w:hAnsi="Calibri" w:cs="Calibri"/>
      <w:b/>
      <w:bCs/>
      <w:kern w:val="44"/>
      <w:sz w:val="44"/>
      <w:szCs w:val="44"/>
    </w:rPr>
  </w:style>
  <w:style w:type="character" w:customStyle="1" w:styleId="21">
    <w:name w:val="脚注文本 字符"/>
    <w:basedOn w:val="11"/>
    <w:link w:val="7"/>
    <w:uiPriority w:val="0"/>
    <w:rPr>
      <w:rFonts w:hint="eastAsia" w:ascii="等线" w:hAnsi="等线" w:eastAsia="等线" w:cs="等线"/>
      <w:kern w:val="2"/>
      <w:sz w:val="18"/>
      <w:szCs w:val="18"/>
    </w:rPr>
  </w:style>
  <w:style w:type="character" w:customStyle="1" w:styleId="22">
    <w:name w:val="正文文本首行缩进 2 字符"/>
    <w:basedOn w:val="16"/>
    <w:uiPriority w:val="0"/>
    <w:rPr>
      <w:rFonts w:hint="eastAsia" w:ascii="仿宋_GB2312" w:eastAsia="仿宋_GB2312" w:cs="仿宋_GB2312"/>
      <w:kern w:val="2"/>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2025-09-05T02:40:00Z</dcterms:created>
  <dc:creator>周芬</dc:creator>
  <cp:lastModifiedBy>周芬</cp:lastModifiedBy>
  <dcterms:modified xsi:type="dcterms:W3CDTF">2025-09-05T02:41:21Z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FD091F8A2907468B8FF7585A71E6711F_13</vt:lpwstr>
  </property>
  <property fmtid="{D5CDD505-2E9C-101B-9397-08002B2CF9AE}" pid="4" name="KSOTemplateDocerSaveRecord">
    <vt:lpwstr>eyJoZGlkIjoiNjMxNDU2NDdjYmI5OWNkYTZmZjMyNzRhODNlYzdlZjMiLCJ1c2VySWQiOiIxNDM2OTM4ODEwIn0=</vt:lpwstr>
  </property>
</Properties>
</file>