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6585B">
      <w:pPr>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14:paraId="54E5F295">
      <w:pPr>
        <w:spacing w:line="600" w:lineRule="exact"/>
        <w:jc w:val="center"/>
        <w:rPr>
          <w:rFonts w:hint="default" w:ascii="Times New Roman" w:hAnsi="Times New Roman" w:eastAsia="方正小标宋简体" w:cs="Times New Roman"/>
          <w:color w:val="auto"/>
          <w:sz w:val="40"/>
          <w:szCs w:val="40"/>
        </w:rPr>
      </w:pPr>
      <w:bookmarkStart w:id="0" w:name="_GoBack"/>
      <w:r>
        <w:rPr>
          <w:rFonts w:hint="default" w:ascii="Times New Roman" w:hAnsi="Times New Roman" w:eastAsia="方正小标宋简体" w:cs="Times New Roman"/>
          <w:color w:val="auto"/>
          <w:sz w:val="40"/>
          <w:szCs w:val="40"/>
        </w:rPr>
        <w:t>202</w:t>
      </w:r>
      <w:r>
        <w:rPr>
          <w:rFonts w:hint="default" w:ascii="Times New Roman" w:hAnsi="Times New Roman" w:eastAsia="方正小标宋简体" w:cs="Times New Roman"/>
          <w:color w:val="auto"/>
          <w:sz w:val="40"/>
          <w:szCs w:val="40"/>
          <w:lang w:val="en-US" w:eastAsia="zh-CN"/>
        </w:rPr>
        <w:t>5</w:t>
      </w:r>
      <w:r>
        <w:rPr>
          <w:rFonts w:hint="default" w:ascii="Times New Roman" w:hAnsi="Times New Roman" w:eastAsia="方正小标宋简体" w:cs="Times New Roman"/>
          <w:color w:val="auto"/>
          <w:sz w:val="40"/>
          <w:szCs w:val="40"/>
        </w:rPr>
        <w:t>年湖南省</w:t>
      </w:r>
      <w:r>
        <w:rPr>
          <w:rFonts w:hint="default" w:ascii="Times New Roman" w:hAnsi="Times New Roman" w:eastAsia="方正小标宋简体" w:cs="Times New Roman"/>
          <w:color w:val="auto"/>
          <w:sz w:val="40"/>
          <w:szCs w:val="40"/>
          <w:lang w:eastAsia="zh-CN"/>
        </w:rPr>
        <w:t>绿色智能计算产业</w:t>
      </w:r>
      <w:r>
        <w:rPr>
          <w:rFonts w:hint="default" w:ascii="Times New Roman" w:hAnsi="Times New Roman" w:eastAsia="方正小标宋简体" w:cs="Times New Roman"/>
          <w:color w:val="auto"/>
          <w:sz w:val="40"/>
          <w:szCs w:val="40"/>
        </w:rPr>
        <w:t>资金申报指南</w:t>
      </w:r>
    </w:p>
    <w:bookmarkEnd w:id="0"/>
    <w:tbl>
      <w:tblPr>
        <w:tblStyle w:val="6"/>
        <w:tblW w:w="15024" w:type="dxa"/>
        <w:jc w:val="center"/>
        <w:tblLayout w:type="autofit"/>
        <w:tblCellMar>
          <w:top w:w="0" w:type="dxa"/>
          <w:left w:w="108" w:type="dxa"/>
          <w:bottom w:w="0" w:type="dxa"/>
          <w:right w:w="108" w:type="dxa"/>
        </w:tblCellMar>
      </w:tblPr>
      <w:tblGrid>
        <w:gridCol w:w="1395"/>
        <w:gridCol w:w="4493"/>
        <w:gridCol w:w="8304"/>
        <w:gridCol w:w="832"/>
      </w:tblGrid>
      <w:tr w14:paraId="01ED209D">
        <w:tblPrEx>
          <w:tblCellMar>
            <w:top w:w="0" w:type="dxa"/>
            <w:left w:w="108" w:type="dxa"/>
            <w:bottom w:w="0" w:type="dxa"/>
            <w:right w:w="108" w:type="dxa"/>
          </w:tblCellMar>
        </w:tblPrEx>
        <w:trPr>
          <w:trHeight w:val="494" w:hRule="atLeast"/>
          <w:tblHeader/>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14:paraId="59FD396A">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支持事项</w:t>
            </w:r>
          </w:p>
        </w:tc>
        <w:tc>
          <w:tcPr>
            <w:tcW w:w="1495" w:type="pct"/>
            <w:tcBorders>
              <w:top w:val="single" w:color="auto" w:sz="4" w:space="0"/>
              <w:left w:val="nil"/>
              <w:bottom w:val="single" w:color="auto" w:sz="4" w:space="0"/>
              <w:right w:val="single" w:color="auto" w:sz="4" w:space="0"/>
            </w:tcBorders>
            <w:noWrap w:val="0"/>
            <w:vAlign w:val="center"/>
          </w:tcPr>
          <w:p w14:paraId="11D50F71">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具体方向</w:t>
            </w:r>
          </w:p>
        </w:tc>
        <w:tc>
          <w:tcPr>
            <w:tcW w:w="2763" w:type="pct"/>
            <w:tcBorders>
              <w:top w:val="single" w:color="auto" w:sz="4" w:space="0"/>
              <w:left w:val="nil"/>
              <w:bottom w:val="single" w:color="auto" w:sz="4" w:space="0"/>
              <w:right w:val="single" w:color="auto" w:sz="4" w:space="0"/>
            </w:tcBorders>
            <w:noWrap w:val="0"/>
            <w:vAlign w:val="center"/>
          </w:tcPr>
          <w:p w14:paraId="4074E3F0">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申报条件</w:t>
            </w:r>
          </w:p>
        </w:tc>
        <w:tc>
          <w:tcPr>
            <w:tcW w:w="277" w:type="pct"/>
            <w:tcBorders>
              <w:top w:val="single" w:color="auto" w:sz="4" w:space="0"/>
              <w:left w:val="nil"/>
              <w:bottom w:val="single" w:color="auto" w:sz="4" w:space="0"/>
              <w:right w:val="single" w:color="auto" w:sz="4" w:space="0"/>
            </w:tcBorders>
            <w:noWrap w:val="0"/>
            <w:vAlign w:val="center"/>
          </w:tcPr>
          <w:p w14:paraId="539A74B5">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支持方式</w:t>
            </w:r>
          </w:p>
        </w:tc>
      </w:tr>
      <w:tr w14:paraId="371639E6">
        <w:tblPrEx>
          <w:tblCellMar>
            <w:top w:w="0" w:type="dxa"/>
            <w:left w:w="108" w:type="dxa"/>
            <w:bottom w:w="0" w:type="dxa"/>
            <w:right w:w="108" w:type="dxa"/>
          </w:tblCellMar>
        </w:tblPrEx>
        <w:trPr>
          <w:trHeight w:val="1053" w:hRule="atLeast"/>
          <w:jc w:val="center"/>
        </w:trPr>
        <w:tc>
          <w:tcPr>
            <w:tcW w:w="464" w:type="pct"/>
            <w:vMerge w:val="restart"/>
            <w:tcBorders>
              <w:top w:val="single" w:color="auto" w:sz="4" w:space="0"/>
              <w:left w:val="single" w:color="auto" w:sz="4" w:space="0"/>
              <w:right w:val="single" w:color="auto" w:sz="4" w:space="0"/>
            </w:tcBorders>
            <w:noWrap w:val="0"/>
            <w:vAlign w:val="center"/>
          </w:tcPr>
          <w:p w14:paraId="293C262D">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4"/>
                <w:szCs w:val="24"/>
              </w:rPr>
              <w:t>一</w:t>
            </w:r>
            <w:r>
              <w:rPr>
                <w:rFonts w:hint="default" w:ascii="Times New Roman" w:hAnsi="Times New Roman" w:eastAsia="黑体" w:cs="Times New Roman"/>
                <w:color w:val="auto"/>
                <w:sz w:val="24"/>
                <w:szCs w:val="24"/>
                <w:lang w:eastAsia="zh-CN"/>
              </w:rPr>
              <w:t>、</w:t>
            </w:r>
            <w:r>
              <w:rPr>
                <w:rFonts w:hint="default" w:ascii="Times New Roman" w:hAnsi="Times New Roman" w:eastAsia="黑体" w:cs="Times New Roman"/>
                <w:color w:val="auto"/>
                <w:sz w:val="24"/>
                <w:szCs w:val="24"/>
              </w:rPr>
              <w:t>夯实算力支撑能力项目</w:t>
            </w:r>
          </w:p>
        </w:tc>
        <w:tc>
          <w:tcPr>
            <w:tcW w:w="1495" w:type="pct"/>
            <w:tcBorders>
              <w:top w:val="single" w:color="auto" w:sz="4" w:space="0"/>
              <w:left w:val="single" w:color="auto" w:sz="4" w:space="0"/>
              <w:bottom w:val="single" w:color="auto" w:sz="4" w:space="0"/>
              <w:right w:val="single" w:color="auto" w:sz="4" w:space="0"/>
            </w:tcBorders>
            <w:noWrap w:val="0"/>
            <w:vAlign w:val="center"/>
          </w:tcPr>
          <w:p w14:paraId="03C66AD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1、公共智算中心建设补助方向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57DD332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lang w:val="en-US" w:eastAsia="zh-Hans"/>
              </w:rPr>
            </w:pPr>
            <w:r>
              <w:rPr>
                <w:rFonts w:hint="default" w:ascii="Times New Roman" w:hAnsi="Times New Roman" w:eastAsia="仿宋_GB2312" w:cs="Times New Roman"/>
                <w:color w:val="auto"/>
                <w:sz w:val="24"/>
                <w:szCs w:val="24"/>
                <w:lang w:val="en-US" w:eastAsia="zh-CN"/>
              </w:rPr>
              <w:t>自2025年1月1日起，在省内新建（或改造）总算力在50PFlops以上（1000个标准机架以上），且电能利用效率（PUE）不高于1.3，可为其他企业提供公共算力服务并已竣工验收的智算中心项目。</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04ABFFF9">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6670967F">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补助</w:t>
            </w:r>
          </w:p>
        </w:tc>
      </w:tr>
      <w:tr w14:paraId="1F345C7F">
        <w:tblPrEx>
          <w:tblCellMar>
            <w:top w:w="0" w:type="dxa"/>
            <w:left w:w="108" w:type="dxa"/>
            <w:bottom w:w="0" w:type="dxa"/>
            <w:right w:w="108" w:type="dxa"/>
          </w:tblCellMar>
        </w:tblPrEx>
        <w:trPr>
          <w:trHeight w:val="794" w:hRule="atLeast"/>
          <w:jc w:val="center"/>
        </w:trPr>
        <w:tc>
          <w:tcPr>
            <w:tcW w:w="464" w:type="pct"/>
            <w:vMerge w:val="continue"/>
            <w:tcBorders>
              <w:left w:val="single" w:color="auto" w:sz="4" w:space="0"/>
              <w:right w:val="single" w:color="auto" w:sz="4" w:space="0"/>
            </w:tcBorders>
            <w:noWrap w:val="0"/>
            <w:vAlign w:val="center"/>
          </w:tcPr>
          <w:p w14:paraId="186AC025">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黑体" w:cs="Times New Roman"/>
                <w:color w:val="auto"/>
                <w:sz w:val="24"/>
                <w:szCs w:val="24"/>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00111D0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2、企业智算中心、边缘计算设施建设补助方向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04B7BCA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自2025年1月1日起，省内企业自建的设备和软件采购费用超过300万元并竣工验收（投入使用）的智算中心及边缘计算设施项目。</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111BD506">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2DA42FB3">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补助</w:t>
            </w:r>
          </w:p>
        </w:tc>
      </w:tr>
      <w:tr w14:paraId="15368FAA">
        <w:tblPrEx>
          <w:tblCellMar>
            <w:top w:w="0" w:type="dxa"/>
            <w:left w:w="108" w:type="dxa"/>
            <w:bottom w:w="0" w:type="dxa"/>
            <w:right w:w="108" w:type="dxa"/>
          </w:tblCellMar>
        </w:tblPrEx>
        <w:trPr>
          <w:trHeight w:val="794" w:hRule="atLeast"/>
          <w:jc w:val="center"/>
        </w:trPr>
        <w:tc>
          <w:tcPr>
            <w:tcW w:w="464" w:type="pct"/>
            <w:vMerge w:val="continue"/>
            <w:tcBorders>
              <w:left w:val="single" w:color="auto" w:sz="4" w:space="0"/>
              <w:right w:val="single" w:color="auto" w:sz="4" w:space="0"/>
            </w:tcBorders>
            <w:noWrap w:val="0"/>
            <w:vAlign w:val="center"/>
          </w:tcPr>
          <w:p w14:paraId="5E502F64">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黑体" w:cs="Times New Roman"/>
                <w:color w:val="auto"/>
                <w:sz w:val="24"/>
                <w:szCs w:val="24"/>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3490E7D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3、算力中心储能配套设施建设补助方向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593B55A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自2025年1月1日起，为省内算力中心配套建设储能规模在500千瓦时以上并竣工验收的储能设施项目。</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33BECACD">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45BEE3F7">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补助</w:t>
            </w:r>
          </w:p>
        </w:tc>
      </w:tr>
      <w:tr w14:paraId="30847F17">
        <w:tblPrEx>
          <w:tblCellMar>
            <w:top w:w="0" w:type="dxa"/>
            <w:left w:w="108" w:type="dxa"/>
            <w:bottom w:w="0" w:type="dxa"/>
            <w:right w:w="108" w:type="dxa"/>
          </w:tblCellMar>
        </w:tblPrEx>
        <w:trPr>
          <w:trHeight w:val="794" w:hRule="atLeast"/>
          <w:jc w:val="center"/>
        </w:trPr>
        <w:tc>
          <w:tcPr>
            <w:tcW w:w="464" w:type="pct"/>
            <w:vMerge w:val="restart"/>
            <w:tcBorders>
              <w:top w:val="single" w:color="auto" w:sz="4" w:space="0"/>
              <w:left w:val="single" w:color="auto" w:sz="4" w:space="0"/>
              <w:right w:val="single" w:color="auto" w:sz="4" w:space="0"/>
            </w:tcBorders>
            <w:noWrap w:val="0"/>
            <w:vAlign w:val="center"/>
          </w:tcPr>
          <w:p w14:paraId="4222BAC8">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eastAsia="zh-CN"/>
              </w:rPr>
              <w:t>二</w:t>
            </w:r>
            <w:r>
              <w:rPr>
                <w:rFonts w:hint="default" w:ascii="Times New Roman" w:hAnsi="Times New Roman" w:eastAsia="黑体" w:cs="Times New Roman"/>
                <w:color w:val="auto"/>
                <w:sz w:val="24"/>
                <w:szCs w:val="24"/>
              </w:rPr>
              <w:t>、提升产业创新能力项目</w:t>
            </w:r>
          </w:p>
        </w:tc>
        <w:tc>
          <w:tcPr>
            <w:tcW w:w="1495" w:type="pct"/>
            <w:tcBorders>
              <w:top w:val="single" w:color="auto" w:sz="4" w:space="0"/>
              <w:left w:val="single" w:color="auto" w:sz="4" w:space="0"/>
              <w:bottom w:val="single" w:color="auto" w:sz="4" w:space="0"/>
              <w:right w:val="single" w:color="auto" w:sz="4" w:space="0"/>
            </w:tcBorders>
            <w:noWrap w:val="0"/>
            <w:vAlign w:val="center"/>
          </w:tcPr>
          <w:p w14:paraId="49BFF94B">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4、产业关键技术攻关补助方向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7D870226">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列入</w:t>
            </w:r>
            <w:r>
              <w:rPr>
                <w:rFonts w:hint="default" w:ascii="Times New Roman" w:hAnsi="Times New Roman" w:cs="Times New Roman"/>
                <w:color w:val="auto"/>
                <w:kern w:val="2"/>
                <w:sz w:val="24"/>
                <w:szCs w:val="24"/>
                <w:lang w:val="en-US" w:eastAsia="zh-CN" w:bidi="ar-SA"/>
              </w:rPr>
              <w:t>2024年省</w:t>
            </w:r>
            <w:r>
              <w:rPr>
                <w:rFonts w:hint="default" w:ascii="Times New Roman" w:hAnsi="Times New Roman" w:eastAsia="仿宋_GB2312" w:cs="Times New Roman"/>
                <w:color w:val="auto"/>
                <w:kern w:val="2"/>
                <w:sz w:val="24"/>
                <w:szCs w:val="24"/>
                <w:lang w:val="en-US" w:eastAsia="zh-CN" w:bidi="ar-SA"/>
              </w:rPr>
              <w:t>重点软件领域关键技术攻关项目或入选国家算力</w:t>
            </w:r>
            <w:r>
              <w:rPr>
                <w:rFonts w:hint="default" w:ascii="Times New Roman" w:hAnsi="Times New Roman" w:cs="Times New Roman"/>
                <w:color w:val="auto"/>
                <w:kern w:val="2"/>
                <w:sz w:val="24"/>
                <w:szCs w:val="24"/>
                <w:lang w:val="en-US" w:eastAsia="zh-CN" w:bidi="ar-SA"/>
              </w:rPr>
              <w:t>强基</w:t>
            </w:r>
            <w:r>
              <w:rPr>
                <w:rFonts w:hint="default" w:ascii="Times New Roman" w:hAnsi="Times New Roman" w:eastAsia="仿宋_GB2312" w:cs="Times New Roman"/>
                <w:color w:val="auto"/>
                <w:kern w:val="2"/>
                <w:sz w:val="24"/>
                <w:szCs w:val="24"/>
                <w:lang w:val="en-US" w:eastAsia="zh-CN" w:bidi="ar-SA"/>
              </w:rPr>
              <w:t>揭榜</w:t>
            </w:r>
            <w:r>
              <w:rPr>
                <w:rFonts w:hint="default" w:ascii="Times New Roman" w:hAnsi="Times New Roman" w:cs="Times New Roman"/>
                <w:color w:val="auto"/>
                <w:kern w:val="2"/>
                <w:sz w:val="24"/>
                <w:szCs w:val="24"/>
                <w:lang w:val="en-US" w:eastAsia="zh-CN" w:bidi="ar-SA"/>
              </w:rPr>
              <w:t>入围</w:t>
            </w:r>
            <w:r>
              <w:rPr>
                <w:rFonts w:hint="default" w:ascii="Times New Roman" w:hAnsi="Times New Roman" w:eastAsia="仿宋_GB2312" w:cs="Times New Roman"/>
                <w:color w:val="auto"/>
                <w:kern w:val="2"/>
                <w:sz w:val="24"/>
                <w:szCs w:val="24"/>
                <w:lang w:val="en-US" w:eastAsia="zh-CN" w:bidi="ar-SA"/>
              </w:rPr>
              <w:t>名单，已按要求开展关键技术攻关并产生研发投入超过300万元的项目。</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2A35D964">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10FEDEFE">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补助</w:t>
            </w:r>
          </w:p>
        </w:tc>
      </w:tr>
      <w:tr w14:paraId="3170227C">
        <w:tblPrEx>
          <w:tblCellMar>
            <w:top w:w="0" w:type="dxa"/>
            <w:left w:w="108" w:type="dxa"/>
            <w:bottom w:w="0" w:type="dxa"/>
            <w:right w:w="108" w:type="dxa"/>
          </w:tblCellMar>
        </w:tblPrEx>
        <w:trPr>
          <w:trHeight w:val="1361" w:hRule="atLeast"/>
          <w:jc w:val="center"/>
        </w:trPr>
        <w:tc>
          <w:tcPr>
            <w:tcW w:w="464" w:type="pct"/>
            <w:vMerge w:val="continue"/>
            <w:tcBorders>
              <w:left w:val="single" w:color="auto" w:sz="4" w:space="0"/>
              <w:bottom w:val="single" w:color="auto" w:sz="4" w:space="0"/>
              <w:right w:val="single" w:color="auto" w:sz="4" w:space="0"/>
            </w:tcBorders>
            <w:noWrap w:val="0"/>
            <w:vAlign w:val="center"/>
          </w:tcPr>
          <w:p w14:paraId="25CDA507">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黑体" w:cs="Times New Roman"/>
                <w:color w:val="auto"/>
                <w:sz w:val="24"/>
                <w:szCs w:val="24"/>
                <w:lang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2D60DFD">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5、产业标准制定、专利研发布局奖励方向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108D585E">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自2025年1月1日起，</w:t>
            </w:r>
            <w:r>
              <w:rPr>
                <w:rFonts w:hint="default" w:ascii="Times New Roman" w:hAnsi="Times New Roman" w:eastAsia="仿宋_GB2312" w:cs="Times New Roman"/>
                <w:color w:val="auto"/>
                <w:kern w:val="2"/>
                <w:sz w:val="24"/>
                <w:szCs w:val="24"/>
                <w:lang w:val="en-US" w:eastAsia="zh-CN" w:bidi="ar-SA"/>
              </w:rPr>
              <w:t>主导制定（主导单位是指制定单位中排名第1的单位）并获批发布绿色智能计算领域国际标准、国家标准、行业标准、地方标准的省内企业或累计申请获得绿色智能计算领域发明专利授权达到50件、100件、150件的省内企业和机构。</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5B5F631C">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奖励</w:t>
            </w:r>
          </w:p>
        </w:tc>
      </w:tr>
      <w:tr w14:paraId="7691C3B7">
        <w:tblPrEx>
          <w:tblCellMar>
            <w:top w:w="0" w:type="dxa"/>
            <w:left w:w="108" w:type="dxa"/>
            <w:bottom w:w="0" w:type="dxa"/>
            <w:right w:w="108" w:type="dxa"/>
          </w:tblCellMar>
        </w:tblPrEx>
        <w:trPr>
          <w:trHeight w:val="624" w:hRule="atLeast"/>
          <w:jc w:val="center"/>
        </w:trPr>
        <w:tc>
          <w:tcPr>
            <w:tcW w:w="464" w:type="pct"/>
            <w:vMerge w:val="restart"/>
            <w:tcBorders>
              <w:top w:val="single" w:color="auto" w:sz="4" w:space="0"/>
              <w:left w:val="single" w:color="auto" w:sz="4" w:space="0"/>
              <w:right w:val="single" w:color="auto" w:sz="4" w:space="0"/>
            </w:tcBorders>
            <w:noWrap w:val="0"/>
            <w:vAlign w:val="center"/>
          </w:tcPr>
          <w:p w14:paraId="38569B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highlight w:val="none"/>
                <w:lang w:val="en-US" w:eastAsia="zh-CN"/>
              </w:rPr>
              <w:t>三、</w:t>
            </w:r>
            <w:r>
              <w:rPr>
                <w:rFonts w:hint="default" w:ascii="Times New Roman" w:hAnsi="Times New Roman" w:eastAsia="黑体" w:cs="Times New Roman"/>
                <w:color w:val="auto"/>
                <w:sz w:val="24"/>
                <w:szCs w:val="24"/>
                <w:highlight w:val="none"/>
              </w:rPr>
              <w:t>培育壮大产业集群项目</w:t>
            </w:r>
          </w:p>
        </w:tc>
        <w:tc>
          <w:tcPr>
            <w:tcW w:w="1495" w:type="pct"/>
            <w:tcBorders>
              <w:top w:val="single" w:color="auto" w:sz="4" w:space="0"/>
              <w:left w:val="single" w:color="auto" w:sz="4" w:space="0"/>
              <w:bottom w:val="single" w:color="auto" w:sz="4" w:space="0"/>
              <w:right w:val="single" w:color="auto" w:sz="4" w:space="0"/>
            </w:tcBorders>
            <w:noWrap w:val="0"/>
            <w:vAlign w:val="center"/>
          </w:tcPr>
          <w:p w14:paraId="18D5CFD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6、省重点软件企业培育奖励方向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18B9468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已列入省重点软件企业清单，且上年度营业收入增速超过15%的企业。</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6FFE86D4">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奖励</w:t>
            </w:r>
          </w:p>
        </w:tc>
      </w:tr>
      <w:tr w14:paraId="6240F988">
        <w:tblPrEx>
          <w:tblCellMar>
            <w:top w:w="0" w:type="dxa"/>
            <w:left w:w="108" w:type="dxa"/>
            <w:bottom w:w="0" w:type="dxa"/>
            <w:right w:w="108" w:type="dxa"/>
          </w:tblCellMar>
        </w:tblPrEx>
        <w:trPr>
          <w:trHeight w:val="891" w:hRule="atLeast"/>
          <w:jc w:val="center"/>
        </w:trPr>
        <w:tc>
          <w:tcPr>
            <w:tcW w:w="464" w:type="pct"/>
            <w:vMerge w:val="continue"/>
            <w:tcBorders>
              <w:left w:val="single" w:color="auto" w:sz="4" w:space="0"/>
              <w:bottom w:val="single" w:color="auto" w:sz="4" w:space="0"/>
              <w:right w:val="single" w:color="auto" w:sz="4" w:space="0"/>
            </w:tcBorders>
            <w:noWrap w:val="0"/>
            <w:vAlign w:val="center"/>
          </w:tcPr>
          <w:p w14:paraId="7327AF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color w:val="auto"/>
                <w:sz w:val="24"/>
                <w:szCs w:val="24"/>
                <w:highlight w:val="none"/>
                <w:lang w:val="en-US"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731400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7、首次获得投资的创新型企业奖励方向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38CBF82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自2025年1月1日起，</w:t>
            </w:r>
            <w:r>
              <w:rPr>
                <w:rFonts w:hint="default" w:ascii="Times New Roman" w:hAnsi="Times New Roman" w:eastAsia="仿宋_GB2312" w:cs="Times New Roman"/>
                <w:color w:val="auto"/>
                <w:kern w:val="2"/>
                <w:sz w:val="24"/>
                <w:szCs w:val="24"/>
                <w:lang w:val="en-US" w:eastAsia="zh-CN" w:bidi="ar-SA"/>
              </w:rPr>
              <w:t>首次获得天使投资、风险投资或私募股权投资额超过300万元的省内绿色智能计算企业。</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2321C82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奖励</w:t>
            </w:r>
          </w:p>
        </w:tc>
      </w:tr>
      <w:tr w14:paraId="1EADDFC1">
        <w:tblPrEx>
          <w:tblCellMar>
            <w:top w:w="0" w:type="dxa"/>
            <w:left w:w="108" w:type="dxa"/>
            <w:bottom w:w="0" w:type="dxa"/>
            <w:right w:w="108" w:type="dxa"/>
          </w:tblCellMar>
        </w:tblPrEx>
        <w:trPr>
          <w:trHeight w:val="951" w:hRule="atLeast"/>
          <w:jc w:val="center"/>
        </w:trPr>
        <w:tc>
          <w:tcPr>
            <w:tcW w:w="464" w:type="pct"/>
            <w:vMerge w:val="restart"/>
            <w:tcBorders>
              <w:top w:val="single" w:color="auto" w:sz="4" w:space="0"/>
              <w:left w:val="single" w:color="auto" w:sz="4" w:space="0"/>
              <w:right w:val="single" w:color="auto" w:sz="4" w:space="0"/>
            </w:tcBorders>
            <w:noWrap w:val="0"/>
            <w:vAlign w:val="center"/>
          </w:tcPr>
          <w:p w14:paraId="19B143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四、优化产业发展生态项目</w:t>
            </w: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19A7E6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8、开源软件平台运营补助方向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606F235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在省内建设的开源软件创新平台、开源社区、开源代码托管平台、开源代码安全检测平台项目，平台年运营费用超过300万元。</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4A282925">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0DB2BE6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补助</w:t>
            </w:r>
          </w:p>
        </w:tc>
      </w:tr>
      <w:tr w14:paraId="6393C592">
        <w:tblPrEx>
          <w:tblCellMar>
            <w:top w:w="0" w:type="dxa"/>
            <w:left w:w="108" w:type="dxa"/>
            <w:bottom w:w="0" w:type="dxa"/>
            <w:right w:w="108" w:type="dxa"/>
          </w:tblCellMar>
        </w:tblPrEx>
        <w:trPr>
          <w:trHeight w:val="1196" w:hRule="atLeast"/>
          <w:jc w:val="center"/>
        </w:trPr>
        <w:tc>
          <w:tcPr>
            <w:tcW w:w="464" w:type="pct"/>
            <w:vMerge w:val="continue"/>
            <w:tcBorders>
              <w:left w:val="single" w:color="auto" w:sz="4" w:space="0"/>
              <w:right w:val="single" w:color="auto" w:sz="4" w:space="0"/>
            </w:tcBorders>
            <w:noWrap w:val="0"/>
            <w:vAlign w:val="center"/>
          </w:tcPr>
          <w:p w14:paraId="02225EC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0DE3A15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9、开源生态推广补助方向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7EC46EC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由开放原子开源基金会孵化及运营的开源社区主导，并经市县（区）政府、省级以上园区支持或同意，在省内建设运营的开源生态推广项目，开源生态推广投入费用超过300万元。</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393123E8">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5DFB1701">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补助</w:t>
            </w:r>
          </w:p>
        </w:tc>
      </w:tr>
      <w:tr w14:paraId="623B4E55">
        <w:tblPrEx>
          <w:tblCellMar>
            <w:top w:w="0" w:type="dxa"/>
            <w:left w:w="108" w:type="dxa"/>
            <w:bottom w:w="0" w:type="dxa"/>
            <w:right w:w="108" w:type="dxa"/>
          </w:tblCellMar>
        </w:tblPrEx>
        <w:trPr>
          <w:trHeight w:val="1065" w:hRule="atLeast"/>
          <w:jc w:val="center"/>
        </w:trPr>
        <w:tc>
          <w:tcPr>
            <w:tcW w:w="464" w:type="pct"/>
            <w:vMerge w:val="continue"/>
            <w:tcBorders>
              <w:left w:val="single" w:color="auto" w:sz="4" w:space="0"/>
              <w:right w:val="single" w:color="auto" w:sz="4" w:space="0"/>
            </w:tcBorders>
            <w:noWrap w:val="0"/>
            <w:vAlign w:val="center"/>
          </w:tcPr>
          <w:p w14:paraId="249318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5F7ECDA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10、开源项目及商业发行版软件产品补助方向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7FD94D4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自2025年1月1日起</w:t>
            </w:r>
            <w:r>
              <w:rPr>
                <w:rFonts w:hint="default" w:ascii="Times New Roman" w:hAnsi="Times New Roman" w:eastAsia="仿宋_GB2312" w:cs="Times New Roman"/>
                <w:color w:val="auto"/>
                <w:kern w:val="2"/>
                <w:sz w:val="24"/>
                <w:szCs w:val="24"/>
                <w:lang w:val="en-US" w:eastAsia="zh-CN" w:bidi="ar-SA"/>
              </w:rPr>
              <w:t>，省内孵化的优质开源项目或省内企业基于开源项目研发并取得市场销售收入的商业发行版软件产品，项目和产品研发投入金额不低于100万元，商业发行版软件产品累计销售收入不低于50万元。</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27AF4E73">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058C9336">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补助</w:t>
            </w:r>
          </w:p>
        </w:tc>
      </w:tr>
      <w:tr w14:paraId="241A1505">
        <w:tblPrEx>
          <w:tblCellMar>
            <w:top w:w="0" w:type="dxa"/>
            <w:left w:w="108" w:type="dxa"/>
            <w:bottom w:w="0" w:type="dxa"/>
            <w:right w:w="108" w:type="dxa"/>
          </w:tblCellMar>
        </w:tblPrEx>
        <w:trPr>
          <w:trHeight w:val="1814" w:hRule="atLeast"/>
          <w:jc w:val="center"/>
        </w:trPr>
        <w:tc>
          <w:tcPr>
            <w:tcW w:w="464" w:type="pct"/>
            <w:vMerge w:val="continue"/>
            <w:tcBorders>
              <w:left w:val="single" w:color="auto" w:sz="4" w:space="0"/>
              <w:right w:val="single" w:color="auto" w:sz="4" w:space="0"/>
            </w:tcBorders>
            <w:noWrap w:val="0"/>
            <w:vAlign w:val="center"/>
          </w:tcPr>
          <w:p w14:paraId="37E293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63AA8C2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11、创新创业大赛补助方向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326013C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自2025年1月1日起，由省内行业组织（依法成立的产业促进机构、联盟、协会）组织实施并完成的新型信息消费、人工智能、网络安全、数据要素×、数据安全、算法创新、开源开放等绿色智能计算产业领域创新创业大赛活动。各方向赛事最多支持1个活动，优先支持国家部委、部委所属单位、国家级行业组织、省直单位批复及授权组织的赛事活动。</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1812BD5B">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无偿</w:t>
            </w:r>
          </w:p>
          <w:p w14:paraId="0248F717">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补助</w:t>
            </w:r>
          </w:p>
        </w:tc>
      </w:tr>
      <w:tr w14:paraId="29DC28ED">
        <w:tblPrEx>
          <w:tblCellMar>
            <w:top w:w="0" w:type="dxa"/>
            <w:left w:w="108" w:type="dxa"/>
            <w:bottom w:w="0" w:type="dxa"/>
            <w:right w:w="108" w:type="dxa"/>
          </w:tblCellMar>
        </w:tblPrEx>
        <w:trPr>
          <w:trHeight w:val="1064" w:hRule="atLeast"/>
          <w:jc w:val="center"/>
        </w:trPr>
        <w:tc>
          <w:tcPr>
            <w:tcW w:w="464" w:type="pct"/>
            <w:vMerge w:val="continue"/>
            <w:tcBorders>
              <w:left w:val="single" w:color="auto" w:sz="4" w:space="0"/>
              <w:bottom w:val="single" w:color="auto" w:sz="4" w:space="0"/>
              <w:right w:val="single" w:color="auto" w:sz="4" w:space="0"/>
            </w:tcBorders>
            <w:noWrap w:val="0"/>
            <w:vAlign w:val="center"/>
          </w:tcPr>
          <w:p w14:paraId="326CFC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p>
        </w:tc>
        <w:tc>
          <w:tcPr>
            <w:tcW w:w="1495" w:type="pct"/>
            <w:tcBorders>
              <w:top w:val="single" w:color="auto" w:sz="4" w:space="0"/>
              <w:left w:val="single" w:color="auto" w:sz="4" w:space="0"/>
              <w:bottom w:val="single" w:color="auto" w:sz="4" w:space="0"/>
              <w:right w:val="single" w:color="auto" w:sz="4" w:space="0"/>
            </w:tcBorders>
            <w:noWrap w:val="0"/>
            <w:vAlign w:val="center"/>
          </w:tcPr>
          <w:p w14:paraId="6365682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12、计算产业生态创新中心运营奖励方向</w:t>
            </w:r>
          </w:p>
        </w:tc>
        <w:tc>
          <w:tcPr>
            <w:tcW w:w="2763" w:type="pct"/>
            <w:tcBorders>
              <w:top w:val="single" w:color="auto" w:sz="4" w:space="0"/>
              <w:left w:val="single" w:color="auto" w:sz="4" w:space="0"/>
              <w:bottom w:val="single" w:color="auto" w:sz="4" w:space="0"/>
              <w:right w:val="single" w:color="auto" w:sz="4" w:space="0"/>
            </w:tcBorders>
            <w:noWrap w:val="0"/>
            <w:vAlign w:val="center"/>
          </w:tcPr>
          <w:p w14:paraId="491AC2D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经省工业和信息化厅认定，且在2024年度工作评估中排名前三的计算产业生态创新中心。</w:t>
            </w:r>
          </w:p>
        </w:tc>
        <w:tc>
          <w:tcPr>
            <w:tcW w:w="277" w:type="pct"/>
            <w:tcBorders>
              <w:top w:val="single" w:color="auto" w:sz="4" w:space="0"/>
              <w:left w:val="single" w:color="auto" w:sz="4" w:space="0"/>
              <w:bottom w:val="single" w:color="auto" w:sz="4" w:space="0"/>
              <w:right w:val="single" w:color="auto" w:sz="4" w:space="0"/>
            </w:tcBorders>
            <w:noWrap w:val="0"/>
            <w:vAlign w:val="center"/>
          </w:tcPr>
          <w:p w14:paraId="372F9AA5">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奖励</w:t>
            </w:r>
          </w:p>
        </w:tc>
      </w:tr>
    </w:tbl>
    <w:p w14:paraId="7EC2704D">
      <w:pPr>
        <w:rPr>
          <w:rFonts w:hint="default" w:ascii="Times New Roman" w:hAnsi="Times New Roman" w:eastAsia="黑体" w:cs="Times New Roman"/>
          <w:color w:val="auto"/>
          <w:sz w:val="28"/>
          <w:szCs w:val="28"/>
        </w:rPr>
        <w:sectPr>
          <w:pgSz w:w="16838" w:h="11906" w:orient="landscape"/>
          <w:pgMar w:top="2098" w:right="1247" w:bottom="1417" w:left="1587" w:header="964" w:footer="1020" w:gutter="0"/>
          <w:pgNumType w:fmt="numberInDash"/>
          <w:cols w:space="720" w:num="1"/>
          <w:docGrid w:type="lines" w:linePitch="312" w:charSpace="0"/>
        </w:sectPr>
      </w:pPr>
    </w:p>
    <w:p w14:paraId="7E3A8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B2549CA"/>
    <w:rsid w:val="1B25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w:basedOn w:val="1"/>
    <w:next w:val="1"/>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4">
    <w:name w:val="footer"/>
    <w:basedOn w:val="1"/>
    <w:next w:val="2"/>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2025-07-30T08:15:00Z</dcterms:created>
  <dc:creator>杨祖德</dc:creator>
  <cp:lastModifiedBy>杨祖德</cp:lastModifiedBy>
  <dcterms:modified xsi:type="dcterms:W3CDTF">2025-07-30T08:15:25Z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BBFC9C6F2D9540038E37C32C22BF3048_11</vt:lpwstr>
  </property>
</Properties>
</file>