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F82ED">
      <w:pPr>
        <w:ind w:firstLine="640" w:firstLineChars="200"/>
        <w:jc w:val="both"/>
        <w:outlineLvl w:val="2"/>
        <w:rPr>
          <w:rFonts w:hint="eastAsia" w:ascii="Arial Unicode MS" w:hAnsi="Arial Unicode MS" w:eastAsia="Arial Unicode MS" w:cs="Arial Unicode MS"/>
          <w:b w:val="0"/>
          <w:bCs/>
          <w:color w:val="000000" w:themeColor="text1"/>
          <w:sz w:val="28"/>
          <w:szCs w:val="28"/>
          <w14:textFill>
            <w14:solidFill>
              <w14:schemeClr w14:val="tx1"/>
            </w14:solidFill>
          </w14:textFill>
        </w:rPr>
      </w:pPr>
      <w:bookmarkStart w:id="0" w:name="_GoBack"/>
      <w:bookmarkEnd w:id="0"/>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p>
    <w:p w14:paraId="53CBB816">
      <w:pPr>
        <w:ind w:left="0" w:leftChars="0" w:right="0" w:rightChars="0" w:firstLine="0" w:firstLineChars="0"/>
        <w:jc w:val="center"/>
        <w:outlineLvl w:val="2"/>
        <w:rPr>
          <w:rFonts w:hint="eastAsia" w:ascii="Arial Unicode MS" w:hAnsi="Arial Unicode MS" w:eastAsia="Arial Unicode MS" w:cs="Arial Unicode MS"/>
          <w:b w:val="0"/>
          <w:bCs/>
          <w:color w:val="000000" w:themeColor="text1"/>
          <w:sz w:val="44"/>
          <w:szCs w:val="44"/>
          <w14:textFill>
            <w14:solidFill>
              <w14:schemeClr w14:val="tx1"/>
            </w14:solidFill>
          </w14:textFill>
        </w:rPr>
      </w:pPr>
      <w:r>
        <w:rPr>
          <w:rFonts w:hint="eastAsia" w:ascii="Arial Unicode MS" w:hAnsi="Arial Unicode MS" w:eastAsia="Arial Unicode MS" w:cs="Arial Unicode MS"/>
          <w:b w:val="0"/>
          <w:bCs/>
          <w:color w:val="000000" w:themeColor="text1"/>
          <w:sz w:val="44"/>
          <w:szCs w:val="44"/>
          <w14:textFill>
            <w14:solidFill>
              <w14:schemeClr w14:val="tx1"/>
            </w14:solidFill>
          </w14:textFill>
        </w:rPr>
        <w:t>评审因素和标准</w:t>
      </w:r>
    </w:p>
    <w:tbl>
      <w:tblPr>
        <w:tblStyle w:val="4"/>
        <w:tblW w:w="9898" w:type="dxa"/>
        <w:jc w:val="center"/>
        <w:tblLayout w:type="fixed"/>
        <w:tblCellMar>
          <w:top w:w="0" w:type="dxa"/>
          <w:left w:w="0" w:type="dxa"/>
          <w:bottom w:w="0" w:type="dxa"/>
          <w:right w:w="0" w:type="dxa"/>
        </w:tblCellMar>
      </w:tblPr>
      <w:tblGrid>
        <w:gridCol w:w="3510"/>
        <w:gridCol w:w="6388"/>
      </w:tblGrid>
      <w:tr w14:paraId="1A065110">
        <w:tblPrEx>
          <w:tblCellMar>
            <w:top w:w="0" w:type="dxa"/>
            <w:left w:w="0" w:type="dxa"/>
            <w:bottom w:w="0" w:type="dxa"/>
            <w:right w:w="0" w:type="dxa"/>
          </w:tblCellMar>
        </w:tblPrEx>
        <w:trPr>
          <w:trHeight w:val="425" w:hRule="atLeast"/>
          <w:jc w:val="center"/>
        </w:trPr>
        <w:tc>
          <w:tcPr>
            <w:tcW w:w="989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1CBE61F">
            <w:pPr>
              <w:widowControl/>
              <w:jc w:val="center"/>
              <w:rPr>
                <w:rFonts w:ascii="宋体" w:hAnsi="宋体"/>
                <w:color w:val="auto"/>
                <w:kern w:val="0"/>
                <w:szCs w:val="21"/>
              </w:rPr>
            </w:pPr>
            <w:r>
              <w:rPr>
                <w:rFonts w:ascii="宋体" w:hAnsi="宋体"/>
                <w:color w:val="auto"/>
                <w:kern w:val="0"/>
                <w:szCs w:val="21"/>
              </w:rPr>
              <w:t>评审因素及权值</w:t>
            </w:r>
          </w:p>
        </w:tc>
      </w:tr>
      <w:tr w14:paraId="5E015EA8">
        <w:tblPrEx>
          <w:tblCellMar>
            <w:top w:w="0" w:type="dxa"/>
            <w:left w:w="0" w:type="dxa"/>
            <w:bottom w:w="0" w:type="dxa"/>
            <w:right w:w="0" w:type="dxa"/>
          </w:tblCellMar>
        </w:tblPrEx>
        <w:trPr>
          <w:trHeight w:val="425" w:hRule="atLeast"/>
          <w:jc w:val="center"/>
        </w:trPr>
        <w:tc>
          <w:tcPr>
            <w:tcW w:w="351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A122A05">
            <w:pPr>
              <w:widowControl/>
              <w:jc w:val="center"/>
              <w:rPr>
                <w:rFonts w:ascii="宋体" w:hAnsi="宋体"/>
                <w:color w:val="auto"/>
                <w:kern w:val="0"/>
                <w:szCs w:val="21"/>
              </w:rPr>
            </w:pPr>
            <w:r>
              <w:rPr>
                <w:rFonts w:ascii="宋体" w:hAnsi="宋体"/>
                <w:color w:val="auto"/>
                <w:kern w:val="0"/>
                <w:szCs w:val="21"/>
              </w:rPr>
              <w:t>评审因素</w:t>
            </w:r>
          </w:p>
        </w:tc>
        <w:tc>
          <w:tcPr>
            <w:tcW w:w="63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1A07B0A">
            <w:pPr>
              <w:widowControl/>
              <w:jc w:val="center"/>
              <w:rPr>
                <w:rFonts w:ascii="宋体" w:hAnsi="宋体"/>
                <w:color w:val="auto"/>
                <w:kern w:val="0"/>
                <w:szCs w:val="21"/>
              </w:rPr>
            </w:pPr>
            <w:r>
              <w:rPr>
                <w:rFonts w:ascii="宋体" w:hAnsi="宋体"/>
                <w:color w:val="auto"/>
                <w:kern w:val="0"/>
                <w:szCs w:val="21"/>
              </w:rPr>
              <w:t>权值范围</w:t>
            </w:r>
          </w:p>
        </w:tc>
      </w:tr>
      <w:tr w14:paraId="2160D4DD">
        <w:tblPrEx>
          <w:tblCellMar>
            <w:top w:w="0" w:type="dxa"/>
            <w:left w:w="0" w:type="dxa"/>
            <w:bottom w:w="0" w:type="dxa"/>
            <w:right w:w="0" w:type="dxa"/>
          </w:tblCellMar>
        </w:tblPrEx>
        <w:trPr>
          <w:trHeight w:val="425" w:hRule="atLeast"/>
          <w:jc w:val="center"/>
        </w:trPr>
        <w:tc>
          <w:tcPr>
            <w:tcW w:w="351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A38BB68">
            <w:pPr>
              <w:widowControl/>
              <w:jc w:val="center"/>
              <w:rPr>
                <w:rFonts w:ascii="宋体" w:hAnsi="宋体"/>
                <w:color w:val="auto"/>
                <w:kern w:val="0"/>
                <w:szCs w:val="21"/>
              </w:rPr>
            </w:pPr>
            <w:r>
              <w:rPr>
                <w:rFonts w:ascii="宋体" w:hAnsi="宋体"/>
                <w:color w:val="auto"/>
                <w:kern w:val="0"/>
                <w:szCs w:val="21"/>
              </w:rPr>
              <w:t>技术部分</w:t>
            </w:r>
          </w:p>
        </w:tc>
        <w:tc>
          <w:tcPr>
            <w:tcW w:w="63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53DB538">
            <w:pPr>
              <w:widowControl/>
              <w:jc w:val="center"/>
              <w:rPr>
                <w:rFonts w:ascii="宋体" w:hAnsi="宋体"/>
                <w:color w:val="auto"/>
                <w:kern w:val="0"/>
                <w:szCs w:val="21"/>
              </w:rPr>
            </w:pPr>
            <w:r>
              <w:rPr>
                <w:rFonts w:hint="eastAsia" w:ascii="宋体" w:hAnsi="宋体"/>
                <w:color w:val="auto"/>
                <w:kern w:val="0"/>
                <w:szCs w:val="21"/>
              </w:rPr>
              <w:t>（A1）=0.</w:t>
            </w:r>
            <w:r>
              <w:rPr>
                <w:rFonts w:hint="eastAsia" w:ascii="宋体" w:hAnsi="宋体"/>
                <w:color w:val="auto"/>
                <w:kern w:val="0"/>
                <w:szCs w:val="21"/>
                <w:lang w:val="en-US" w:eastAsia="zh-CN"/>
              </w:rPr>
              <w:t>5</w:t>
            </w:r>
            <w:r>
              <w:rPr>
                <w:rFonts w:hint="eastAsia" w:ascii="宋体" w:hAnsi="宋体"/>
                <w:color w:val="auto"/>
                <w:kern w:val="0"/>
                <w:szCs w:val="21"/>
              </w:rPr>
              <w:t>0</w:t>
            </w:r>
          </w:p>
        </w:tc>
      </w:tr>
      <w:tr w14:paraId="3AB828E1">
        <w:tblPrEx>
          <w:tblCellMar>
            <w:top w:w="0" w:type="dxa"/>
            <w:left w:w="0" w:type="dxa"/>
            <w:bottom w:w="0" w:type="dxa"/>
            <w:right w:w="0" w:type="dxa"/>
          </w:tblCellMar>
        </w:tblPrEx>
        <w:trPr>
          <w:trHeight w:val="425" w:hRule="atLeast"/>
          <w:jc w:val="center"/>
        </w:trPr>
        <w:tc>
          <w:tcPr>
            <w:tcW w:w="351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DA0EF65">
            <w:pPr>
              <w:widowControl/>
              <w:jc w:val="center"/>
              <w:rPr>
                <w:rFonts w:ascii="宋体" w:hAnsi="宋体"/>
                <w:color w:val="auto"/>
                <w:kern w:val="0"/>
                <w:szCs w:val="21"/>
              </w:rPr>
            </w:pPr>
            <w:r>
              <w:rPr>
                <w:rFonts w:ascii="宋体" w:hAnsi="宋体"/>
                <w:color w:val="auto"/>
                <w:kern w:val="0"/>
                <w:szCs w:val="21"/>
              </w:rPr>
              <w:t>商务部分</w:t>
            </w:r>
          </w:p>
        </w:tc>
        <w:tc>
          <w:tcPr>
            <w:tcW w:w="63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53BD323">
            <w:pPr>
              <w:widowControl/>
              <w:jc w:val="center"/>
              <w:rPr>
                <w:rFonts w:hint="default" w:ascii="宋体" w:hAnsi="宋体"/>
                <w:color w:val="auto"/>
                <w:kern w:val="0"/>
                <w:szCs w:val="21"/>
                <w:lang w:val="en-US"/>
              </w:rPr>
            </w:pPr>
            <w:r>
              <w:rPr>
                <w:rFonts w:hint="eastAsia" w:ascii="宋体" w:hAnsi="宋体"/>
                <w:color w:val="auto"/>
                <w:kern w:val="0"/>
                <w:szCs w:val="21"/>
              </w:rPr>
              <w:t>（A2）=0.</w:t>
            </w:r>
            <w:r>
              <w:rPr>
                <w:rFonts w:hint="eastAsia" w:ascii="宋体" w:hAnsi="宋体"/>
                <w:color w:val="auto"/>
                <w:kern w:val="0"/>
                <w:szCs w:val="21"/>
                <w:lang w:val="en-US" w:eastAsia="zh-CN"/>
              </w:rPr>
              <w:t>20</w:t>
            </w:r>
          </w:p>
        </w:tc>
      </w:tr>
      <w:tr w14:paraId="799C3CFE">
        <w:tblPrEx>
          <w:tblCellMar>
            <w:top w:w="0" w:type="dxa"/>
            <w:left w:w="0" w:type="dxa"/>
            <w:bottom w:w="0" w:type="dxa"/>
            <w:right w:w="0" w:type="dxa"/>
          </w:tblCellMar>
        </w:tblPrEx>
        <w:trPr>
          <w:trHeight w:val="425" w:hRule="atLeast"/>
          <w:jc w:val="center"/>
        </w:trPr>
        <w:tc>
          <w:tcPr>
            <w:tcW w:w="351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F41E90B">
            <w:pPr>
              <w:widowControl/>
              <w:jc w:val="center"/>
              <w:rPr>
                <w:rFonts w:ascii="宋体" w:hAnsi="宋体"/>
                <w:color w:val="auto"/>
                <w:kern w:val="0"/>
                <w:szCs w:val="21"/>
              </w:rPr>
            </w:pPr>
            <w:r>
              <w:rPr>
                <w:rFonts w:ascii="宋体" w:hAnsi="宋体"/>
                <w:color w:val="auto"/>
                <w:kern w:val="0"/>
                <w:szCs w:val="21"/>
              </w:rPr>
              <w:t>价格部分</w:t>
            </w:r>
          </w:p>
        </w:tc>
        <w:tc>
          <w:tcPr>
            <w:tcW w:w="63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4E37914">
            <w:pPr>
              <w:widowControl/>
              <w:jc w:val="center"/>
              <w:rPr>
                <w:rFonts w:hint="default" w:ascii="宋体" w:hAnsi="宋体" w:eastAsia="宋体"/>
                <w:color w:val="auto"/>
                <w:kern w:val="0"/>
                <w:szCs w:val="21"/>
                <w:lang w:val="en-US" w:eastAsia="zh-CN"/>
              </w:rPr>
            </w:pPr>
            <w:r>
              <w:rPr>
                <w:rFonts w:hint="eastAsia" w:ascii="宋体" w:hAnsi="宋体"/>
                <w:color w:val="auto"/>
                <w:kern w:val="0"/>
                <w:szCs w:val="21"/>
              </w:rPr>
              <w:t>（A3）=0.</w:t>
            </w:r>
            <w:r>
              <w:rPr>
                <w:rFonts w:hint="eastAsia" w:ascii="宋体" w:hAnsi="宋体"/>
                <w:color w:val="auto"/>
                <w:kern w:val="0"/>
                <w:szCs w:val="21"/>
                <w:lang w:val="en-US" w:eastAsia="zh-CN"/>
              </w:rPr>
              <w:t>30</w:t>
            </w:r>
          </w:p>
        </w:tc>
      </w:tr>
    </w:tbl>
    <w:p w14:paraId="5E8B4079">
      <w:pPr>
        <w:pStyle w:val="8"/>
        <w:rPr>
          <w:color w:val="0000FF"/>
        </w:rPr>
      </w:pPr>
    </w:p>
    <w:tbl>
      <w:tblPr>
        <w:tblStyle w:val="4"/>
        <w:tblW w:w="10197"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0"/>
        <w:gridCol w:w="900"/>
        <w:gridCol w:w="7902"/>
      </w:tblGrid>
      <w:tr w14:paraId="350F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tcBorders>
              <w:top w:val="single" w:color="auto" w:sz="4" w:space="0"/>
              <w:left w:val="single" w:color="auto" w:sz="4" w:space="0"/>
              <w:bottom w:val="single" w:color="auto" w:sz="4" w:space="0"/>
              <w:right w:val="single" w:color="auto" w:sz="4" w:space="0"/>
            </w:tcBorders>
            <w:vAlign w:val="center"/>
          </w:tcPr>
          <w:p w14:paraId="5D22BB5A">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bidi="ar"/>
              </w:rPr>
              <w:t>评审内容</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D61BC85">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b/>
                <w:bCs/>
                <w:sz w:val="21"/>
                <w:szCs w:val="21"/>
                <w:lang w:bidi="ar"/>
              </w:rPr>
            </w:pPr>
            <w:r>
              <w:rPr>
                <w:rFonts w:hint="eastAsia" w:ascii="宋体" w:hAnsi="宋体" w:eastAsia="宋体" w:cs="宋体"/>
                <w:b/>
                <w:bCs/>
                <w:sz w:val="21"/>
                <w:szCs w:val="21"/>
                <w:lang w:bidi="ar"/>
              </w:rPr>
              <w:t>评分要素或</w:t>
            </w:r>
          </w:p>
          <w:p w14:paraId="09005531">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bidi="ar"/>
              </w:rPr>
              <w:t>评审原则</w:t>
            </w:r>
          </w:p>
        </w:tc>
        <w:tc>
          <w:tcPr>
            <w:tcW w:w="7902" w:type="dxa"/>
            <w:tcBorders>
              <w:top w:val="single" w:color="auto" w:sz="4" w:space="0"/>
              <w:left w:val="single" w:color="auto" w:sz="4" w:space="0"/>
              <w:bottom w:val="single" w:color="auto" w:sz="4" w:space="0"/>
              <w:right w:val="single" w:color="auto" w:sz="4" w:space="0"/>
            </w:tcBorders>
            <w:vAlign w:val="center"/>
          </w:tcPr>
          <w:p w14:paraId="7591B271">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bidi="ar"/>
              </w:rPr>
              <w:t>评分标准</w:t>
            </w:r>
          </w:p>
        </w:tc>
      </w:tr>
      <w:tr w14:paraId="5EBE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restart"/>
            <w:tcBorders>
              <w:top w:val="single" w:color="auto" w:sz="4" w:space="0"/>
              <w:left w:val="single" w:color="auto" w:sz="4" w:space="0"/>
              <w:right w:val="single" w:color="auto" w:sz="4" w:space="0"/>
            </w:tcBorders>
            <w:vAlign w:val="center"/>
          </w:tcPr>
          <w:p w14:paraId="57CE3383">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p>
          <w:p w14:paraId="3995428C">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0分）</w:t>
            </w:r>
          </w:p>
          <w:p w14:paraId="68332AC7">
            <w:pPr>
              <w:pStyle w:val="7"/>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720" w:type="dxa"/>
            <w:vMerge w:val="restart"/>
            <w:tcBorders>
              <w:top w:val="single" w:color="auto" w:sz="4" w:space="0"/>
              <w:left w:val="single" w:color="auto" w:sz="4" w:space="0"/>
              <w:right w:val="single" w:color="auto" w:sz="4" w:space="0"/>
            </w:tcBorders>
            <w:vAlign w:val="center"/>
          </w:tcPr>
          <w:p w14:paraId="1FB9F424">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展陈与展演</w:t>
            </w:r>
            <w:r>
              <w:rPr>
                <w:rFonts w:hint="eastAsia" w:ascii="宋体" w:hAnsi="宋体" w:eastAsia="宋体" w:cs="宋体"/>
                <w:color w:val="auto"/>
                <w:sz w:val="21"/>
                <w:szCs w:val="21"/>
              </w:rPr>
              <w:t>设计创意</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0分</w:t>
            </w:r>
          </w:p>
        </w:tc>
        <w:tc>
          <w:tcPr>
            <w:tcW w:w="900" w:type="dxa"/>
            <w:vMerge w:val="restart"/>
            <w:tcBorders>
              <w:top w:val="single" w:color="auto" w:sz="4" w:space="0"/>
              <w:left w:val="single" w:color="auto" w:sz="4" w:space="0"/>
              <w:right w:val="single" w:color="auto" w:sz="4" w:space="0"/>
            </w:tcBorders>
            <w:vAlign w:val="center"/>
          </w:tcPr>
          <w:p w14:paraId="2B94E738">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展陈设计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p>
        </w:tc>
        <w:tc>
          <w:tcPr>
            <w:tcW w:w="7902" w:type="dxa"/>
            <w:tcBorders>
              <w:top w:val="single" w:color="auto" w:sz="4" w:space="0"/>
              <w:left w:val="single" w:color="auto" w:sz="4" w:space="0"/>
              <w:bottom w:val="single" w:color="auto" w:sz="4" w:space="0"/>
              <w:right w:val="single" w:color="auto" w:sz="4" w:space="0"/>
            </w:tcBorders>
            <w:vAlign w:val="center"/>
          </w:tcPr>
          <w:p w14:paraId="79A77CA1">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展陈</w:t>
            </w:r>
            <w:r>
              <w:rPr>
                <w:rFonts w:hint="eastAsia" w:ascii="宋体" w:hAnsi="宋体" w:eastAsia="宋体" w:cs="宋体"/>
                <w:color w:val="auto"/>
                <w:sz w:val="21"/>
                <w:szCs w:val="21"/>
              </w:rPr>
              <w:t>设计理念与主题契合</w:t>
            </w:r>
            <w:r>
              <w:rPr>
                <w:rFonts w:hint="eastAsia" w:ascii="宋体" w:hAnsi="宋体" w:cs="宋体"/>
                <w:color w:val="auto"/>
                <w:sz w:val="21"/>
                <w:szCs w:val="21"/>
                <w:lang w:val="en-US" w:eastAsia="zh-CN"/>
              </w:rPr>
              <w:t>度高</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分，形式设计</w:t>
            </w:r>
            <w:r>
              <w:rPr>
                <w:rFonts w:hint="eastAsia" w:ascii="宋体" w:hAnsi="宋体" w:cs="宋体"/>
                <w:color w:val="auto"/>
                <w:sz w:val="21"/>
                <w:szCs w:val="21"/>
                <w:lang w:val="en-US" w:eastAsia="zh-CN"/>
              </w:rPr>
              <w:t>表现力优秀</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分，形式</w:t>
            </w:r>
            <w:r>
              <w:rPr>
                <w:rFonts w:hint="eastAsia" w:ascii="宋体" w:hAnsi="宋体" w:cs="宋体"/>
                <w:color w:val="auto"/>
                <w:sz w:val="21"/>
                <w:szCs w:val="21"/>
                <w:lang w:val="en-US" w:eastAsia="zh-CN"/>
              </w:rPr>
              <w:t>设计创新性优秀</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预算方案专业明晰6分，</w:t>
            </w:r>
            <w:r>
              <w:rPr>
                <w:rFonts w:hint="eastAsia" w:ascii="宋体" w:hAnsi="宋体" w:eastAsia="宋体" w:cs="宋体"/>
                <w:color w:val="auto"/>
                <w:sz w:val="21"/>
                <w:szCs w:val="21"/>
              </w:rPr>
              <w:t>总计</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p>
        </w:tc>
      </w:tr>
      <w:tr w14:paraId="186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tcBorders>
              <w:left w:val="single" w:color="auto" w:sz="4" w:space="0"/>
              <w:right w:val="single" w:color="auto" w:sz="4" w:space="0"/>
            </w:tcBorders>
            <w:vAlign w:val="center"/>
          </w:tcPr>
          <w:p w14:paraId="690828E4">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720" w:type="dxa"/>
            <w:vMerge w:val="continue"/>
            <w:tcBorders>
              <w:left w:val="single" w:color="auto" w:sz="4" w:space="0"/>
              <w:right w:val="single" w:color="auto" w:sz="4" w:space="0"/>
            </w:tcBorders>
            <w:vAlign w:val="center"/>
          </w:tcPr>
          <w:p w14:paraId="599AA50E">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p>
        </w:tc>
        <w:tc>
          <w:tcPr>
            <w:tcW w:w="900" w:type="dxa"/>
            <w:vMerge w:val="continue"/>
            <w:tcBorders>
              <w:left w:val="single" w:color="auto" w:sz="4" w:space="0"/>
              <w:right w:val="single" w:color="auto" w:sz="4" w:space="0"/>
            </w:tcBorders>
            <w:vAlign w:val="center"/>
          </w:tcPr>
          <w:p w14:paraId="3A7323B3">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7902" w:type="dxa"/>
            <w:tcBorders>
              <w:top w:val="single" w:color="auto" w:sz="4" w:space="0"/>
              <w:left w:val="single" w:color="auto" w:sz="4" w:space="0"/>
              <w:bottom w:val="single" w:color="auto" w:sz="4" w:space="0"/>
              <w:right w:val="single" w:color="auto" w:sz="4" w:space="0"/>
            </w:tcBorders>
            <w:vAlign w:val="center"/>
          </w:tcPr>
          <w:p w14:paraId="667E5029">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展陈</w:t>
            </w:r>
            <w:r>
              <w:rPr>
                <w:rFonts w:hint="eastAsia" w:ascii="宋体" w:hAnsi="宋体" w:eastAsia="宋体" w:cs="宋体"/>
                <w:color w:val="auto"/>
                <w:sz w:val="21"/>
                <w:szCs w:val="21"/>
              </w:rPr>
              <w:t>设计理念与主题契合</w:t>
            </w:r>
            <w:r>
              <w:rPr>
                <w:rFonts w:hint="eastAsia" w:ascii="宋体" w:hAnsi="宋体" w:cs="宋体"/>
                <w:color w:val="auto"/>
                <w:sz w:val="21"/>
                <w:szCs w:val="21"/>
                <w:lang w:val="en-US" w:eastAsia="zh-CN"/>
              </w:rPr>
              <w:t>度一般</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分，形式设计</w:t>
            </w:r>
            <w:r>
              <w:rPr>
                <w:rFonts w:hint="eastAsia" w:ascii="宋体" w:hAnsi="宋体" w:cs="宋体"/>
                <w:color w:val="auto"/>
                <w:sz w:val="21"/>
                <w:szCs w:val="21"/>
                <w:lang w:val="en-US" w:eastAsia="zh-CN"/>
              </w:rPr>
              <w:t>表现力一般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分，形式</w:t>
            </w:r>
            <w:r>
              <w:rPr>
                <w:rFonts w:hint="eastAsia" w:ascii="宋体" w:hAnsi="宋体" w:cs="宋体"/>
                <w:color w:val="auto"/>
                <w:sz w:val="21"/>
                <w:szCs w:val="21"/>
                <w:lang w:val="en-US" w:eastAsia="zh-CN"/>
              </w:rPr>
              <w:t>设计创新性一般</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预算方案合理3分，</w:t>
            </w:r>
            <w:r>
              <w:rPr>
                <w:rFonts w:hint="eastAsia" w:ascii="宋体" w:hAnsi="宋体" w:eastAsia="宋体" w:cs="宋体"/>
                <w:color w:val="auto"/>
                <w:sz w:val="21"/>
                <w:szCs w:val="21"/>
              </w:rPr>
              <w:t>总计</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14:paraId="4955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tcBorders>
              <w:left w:val="single" w:color="auto" w:sz="4" w:space="0"/>
              <w:right w:val="single" w:color="auto" w:sz="4" w:space="0"/>
            </w:tcBorders>
            <w:vAlign w:val="center"/>
          </w:tcPr>
          <w:p w14:paraId="0012DE80">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720" w:type="dxa"/>
            <w:vMerge w:val="continue"/>
            <w:tcBorders>
              <w:left w:val="single" w:color="auto" w:sz="4" w:space="0"/>
              <w:right w:val="single" w:color="auto" w:sz="4" w:space="0"/>
            </w:tcBorders>
            <w:vAlign w:val="center"/>
          </w:tcPr>
          <w:p w14:paraId="69907750">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p>
        </w:tc>
        <w:tc>
          <w:tcPr>
            <w:tcW w:w="900" w:type="dxa"/>
            <w:vMerge w:val="continue"/>
            <w:tcBorders>
              <w:left w:val="single" w:color="auto" w:sz="4" w:space="0"/>
              <w:bottom w:val="single" w:color="auto" w:sz="4" w:space="0"/>
              <w:right w:val="single" w:color="auto" w:sz="4" w:space="0"/>
            </w:tcBorders>
            <w:vAlign w:val="center"/>
          </w:tcPr>
          <w:p w14:paraId="153C346B">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7902" w:type="dxa"/>
            <w:tcBorders>
              <w:top w:val="single" w:color="auto" w:sz="4" w:space="0"/>
              <w:left w:val="single" w:color="auto" w:sz="4" w:space="0"/>
              <w:bottom w:val="single" w:color="auto" w:sz="4" w:space="0"/>
              <w:right w:val="single" w:color="auto" w:sz="4" w:space="0"/>
            </w:tcBorders>
            <w:vAlign w:val="center"/>
          </w:tcPr>
          <w:p w14:paraId="71BA021D">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展陈</w:t>
            </w:r>
            <w:r>
              <w:rPr>
                <w:rFonts w:hint="eastAsia" w:ascii="宋体" w:hAnsi="宋体" w:eastAsia="宋体" w:cs="宋体"/>
                <w:color w:val="auto"/>
                <w:sz w:val="21"/>
                <w:szCs w:val="21"/>
              </w:rPr>
              <w:t>设计理念与主题契合</w:t>
            </w:r>
            <w:r>
              <w:rPr>
                <w:rFonts w:hint="eastAsia" w:ascii="宋体" w:hAnsi="宋体" w:cs="宋体"/>
                <w:color w:val="auto"/>
                <w:sz w:val="21"/>
                <w:szCs w:val="21"/>
                <w:lang w:val="en-US" w:eastAsia="zh-CN"/>
              </w:rPr>
              <w:t>度</w:t>
            </w:r>
            <w:r>
              <w:rPr>
                <w:rFonts w:hint="eastAsia" w:ascii="宋体" w:hAnsi="宋体" w:eastAsia="宋体" w:cs="宋体"/>
                <w:color w:val="auto"/>
                <w:sz w:val="21"/>
                <w:szCs w:val="21"/>
              </w:rPr>
              <w:t>达不到招标文件要求</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eastAsia="宋体" w:cs="宋体"/>
                <w:color w:val="auto"/>
                <w:sz w:val="21"/>
                <w:szCs w:val="21"/>
              </w:rPr>
              <w:t>形式设计</w:t>
            </w:r>
            <w:r>
              <w:rPr>
                <w:rFonts w:hint="eastAsia" w:ascii="宋体" w:hAnsi="宋体" w:cs="宋体"/>
                <w:color w:val="auto"/>
                <w:sz w:val="21"/>
                <w:szCs w:val="21"/>
                <w:lang w:val="en-US" w:eastAsia="zh-CN"/>
              </w:rPr>
              <w:t>表现力单一、</w:t>
            </w:r>
            <w:r>
              <w:rPr>
                <w:rFonts w:hint="eastAsia" w:ascii="宋体" w:hAnsi="宋体" w:eastAsia="宋体" w:cs="宋体"/>
                <w:color w:val="auto"/>
                <w:sz w:val="21"/>
                <w:szCs w:val="21"/>
              </w:rPr>
              <w:t>形式</w:t>
            </w:r>
            <w:r>
              <w:rPr>
                <w:rFonts w:hint="eastAsia" w:ascii="宋体" w:hAnsi="宋体" w:cs="宋体"/>
                <w:color w:val="auto"/>
                <w:sz w:val="21"/>
                <w:szCs w:val="21"/>
                <w:lang w:val="en-US" w:eastAsia="zh-CN"/>
              </w:rPr>
              <w:t>设计创新性陈旧</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分，总计</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14:paraId="3B81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tcBorders>
              <w:left w:val="single" w:color="auto" w:sz="4" w:space="0"/>
              <w:right w:val="single" w:color="auto" w:sz="4" w:space="0"/>
            </w:tcBorders>
            <w:vAlign w:val="center"/>
          </w:tcPr>
          <w:p w14:paraId="17AAA2DA">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720" w:type="dxa"/>
            <w:vMerge w:val="continue"/>
            <w:tcBorders>
              <w:left w:val="single" w:color="auto" w:sz="4" w:space="0"/>
              <w:right w:val="single" w:color="auto" w:sz="4" w:space="0"/>
            </w:tcBorders>
            <w:vAlign w:val="center"/>
          </w:tcPr>
          <w:p w14:paraId="5750FD06">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p>
        </w:tc>
        <w:tc>
          <w:tcPr>
            <w:tcW w:w="900" w:type="dxa"/>
            <w:vMerge w:val="restart"/>
            <w:tcBorders>
              <w:top w:val="single" w:color="auto" w:sz="4" w:space="0"/>
              <w:left w:val="single" w:color="auto" w:sz="4" w:space="0"/>
              <w:right w:val="single" w:color="auto" w:sz="4" w:space="0"/>
            </w:tcBorders>
            <w:vAlign w:val="center"/>
          </w:tcPr>
          <w:p w14:paraId="774BBA07">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展演设计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p>
        </w:tc>
        <w:tc>
          <w:tcPr>
            <w:tcW w:w="7902" w:type="dxa"/>
            <w:tcBorders>
              <w:top w:val="single" w:color="auto" w:sz="4" w:space="0"/>
              <w:left w:val="single" w:color="auto" w:sz="4" w:space="0"/>
              <w:bottom w:val="single" w:color="auto" w:sz="4" w:space="0"/>
              <w:right w:val="single" w:color="auto" w:sz="4" w:space="0"/>
            </w:tcBorders>
            <w:vAlign w:val="center"/>
          </w:tcPr>
          <w:p w14:paraId="44A0CB00">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展演设计</w:t>
            </w:r>
            <w:r>
              <w:rPr>
                <w:rFonts w:hint="eastAsia" w:ascii="宋体" w:hAnsi="宋体" w:eastAsia="宋体" w:cs="宋体"/>
                <w:color w:val="auto"/>
                <w:sz w:val="21"/>
                <w:szCs w:val="21"/>
              </w:rPr>
              <w:t>与主题契合</w:t>
            </w:r>
            <w:r>
              <w:rPr>
                <w:rFonts w:hint="eastAsia" w:ascii="宋体" w:hAnsi="宋体" w:cs="宋体"/>
                <w:color w:val="auto"/>
                <w:sz w:val="21"/>
                <w:szCs w:val="21"/>
                <w:lang w:val="en-US" w:eastAsia="zh-CN"/>
              </w:rPr>
              <w:t>度高</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展演设计</w:t>
            </w:r>
            <w:r>
              <w:rPr>
                <w:rFonts w:hint="eastAsia" w:ascii="宋体" w:hAnsi="宋体" w:eastAsia="宋体" w:cs="宋体"/>
                <w:color w:val="auto"/>
                <w:sz w:val="21"/>
                <w:szCs w:val="21"/>
              </w:rPr>
              <w:t>理念符合招标文件要求、对</w:t>
            </w:r>
            <w:r>
              <w:rPr>
                <w:rFonts w:hint="eastAsia" w:ascii="宋体" w:hAnsi="宋体" w:cs="宋体"/>
                <w:color w:val="auto"/>
                <w:sz w:val="21"/>
                <w:szCs w:val="21"/>
                <w:lang w:val="en-US" w:eastAsia="zh-CN"/>
              </w:rPr>
              <w:t>红色研学</w:t>
            </w:r>
            <w:r>
              <w:rPr>
                <w:rFonts w:hint="eastAsia" w:ascii="宋体" w:hAnsi="宋体" w:eastAsia="宋体" w:cs="宋体"/>
                <w:color w:val="auto"/>
                <w:sz w:val="21"/>
                <w:szCs w:val="21"/>
              </w:rPr>
              <w:t>理解充分全面</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展演形式生动、</w:t>
            </w:r>
            <w:r>
              <w:rPr>
                <w:rFonts w:hint="eastAsia" w:ascii="宋体" w:hAnsi="宋体" w:eastAsia="宋体" w:cs="宋体"/>
                <w:color w:val="auto"/>
                <w:sz w:val="21"/>
                <w:szCs w:val="21"/>
              </w:rPr>
              <w:t>亮点突出</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预算方案专业明晰6分，</w:t>
            </w:r>
            <w:r>
              <w:rPr>
                <w:rFonts w:hint="eastAsia" w:ascii="宋体" w:hAnsi="宋体" w:eastAsia="宋体" w:cs="宋体"/>
                <w:color w:val="auto"/>
                <w:sz w:val="21"/>
                <w:szCs w:val="21"/>
              </w:rPr>
              <w:t>总计</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p>
        </w:tc>
      </w:tr>
      <w:tr w14:paraId="4100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tcBorders>
              <w:left w:val="single" w:color="auto" w:sz="4" w:space="0"/>
              <w:right w:val="single" w:color="auto" w:sz="4" w:space="0"/>
            </w:tcBorders>
            <w:vAlign w:val="center"/>
          </w:tcPr>
          <w:p w14:paraId="7B4D501D">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720" w:type="dxa"/>
            <w:vMerge w:val="continue"/>
            <w:tcBorders>
              <w:left w:val="single" w:color="auto" w:sz="4" w:space="0"/>
              <w:right w:val="single" w:color="auto" w:sz="4" w:space="0"/>
            </w:tcBorders>
            <w:vAlign w:val="center"/>
          </w:tcPr>
          <w:p w14:paraId="42E1D3B9">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p>
        </w:tc>
        <w:tc>
          <w:tcPr>
            <w:tcW w:w="900" w:type="dxa"/>
            <w:vMerge w:val="continue"/>
            <w:tcBorders>
              <w:left w:val="single" w:color="auto" w:sz="4" w:space="0"/>
              <w:right w:val="single" w:color="auto" w:sz="4" w:space="0"/>
            </w:tcBorders>
            <w:vAlign w:val="center"/>
          </w:tcPr>
          <w:p w14:paraId="28EA382E">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p>
        </w:tc>
        <w:tc>
          <w:tcPr>
            <w:tcW w:w="7902" w:type="dxa"/>
            <w:tcBorders>
              <w:top w:val="single" w:color="auto" w:sz="4" w:space="0"/>
              <w:left w:val="single" w:color="auto" w:sz="4" w:space="0"/>
              <w:bottom w:val="single" w:color="auto" w:sz="4" w:space="0"/>
              <w:right w:val="single" w:color="auto" w:sz="4" w:space="0"/>
            </w:tcBorders>
            <w:vAlign w:val="center"/>
          </w:tcPr>
          <w:p w14:paraId="0ABD8B69">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展演设计</w:t>
            </w:r>
            <w:r>
              <w:rPr>
                <w:rFonts w:hint="eastAsia" w:ascii="宋体" w:hAnsi="宋体" w:eastAsia="宋体" w:cs="宋体"/>
                <w:color w:val="auto"/>
                <w:sz w:val="21"/>
                <w:szCs w:val="21"/>
              </w:rPr>
              <w:t>与主题契合</w:t>
            </w:r>
            <w:r>
              <w:rPr>
                <w:rFonts w:hint="eastAsia" w:ascii="宋体" w:hAnsi="宋体" w:cs="宋体"/>
                <w:color w:val="auto"/>
                <w:sz w:val="21"/>
                <w:szCs w:val="21"/>
                <w:lang w:val="en-US" w:eastAsia="zh-CN"/>
              </w:rPr>
              <w:t>度一般</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展演设计</w:t>
            </w:r>
            <w:r>
              <w:rPr>
                <w:rFonts w:hint="eastAsia" w:ascii="宋体" w:hAnsi="宋体" w:eastAsia="宋体" w:cs="宋体"/>
                <w:color w:val="auto"/>
                <w:sz w:val="21"/>
                <w:szCs w:val="21"/>
              </w:rPr>
              <w:t>理念符合招标文件要求、对</w:t>
            </w:r>
            <w:r>
              <w:rPr>
                <w:rFonts w:hint="eastAsia" w:ascii="宋体" w:hAnsi="宋体" w:cs="宋体"/>
                <w:color w:val="auto"/>
                <w:sz w:val="21"/>
                <w:szCs w:val="21"/>
                <w:lang w:val="en-US" w:eastAsia="zh-CN"/>
              </w:rPr>
              <w:t>红色研学</w:t>
            </w:r>
            <w:r>
              <w:rPr>
                <w:rFonts w:hint="eastAsia" w:ascii="宋体" w:hAnsi="宋体" w:eastAsia="宋体" w:cs="宋体"/>
                <w:color w:val="auto"/>
                <w:sz w:val="21"/>
                <w:szCs w:val="21"/>
              </w:rPr>
              <w:t>理解</w:t>
            </w:r>
            <w:r>
              <w:rPr>
                <w:rFonts w:hint="eastAsia" w:ascii="宋体" w:hAnsi="宋体" w:cs="宋体"/>
                <w:color w:val="auto"/>
                <w:sz w:val="21"/>
                <w:szCs w:val="21"/>
                <w:lang w:val="en-US" w:eastAsia="zh-CN"/>
              </w:rPr>
              <w:t>不全面4</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展演形式较生动、亮点不明显3分</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预算方案合理3分，</w:t>
            </w:r>
            <w:r>
              <w:rPr>
                <w:rFonts w:hint="eastAsia" w:ascii="宋体" w:hAnsi="宋体" w:eastAsia="宋体" w:cs="宋体"/>
                <w:color w:val="auto"/>
                <w:sz w:val="21"/>
                <w:szCs w:val="21"/>
              </w:rPr>
              <w:t>总计</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14:paraId="0FAC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tcBorders>
              <w:left w:val="single" w:color="auto" w:sz="4" w:space="0"/>
              <w:right w:val="single" w:color="auto" w:sz="4" w:space="0"/>
            </w:tcBorders>
            <w:vAlign w:val="center"/>
          </w:tcPr>
          <w:p w14:paraId="1B94B52F">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720" w:type="dxa"/>
            <w:vMerge w:val="continue"/>
            <w:tcBorders>
              <w:left w:val="single" w:color="auto" w:sz="4" w:space="0"/>
              <w:right w:val="single" w:color="auto" w:sz="4" w:space="0"/>
            </w:tcBorders>
            <w:vAlign w:val="center"/>
          </w:tcPr>
          <w:p w14:paraId="1DF0D791">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p>
        </w:tc>
        <w:tc>
          <w:tcPr>
            <w:tcW w:w="900" w:type="dxa"/>
            <w:vMerge w:val="continue"/>
            <w:tcBorders>
              <w:left w:val="single" w:color="auto" w:sz="4" w:space="0"/>
              <w:right w:val="single" w:color="auto" w:sz="4" w:space="0"/>
            </w:tcBorders>
            <w:vAlign w:val="center"/>
          </w:tcPr>
          <w:p w14:paraId="1EDE09E6">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p>
        </w:tc>
        <w:tc>
          <w:tcPr>
            <w:tcW w:w="7902" w:type="dxa"/>
            <w:tcBorders>
              <w:top w:val="single" w:color="auto" w:sz="4" w:space="0"/>
              <w:left w:val="single" w:color="auto" w:sz="4" w:space="0"/>
              <w:bottom w:val="single" w:color="auto" w:sz="4" w:space="0"/>
              <w:right w:val="single" w:color="auto" w:sz="4" w:space="0"/>
            </w:tcBorders>
            <w:vAlign w:val="center"/>
          </w:tcPr>
          <w:p w14:paraId="2E4824D8">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展演设计</w:t>
            </w:r>
            <w:r>
              <w:rPr>
                <w:rFonts w:hint="eastAsia" w:ascii="宋体" w:hAnsi="宋体" w:eastAsia="宋体" w:cs="宋体"/>
                <w:color w:val="auto"/>
                <w:sz w:val="21"/>
                <w:szCs w:val="21"/>
              </w:rPr>
              <w:t>对</w:t>
            </w:r>
            <w:r>
              <w:rPr>
                <w:rFonts w:hint="eastAsia" w:ascii="宋体" w:hAnsi="宋体" w:cs="宋体"/>
                <w:color w:val="auto"/>
                <w:sz w:val="21"/>
                <w:szCs w:val="21"/>
                <w:lang w:val="en-US" w:eastAsia="zh-CN"/>
              </w:rPr>
              <w:t>主题</w:t>
            </w:r>
            <w:r>
              <w:rPr>
                <w:rFonts w:hint="eastAsia" w:ascii="宋体" w:hAnsi="宋体" w:eastAsia="宋体" w:cs="宋体"/>
                <w:color w:val="auto"/>
                <w:sz w:val="21"/>
                <w:szCs w:val="21"/>
              </w:rPr>
              <w:t>把握</w:t>
            </w:r>
            <w:r>
              <w:rPr>
                <w:rFonts w:hint="eastAsia" w:ascii="宋体" w:hAnsi="宋体" w:cs="宋体"/>
                <w:color w:val="auto"/>
                <w:sz w:val="21"/>
                <w:szCs w:val="21"/>
                <w:lang w:val="en-US" w:eastAsia="zh-CN"/>
              </w:rPr>
              <w:t>不准确</w:t>
            </w:r>
            <w:r>
              <w:rPr>
                <w:rFonts w:hint="eastAsia" w:ascii="宋体" w:hAnsi="宋体" w:eastAsia="宋体" w:cs="宋体"/>
                <w:color w:val="auto"/>
                <w:sz w:val="21"/>
                <w:szCs w:val="21"/>
              </w:rPr>
              <w:t>1分，</w:t>
            </w:r>
            <w:r>
              <w:rPr>
                <w:rFonts w:hint="eastAsia" w:ascii="宋体" w:hAnsi="宋体" w:cs="宋体"/>
                <w:color w:val="auto"/>
                <w:sz w:val="21"/>
                <w:szCs w:val="21"/>
                <w:lang w:val="en-US" w:eastAsia="zh-CN"/>
              </w:rPr>
              <w:t>展演设计</w:t>
            </w:r>
            <w:r>
              <w:rPr>
                <w:rFonts w:hint="eastAsia" w:ascii="宋体" w:hAnsi="宋体" w:eastAsia="宋体" w:cs="宋体"/>
                <w:color w:val="auto"/>
                <w:sz w:val="21"/>
                <w:szCs w:val="21"/>
              </w:rPr>
              <w:t>理念</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符合招标文件要求、对</w:t>
            </w:r>
            <w:r>
              <w:rPr>
                <w:rFonts w:hint="eastAsia" w:ascii="宋体" w:hAnsi="宋体" w:cs="宋体"/>
                <w:color w:val="auto"/>
                <w:sz w:val="21"/>
                <w:szCs w:val="21"/>
                <w:lang w:val="en-US" w:eastAsia="zh-CN"/>
              </w:rPr>
              <w:t>红色研学缺乏</w:t>
            </w:r>
            <w:r>
              <w:rPr>
                <w:rFonts w:hint="eastAsia" w:ascii="宋体" w:hAnsi="宋体" w:eastAsia="宋体" w:cs="宋体"/>
                <w:color w:val="auto"/>
                <w:sz w:val="21"/>
                <w:szCs w:val="21"/>
              </w:rPr>
              <w:t>理解1分，</w:t>
            </w:r>
            <w:r>
              <w:rPr>
                <w:rFonts w:hint="eastAsia" w:ascii="宋体" w:hAnsi="宋体" w:cs="宋体"/>
                <w:color w:val="auto"/>
                <w:sz w:val="21"/>
                <w:szCs w:val="21"/>
                <w:lang w:val="en-US" w:eastAsia="zh-CN"/>
              </w:rPr>
              <w:t>展演形式僵硬、无亮点</w:t>
            </w:r>
            <w:r>
              <w:rPr>
                <w:rFonts w:hint="eastAsia" w:ascii="宋体" w:hAnsi="宋体" w:eastAsia="宋体" w:cs="宋体"/>
                <w:color w:val="auto"/>
                <w:sz w:val="21"/>
                <w:szCs w:val="21"/>
              </w:rPr>
              <w:t>1分，总计3分。</w:t>
            </w:r>
          </w:p>
        </w:tc>
      </w:tr>
      <w:tr w14:paraId="1FA9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restart"/>
            <w:tcBorders>
              <w:left w:val="single" w:color="auto" w:sz="4" w:space="0"/>
              <w:right w:val="single" w:color="auto" w:sz="4" w:space="0"/>
            </w:tcBorders>
            <w:vAlign w:val="center"/>
          </w:tcPr>
          <w:p w14:paraId="35FEE301">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商务部分（20分）</w:t>
            </w:r>
          </w:p>
        </w:tc>
        <w:tc>
          <w:tcPr>
            <w:tcW w:w="1620" w:type="dxa"/>
            <w:gridSpan w:val="2"/>
            <w:tcBorders>
              <w:left w:val="single" w:color="auto" w:sz="4" w:space="0"/>
              <w:right w:val="single" w:color="auto" w:sz="4" w:space="0"/>
            </w:tcBorders>
            <w:vAlign w:val="center"/>
          </w:tcPr>
          <w:p w14:paraId="7E6C2529">
            <w:pPr>
              <w:keepNext w:val="0"/>
              <w:keepLines w:val="0"/>
              <w:pageBreakBefore w:val="0"/>
              <w:kinsoku/>
              <w:wordWrap/>
              <w:overflowPunct/>
              <w:topLinePunct w:val="0"/>
              <w:autoSpaceDE/>
              <w:autoSpaceDN/>
              <w:bidi w:val="0"/>
              <w:adjustRightInd/>
              <w:snapToGrid/>
              <w:spacing w:line="280" w:lineRule="exact"/>
              <w:ind w:lef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w:t>
            </w:r>
            <w:r>
              <w:rPr>
                <w:rFonts w:hint="eastAsia" w:ascii="宋体" w:hAnsi="宋体" w:cs="宋体"/>
                <w:color w:val="auto"/>
                <w:sz w:val="21"/>
                <w:szCs w:val="21"/>
                <w:lang w:val="en-US" w:eastAsia="zh-CN"/>
              </w:rPr>
              <w:t>资质（5分）</w:t>
            </w:r>
          </w:p>
        </w:tc>
        <w:tc>
          <w:tcPr>
            <w:tcW w:w="7902" w:type="dxa"/>
            <w:tcBorders>
              <w:top w:val="single" w:color="auto" w:sz="4" w:space="0"/>
              <w:left w:val="single" w:color="auto" w:sz="4" w:space="0"/>
              <w:bottom w:val="single" w:color="auto" w:sz="4" w:space="0"/>
              <w:right w:val="single" w:color="auto" w:sz="4" w:space="0"/>
            </w:tcBorders>
            <w:vAlign w:val="center"/>
          </w:tcPr>
          <w:p w14:paraId="7F55183C">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企业三证齐全信誉良好计3分，具有文艺表演、文化艺术交流活动策划组织，展览、展陈、舞美设计执行相关经营范围计2分。</w:t>
            </w:r>
          </w:p>
        </w:tc>
      </w:tr>
      <w:tr w14:paraId="54F6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tcBorders>
              <w:left w:val="single" w:color="auto" w:sz="4" w:space="0"/>
              <w:right w:val="single" w:color="auto" w:sz="4" w:space="0"/>
            </w:tcBorders>
            <w:vAlign w:val="center"/>
          </w:tcPr>
          <w:p w14:paraId="5375A453">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1620" w:type="dxa"/>
            <w:gridSpan w:val="2"/>
            <w:tcBorders>
              <w:left w:val="single" w:color="auto" w:sz="4" w:space="0"/>
              <w:right w:val="single" w:color="auto" w:sz="4" w:space="0"/>
            </w:tcBorders>
            <w:vAlign w:val="center"/>
          </w:tcPr>
          <w:p w14:paraId="13D02EC8">
            <w:pPr>
              <w:keepNext w:val="0"/>
              <w:keepLines w:val="0"/>
              <w:pageBreakBefore w:val="0"/>
              <w:kinsoku/>
              <w:wordWrap/>
              <w:overflowPunct/>
              <w:topLinePunct w:val="0"/>
              <w:autoSpaceDE/>
              <w:autoSpaceDN/>
              <w:bidi w:val="0"/>
              <w:adjustRightInd/>
              <w:snapToGrid/>
              <w:spacing w:line="280" w:lineRule="exact"/>
              <w:ind w:lef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服务团队</w:t>
            </w:r>
            <w:r>
              <w:rPr>
                <w:rFonts w:hint="eastAsia" w:ascii="宋体" w:hAnsi="宋体" w:cs="宋体"/>
                <w:color w:val="auto"/>
                <w:sz w:val="21"/>
                <w:szCs w:val="21"/>
                <w:lang w:val="en-US" w:eastAsia="zh-CN"/>
              </w:rPr>
              <w:t>（6分）</w:t>
            </w:r>
          </w:p>
        </w:tc>
        <w:tc>
          <w:tcPr>
            <w:tcW w:w="7902" w:type="dxa"/>
            <w:tcBorders>
              <w:top w:val="single" w:color="auto" w:sz="4" w:space="0"/>
              <w:left w:val="single" w:color="auto" w:sz="4" w:space="0"/>
              <w:bottom w:val="single" w:color="auto" w:sz="4" w:space="0"/>
              <w:right w:val="single" w:color="auto" w:sz="4" w:space="0"/>
            </w:tcBorders>
            <w:vAlign w:val="center"/>
          </w:tcPr>
          <w:p w14:paraId="3CAB66ED">
            <w:pPr>
              <w:pStyle w:val="7"/>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需提供人员安排表，</w:t>
            </w:r>
            <w:r>
              <w:rPr>
                <w:rFonts w:hint="eastAsia" w:ascii="宋体" w:hAnsi="宋体" w:eastAsia="宋体" w:cs="宋体"/>
                <w:color w:val="auto"/>
                <w:sz w:val="21"/>
                <w:szCs w:val="21"/>
                <w:highlight w:val="none"/>
              </w:rPr>
              <w:t>项目团队</w:t>
            </w:r>
            <w:r>
              <w:rPr>
                <w:rFonts w:hint="eastAsia" w:ascii="宋体" w:hAnsi="宋体" w:cs="宋体"/>
                <w:color w:val="auto"/>
                <w:sz w:val="21"/>
                <w:szCs w:val="21"/>
                <w:highlight w:val="none"/>
                <w:lang w:val="en-US" w:eastAsia="zh-CN"/>
              </w:rPr>
              <w:t>需配备相关专业</w:t>
            </w:r>
            <w:r>
              <w:rPr>
                <w:rFonts w:hint="eastAsia" w:ascii="宋体" w:hAnsi="宋体" w:eastAsia="宋体" w:cs="宋体"/>
                <w:color w:val="auto"/>
                <w:sz w:val="21"/>
                <w:szCs w:val="21"/>
                <w:highlight w:val="none"/>
              </w:rPr>
              <w:t>人员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包括但不限于视觉设计师、动画师、导演、艺术总监等</w:t>
            </w:r>
            <w:r>
              <w:rPr>
                <w:spacing w:val="2"/>
                <w:highlight w:val="none"/>
              </w:rPr>
              <w:t>相关</w:t>
            </w:r>
            <w:r>
              <w:rPr>
                <w:rFonts w:hint="eastAsia"/>
                <w:spacing w:val="2"/>
                <w:highlight w:val="none"/>
                <w:lang w:val="en-US" w:eastAsia="zh-CN"/>
              </w:rPr>
              <w:t>岗位，计6分。</w:t>
            </w:r>
          </w:p>
        </w:tc>
      </w:tr>
      <w:tr w14:paraId="5300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75" w:type="dxa"/>
            <w:vMerge w:val="continue"/>
            <w:tcBorders>
              <w:left w:val="single" w:color="auto" w:sz="4" w:space="0"/>
              <w:right w:val="single" w:color="auto" w:sz="4" w:space="0"/>
            </w:tcBorders>
            <w:vAlign w:val="center"/>
          </w:tcPr>
          <w:p w14:paraId="785F3D55">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color w:val="auto"/>
                <w:sz w:val="21"/>
                <w:szCs w:val="21"/>
              </w:rPr>
            </w:pPr>
          </w:p>
        </w:tc>
        <w:tc>
          <w:tcPr>
            <w:tcW w:w="1620" w:type="dxa"/>
            <w:gridSpan w:val="2"/>
            <w:tcBorders>
              <w:left w:val="single" w:color="auto" w:sz="4" w:space="0"/>
              <w:right w:val="single" w:color="auto" w:sz="4" w:space="0"/>
            </w:tcBorders>
            <w:vAlign w:val="center"/>
          </w:tcPr>
          <w:p w14:paraId="4910CF95">
            <w:pPr>
              <w:keepNext w:val="0"/>
              <w:keepLines w:val="0"/>
              <w:pageBreakBefore w:val="0"/>
              <w:kinsoku/>
              <w:wordWrap/>
              <w:overflowPunct/>
              <w:topLinePunct w:val="0"/>
              <w:autoSpaceDE/>
              <w:autoSpaceDN/>
              <w:bidi w:val="0"/>
              <w:adjustRightInd/>
              <w:snapToGrid/>
              <w:spacing w:line="280" w:lineRule="exact"/>
              <w:ind w:lef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类似经验</w:t>
            </w:r>
            <w:r>
              <w:rPr>
                <w:rFonts w:hint="eastAsia" w:ascii="宋体" w:hAnsi="宋体" w:cs="宋体"/>
                <w:color w:val="auto"/>
                <w:sz w:val="21"/>
                <w:szCs w:val="21"/>
                <w:lang w:val="en-US" w:eastAsia="zh-CN"/>
              </w:rPr>
              <w:t>（9分）</w:t>
            </w:r>
          </w:p>
        </w:tc>
        <w:tc>
          <w:tcPr>
            <w:tcW w:w="7902" w:type="dxa"/>
            <w:tcBorders>
              <w:top w:val="single" w:color="auto" w:sz="4" w:space="0"/>
              <w:left w:val="single" w:color="auto" w:sz="4" w:space="0"/>
              <w:bottom w:val="single" w:color="auto" w:sz="4" w:space="0"/>
              <w:right w:val="single" w:color="auto" w:sz="4" w:space="0"/>
            </w:tcBorders>
            <w:vAlign w:val="center"/>
          </w:tcPr>
          <w:p w14:paraId="1064DC42">
            <w:pPr>
              <w:pStyle w:val="9"/>
              <w:keepNext w:val="0"/>
              <w:keepLines w:val="0"/>
              <w:pageBreakBefore w:val="0"/>
              <w:widowControl/>
              <w:tabs>
                <w:tab w:val="left" w:pos="0"/>
              </w:tabs>
              <w:kinsoku/>
              <w:wordWrap/>
              <w:overflowPunct/>
              <w:topLinePunct w:val="0"/>
              <w:autoSpaceDE/>
              <w:autoSpaceDN/>
              <w:bidi w:val="0"/>
              <w:adjustRightInd/>
              <w:snapToGrid/>
              <w:spacing w:line="28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近5年以来（201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月至今）</w:t>
            </w:r>
            <w:r>
              <w:rPr>
                <w:rFonts w:hint="eastAsia" w:ascii="宋体" w:hAnsi="宋体" w:cs="宋体"/>
                <w:color w:val="auto"/>
                <w:sz w:val="21"/>
                <w:szCs w:val="21"/>
                <w:highlight w:val="none"/>
                <w:lang w:val="en-US" w:eastAsia="zh-CN"/>
              </w:rPr>
              <w:t>参加展演活动策划执行、</w:t>
            </w:r>
            <w:r>
              <w:rPr>
                <w:rFonts w:hint="eastAsia" w:ascii="宋体" w:hAnsi="宋体" w:eastAsia="宋体" w:cs="宋体"/>
                <w:color w:val="auto"/>
                <w:sz w:val="21"/>
                <w:szCs w:val="21"/>
                <w:highlight w:val="none"/>
              </w:rPr>
              <w:t>陈列布展项目</w:t>
            </w:r>
            <w:r>
              <w:rPr>
                <w:rFonts w:hint="eastAsia" w:ascii="宋体" w:hAnsi="宋体" w:cs="宋体"/>
                <w:color w:val="auto"/>
                <w:sz w:val="21"/>
                <w:szCs w:val="21"/>
                <w:highlight w:val="none"/>
                <w:lang w:val="en-US" w:eastAsia="zh-CN"/>
              </w:rPr>
              <w:t>设计实施的，</w:t>
            </w:r>
            <w:r>
              <w:rPr>
                <w:rFonts w:hint="eastAsia" w:ascii="宋体" w:hAnsi="宋体" w:eastAsia="宋体" w:cs="宋体"/>
                <w:color w:val="auto"/>
                <w:sz w:val="21"/>
                <w:szCs w:val="21"/>
                <w:highlight w:val="none"/>
              </w:rPr>
              <w:t>每个得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1EDD9A37">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cs="宋体"/>
                <w:color w:val="auto"/>
                <w:sz w:val="21"/>
                <w:szCs w:val="21"/>
                <w:lang w:val="en-US" w:eastAsia="zh-CN"/>
              </w:rPr>
            </w:pPr>
            <w:r>
              <w:rPr>
                <w:rFonts w:hint="eastAsia" w:ascii="宋体" w:hAnsi="宋体" w:eastAsia="宋体" w:cs="宋体"/>
                <w:b/>
                <w:bCs/>
                <w:color w:val="auto"/>
                <w:sz w:val="21"/>
                <w:szCs w:val="21"/>
                <w:highlight w:val="none"/>
              </w:rPr>
              <w:t>注：提供合同复印件、验收报告</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或资料）</w:t>
            </w:r>
            <w:r>
              <w:rPr>
                <w:rFonts w:hint="eastAsia" w:ascii="宋体" w:hAnsi="宋体" w:eastAsia="宋体" w:cs="宋体"/>
                <w:b/>
                <w:bCs/>
                <w:color w:val="auto"/>
                <w:sz w:val="21"/>
                <w:szCs w:val="21"/>
                <w:highlight w:val="none"/>
              </w:rPr>
              <w:t>复印件并加盖供应商公章（时间以合同签订时间为准），否则不计分。</w:t>
            </w:r>
          </w:p>
        </w:tc>
      </w:tr>
      <w:tr w14:paraId="6294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95" w:type="dxa"/>
            <w:gridSpan w:val="3"/>
            <w:tcBorders>
              <w:left w:val="single" w:color="auto" w:sz="4" w:space="0"/>
              <w:right w:val="single" w:color="auto" w:sz="4" w:space="0"/>
            </w:tcBorders>
            <w:vAlign w:val="center"/>
          </w:tcPr>
          <w:p w14:paraId="046D0E08">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投标报价（30分）</w:t>
            </w:r>
          </w:p>
        </w:tc>
        <w:tc>
          <w:tcPr>
            <w:tcW w:w="7902" w:type="dxa"/>
            <w:tcBorders>
              <w:top w:val="single" w:color="auto" w:sz="4" w:space="0"/>
              <w:left w:val="single" w:color="auto" w:sz="4" w:space="0"/>
              <w:bottom w:val="single" w:color="auto" w:sz="4" w:space="0"/>
              <w:right w:val="single" w:color="auto" w:sz="4" w:space="0"/>
            </w:tcBorders>
            <w:vAlign w:val="center"/>
          </w:tcPr>
          <w:p w14:paraId="718C898F">
            <w:pPr>
              <w:pStyle w:val="3"/>
              <w:keepNext w:val="0"/>
              <w:keepLines w:val="0"/>
              <w:pageBreakBefore w:val="0"/>
              <w:kinsoku/>
              <w:wordWrap/>
              <w:overflowPunct/>
              <w:topLinePunct w:val="0"/>
              <w:autoSpaceDE/>
              <w:autoSpaceDN/>
              <w:bidi w:val="0"/>
              <w:adjustRightInd/>
              <w:snapToGrid/>
              <w:spacing w:after="0" w:line="280" w:lineRule="exact"/>
              <w:ind w:left="0" w:leftChars="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1、以经评委会一致认定满足招标文件要求且投标价格最低的投标报价为评标基准价，其价格得分计</w:t>
            </w: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rPr>
              <w:t>0分。其他投标人的价格得分统一按公式计算：</w:t>
            </w:r>
          </w:p>
          <w:p w14:paraId="56899079">
            <w:pPr>
              <w:keepNext w:val="0"/>
              <w:keepLines w:val="0"/>
              <w:pageBreakBefore w:val="0"/>
              <w:kinsoku/>
              <w:wordWrap/>
              <w:overflowPunct/>
              <w:topLinePunct w:val="0"/>
              <w:autoSpaceDE/>
              <w:autoSpaceDN/>
              <w:bidi w:val="0"/>
              <w:adjustRightInd/>
              <w:snapToGrid/>
              <w:spacing w:line="280" w:lineRule="exact"/>
              <w:ind w:lef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投标报价得分=（投标基准价/最后投标报价）×</w:t>
            </w:r>
            <w:r>
              <w:rPr>
                <w:rFonts w:hint="eastAsia" w:ascii="宋体" w:hAnsi="宋体" w:cs="宋体"/>
                <w:color w:val="auto"/>
                <w:sz w:val="21"/>
                <w:szCs w:val="21"/>
                <w:lang w:val="en-US" w:eastAsia="zh-CN"/>
              </w:rPr>
              <w:t>30</w:t>
            </w:r>
          </w:p>
          <w:p w14:paraId="6FD3B4EB">
            <w:pPr>
              <w:keepNext w:val="0"/>
              <w:keepLines w:val="0"/>
              <w:pageBreakBefore w:val="0"/>
              <w:kinsoku/>
              <w:wordWrap/>
              <w:overflowPunct/>
              <w:topLinePunct w:val="0"/>
              <w:autoSpaceDE/>
              <w:autoSpaceDN/>
              <w:bidi w:val="0"/>
              <w:adjustRightInd/>
              <w:snapToGrid/>
              <w:spacing w:line="280" w:lineRule="exact"/>
              <w:ind w:left="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应当将其作为无效</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处理。</w:t>
            </w:r>
          </w:p>
        </w:tc>
      </w:tr>
    </w:tbl>
    <w:p w14:paraId="2B45B23A">
      <w:pPr>
        <w:spacing w:line="360" w:lineRule="auto"/>
        <w:ind w:right="-815" w:rightChars="-388"/>
        <w:jc w:val="left"/>
        <w:rPr>
          <w:rFonts w:hint="default" w:ascii="Times New Roman" w:hAnsi="Times New Roman" w:cs="Times New Roman"/>
          <w:b/>
          <w:color w:val="000000" w:themeColor="text1"/>
          <w:szCs w:val="21"/>
          <w:highlight w:val="none"/>
          <w14:textFill>
            <w14:solidFill>
              <w14:schemeClr w14:val="tx1"/>
            </w14:solidFill>
          </w14:textFill>
        </w:rPr>
      </w:pPr>
    </w:p>
    <w:p w14:paraId="235DDA3E">
      <w:pPr>
        <w:spacing w:line="360" w:lineRule="auto"/>
        <w:ind w:right="-815" w:rightChars="-388" w:firstLine="422" w:firstLineChars="200"/>
        <w:jc w:val="left"/>
        <w:rPr>
          <w:rFonts w:hint="default"/>
        </w:rPr>
      </w:pPr>
      <w:r>
        <w:rPr>
          <w:rFonts w:hint="default" w:ascii="Times New Roman" w:hAnsi="Times New Roman" w:cs="Times New Roman"/>
          <w:b/>
          <w:color w:val="000000" w:themeColor="text1"/>
          <w:szCs w:val="21"/>
          <w:highlight w:val="none"/>
          <w14:textFill>
            <w14:solidFill>
              <w14:schemeClr w14:val="tx1"/>
            </w14:solidFill>
          </w14:textFill>
        </w:rPr>
        <w:t>说明：</w:t>
      </w:r>
    </w:p>
    <w:p w14:paraId="35FC5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815" w:rightChars="-388" w:firstLine="420" w:firstLineChars="200"/>
        <w:jc w:val="left"/>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highlight w:val="none"/>
          <w:lang w:val="en-US" w:eastAsia="zh-CN"/>
          <w14:textFill>
            <w14:solidFill>
              <w14:schemeClr w14:val="tx1"/>
            </w14:solidFill>
          </w14:textFill>
        </w:rPr>
        <w:t>供应商</w:t>
      </w:r>
      <w:r>
        <w:rPr>
          <w:rFonts w:hint="default" w:ascii="Times New Roman" w:hAnsi="Times New Roman" w:eastAsia="宋体" w:cs="Times New Roman"/>
          <w:color w:val="000000" w:themeColor="text1"/>
          <w:highlight w:val="none"/>
          <w14:textFill>
            <w14:solidFill>
              <w14:schemeClr w14:val="tx1"/>
            </w14:solidFill>
          </w14:textFill>
        </w:rPr>
        <w:t>的综合得分为：所有评标委员会成员对其评标的综合得分。</w:t>
      </w:r>
    </w:p>
    <w:p w14:paraId="7B1EDF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815" w:rightChars="-388" w:firstLine="420" w:firstLineChars="200"/>
        <w:jc w:val="left"/>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t>计算过程中，算术平均值保留2位小数（百分比亦取2位小数），第三位小数四舍五入。</w:t>
      </w:r>
    </w:p>
    <w:p w14:paraId="133D30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815" w:rightChars="-388" w:firstLine="420" w:firstLineChars="200"/>
        <w:jc w:val="left"/>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t>评标结果按评审后得分由高到低顺序排列。评审得分相同的，按照最后报价由低到高的顺序推荐。评审得分</w:t>
      </w:r>
      <w:r>
        <w:rPr>
          <w:rFonts w:hint="eastAsia" w:cs="Times New Roman"/>
          <w:color w:val="000000" w:themeColor="text1"/>
          <w:highlight w:val="none"/>
          <w:lang w:val="en-US" w:eastAsia="zh-CN"/>
          <w14:textFill>
            <w14:solidFill>
              <w14:schemeClr w14:val="tx1"/>
            </w14:solidFill>
          </w14:textFill>
        </w:rPr>
        <w:t>相同且</w:t>
      </w:r>
      <w:r>
        <w:rPr>
          <w:rFonts w:hint="default" w:ascii="Times New Roman" w:hAnsi="Times New Roman" w:eastAsia="宋体" w:cs="Times New Roman"/>
          <w:color w:val="000000" w:themeColor="text1"/>
          <w:highlight w:val="none"/>
          <w14:textFill>
            <w14:solidFill>
              <w14:schemeClr w14:val="tx1"/>
            </w14:solidFill>
          </w14:textFill>
        </w:rPr>
        <w:t>最后报价相同的，按照技术指标优劣顺序推荐排名第一的</w:t>
      </w:r>
      <w:r>
        <w:rPr>
          <w:rFonts w:hint="default" w:ascii="Times New Roman" w:hAnsi="Times New Roman" w:eastAsia="宋体" w:cs="Times New Roman"/>
          <w:color w:val="000000" w:themeColor="text1"/>
          <w:highlight w:val="none"/>
          <w:lang w:eastAsia="zh-CN"/>
          <w14:textFill>
            <w14:solidFill>
              <w14:schemeClr w14:val="tx1"/>
            </w14:solidFill>
          </w14:textFill>
        </w:rPr>
        <w:t>成交</w:t>
      </w:r>
      <w:r>
        <w:rPr>
          <w:rFonts w:hint="default" w:ascii="Times New Roman" w:hAnsi="Times New Roman" w:eastAsia="宋体" w:cs="Times New Roman"/>
          <w:color w:val="000000" w:themeColor="text1"/>
          <w:highlight w:val="none"/>
          <w14:textFill>
            <w14:solidFill>
              <w14:schemeClr w14:val="tx1"/>
            </w14:solidFill>
          </w14:textFill>
        </w:rPr>
        <w:t>候选人。</w:t>
      </w:r>
    </w:p>
    <w:p w14:paraId="31CF5E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815" w:rightChars="-388" w:firstLine="420" w:firstLineChars="200"/>
        <w:jc w:val="left"/>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4.</w:t>
      </w:r>
      <w:r>
        <w:rPr>
          <w:rFonts w:hint="default" w:ascii="Times New Roman" w:hAnsi="Times New Roman" w:eastAsia="宋体" w:cs="Times New Roman"/>
          <w:color w:val="000000" w:themeColor="text1"/>
          <w:highlight w:val="none"/>
          <w14:textFill>
            <w14:solidFill>
              <w14:schemeClr w14:val="tx1"/>
            </w14:solidFill>
          </w14:textFill>
        </w:rPr>
        <w:t>凡评委评分项牵涉到的证明文件、数据、承诺，</w:t>
      </w:r>
      <w:r>
        <w:rPr>
          <w:rFonts w:hint="default" w:ascii="Times New Roman" w:hAnsi="Times New Roman" w:eastAsia="宋体" w:cs="Times New Roman"/>
          <w:color w:val="000000" w:themeColor="text1"/>
          <w:highlight w:val="none"/>
          <w:lang w:eastAsia="zh-CN"/>
          <w14:textFill>
            <w14:solidFill>
              <w14:schemeClr w14:val="tx1"/>
            </w14:solidFill>
          </w14:textFill>
        </w:rPr>
        <w:t>响应</w:t>
      </w:r>
      <w:r>
        <w:rPr>
          <w:rFonts w:hint="default" w:ascii="Times New Roman" w:hAnsi="Times New Roman" w:eastAsia="宋体" w:cs="Times New Roman"/>
          <w:color w:val="000000" w:themeColor="text1"/>
          <w:highlight w:val="none"/>
          <w14:textFill>
            <w14:solidFill>
              <w14:schemeClr w14:val="tx1"/>
            </w14:solidFill>
          </w14:textFill>
        </w:rPr>
        <w:t>文件中未提供、或已提供但是字迹模糊无法辨认、语义模糊易造成误解、前后文件内容不一致的则该评分项计0分处理。</w:t>
      </w:r>
    </w:p>
    <w:p w14:paraId="11B177B8">
      <w:pPr>
        <w:keepNext w:val="0"/>
        <w:keepLines w:val="0"/>
        <w:pageBreakBefore w:val="0"/>
        <w:widowControl w:val="0"/>
        <w:numPr>
          <w:ilvl w:val="0"/>
          <w:numId w:val="0"/>
        </w:numPr>
        <w:kinsoku/>
        <w:wordWrap/>
        <w:overflowPunct/>
        <w:topLinePunct w:val="0"/>
        <w:autoSpaceDE/>
        <w:autoSpaceDN/>
        <w:bidi w:val="0"/>
        <w:adjustRightInd/>
        <w:snapToGrid/>
        <w:spacing w:beforeLines="0" w:line="420" w:lineRule="exact"/>
        <w:ind w:left="0" w:leftChars="0" w:right="-815" w:rightChars="-388"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5.</w:t>
      </w:r>
      <w:r>
        <w:rPr>
          <w:rFonts w:hint="default" w:ascii="Times New Roman" w:hAnsi="Times New Roman" w:eastAsia="宋体" w:cs="Times New Roman"/>
          <w:color w:val="000000" w:themeColor="text1"/>
          <w:highlight w:val="none"/>
          <w14:textFill>
            <w14:solidFill>
              <w14:schemeClr w14:val="tx1"/>
            </w14:solidFill>
          </w14:textFill>
        </w:rPr>
        <w:t>若提交的相关证明材料无法得到核实或未在规定的时间内提交，评委会将对其所对应的评分项记0分。以上所有证明材料响应文件中需附相关资料复印件并加盖供应商公章</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如提供虚假材料(包括但不限于虚假技术参数响应、虚假制造商产品彩页、虚假业绩、虚假证书等)隐瞒失信信息等谋取中标的行为，</w:t>
      </w:r>
      <w:r>
        <w:rPr>
          <w:rFonts w:hint="eastAsia" w:cs="Times New Roman"/>
          <w:color w:val="000000" w:themeColor="text1"/>
          <w:sz w:val="21"/>
          <w:szCs w:val="21"/>
          <w:highlight w:val="none"/>
          <w:lang w:val="en-US" w:eastAsia="zh-CN"/>
          <w14:textFill>
            <w14:solidFill>
              <w14:schemeClr w14:val="tx1"/>
            </w14:solidFill>
          </w14:textFill>
        </w:rPr>
        <w:t>一</w:t>
      </w:r>
      <w:r>
        <w:rPr>
          <w:rFonts w:hint="default" w:ascii="Times New Roman" w:hAnsi="Times New Roman" w:eastAsia="宋体" w:cs="Times New Roman"/>
          <w:color w:val="000000" w:themeColor="text1"/>
          <w:sz w:val="21"/>
          <w:szCs w:val="21"/>
          <w:highlight w:val="none"/>
          <w14:textFill>
            <w14:solidFill>
              <w14:schemeClr w14:val="tx1"/>
            </w14:solidFill>
          </w14:textFill>
        </w:rPr>
        <w:t>经发现，</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将</w:t>
      </w:r>
      <w:r>
        <w:rPr>
          <w:rFonts w:hint="default" w:ascii="Times New Roman" w:hAnsi="Times New Roman" w:eastAsia="宋体" w:cs="Times New Roman"/>
          <w:color w:val="000000" w:themeColor="text1"/>
          <w:sz w:val="21"/>
          <w:szCs w:val="21"/>
          <w:highlight w:val="none"/>
          <w14:textFill>
            <w14:solidFill>
              <w14:schemeClr w14:val="tx1"/>
            </w14:solidFill>
          </w14:textFill>
        </w:rPr>
        <w:t>列入不良行为记录名单，3年内不得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参加韶山毛泽东</w:t>
      </w:r>
      <w:r>
        <w:rPr>
          <w:rFonts w:hint="eastAsia" w:cs="Times New Roman"/>
          <w:color w:val="000000" w:themeColor="text1"/>
          <w:sz w:val="21"/>
          <w:szCs w:val="21"/>
          <w:highlight w:val="none"/>
          <w:lang w:val="en-US" w:eastAsia="zh-CN"/>
          <w14:textFill>
            <w14:solidFill>
              <w14:schemeClr w14:val="tx1"/>
            </w14:solidFill>
          </w14:textFill>
        </w:rPr>
        <w:t>同志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纪念馆</w:t>
      </w:r>
      <w:r>
        <w:rPr>
          <w:rFonts w:hint="default" w:ascii="Times New Roman" w:hAnsi="Times New Roman" w:eastAsia="宋体" w:cs="Times New Roman"/>
          <w:color w:val="000000" w:themeColor="text1"/>
          <w:sz w:val="21"/>
          <w:szCs w:val="21"/>
          <w:highlight w:val="none"/>
          <w14:textFill>
            <w14:solidFill>
              <w14:schemeClr w14:val="tx1"/>
            </w14:solidFill>
          </w14:textFill>
        </w:rPr>
        <w:t>采购活动的处罚。</w:t>
      </w:r>
    </w:p>
    <w:p w14:paraId="062722B2"/>
    <w:sectPr>
      <w:footerReference r:id="rId3" w:type="default"/>
      <w:pgSz w:w="11906" w:h="16838"/>
      <w:pgMar w:top="1417"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5E7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E3AA1">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8E3AA1">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2E5Njk4ODg2MDE2ODgwNGZiNTEyYjQwYzMzZTUifQ=="/>
  </w:docVars>
  <w:rsids>
    <w:rsidRoot w:val="3C1F673C"/>
    <w:rsid w:val="25396FB0"/>
    <w:rsid w:val="3C1F673C"/>
    <w:rsid w:val="51A227FA"/>
    <w:rsid w:val="5B311F59"/>
    <w:rsid w:val="5DB5007C"/>
    <w:rsid w:val="67C605B4"/>
    <w:rsid w:val="6D38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3"/>
    <w:basedOn w:val="1"/>
    <w:qFormat/>
    <w:uiPriority w:val="0"/>
    <w:pPr>
      <w:spacing w:after="120"/>
      <w:ind w:left="420" w:leftChars="200"/>
    </w:pPr>
    <w:rPr>
      <w:kern w:val="0"/>
      <w:sz w:val="16"/>
      <w:szCs w:val="16"/>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目录 81"/>
    <w:basedOn w:val="1"/>
    <w:next w:val="1"/>
    <w:qFormat/>
    <w:uiPriority w:val="99"/>
    <w:pPr>
      <w:ind w:left="2940"/>
    </w:pPr>
  </w:style>
  <w:style w:type="paragraph" w:customStyle="1" w:styleId="8">
    <w:name w:val="列出段落112"/>
    <w:basedOn w:val="1"/>
    <w:qFormat/>
    <w:uiPriority w:val="99"/>
    <w:pPr>
      <w:ind w:firstLine="420" w:firstLineChars="200"/>
    </w:pPr>
  </w:style>
  <w:style w:type="paragraph" w:customStyle="1" w:styleId="9">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1332</Words>
  <Characters>1367</Characters>
  <Lines>0</Lines>
  <Paragraphs>0</Paragraphs>
  <TotalTime>3</TotalTime>
  <ScaleCrop>false</ScaleCrop>
  <LinksUpToDate>false</LinksUpToDate>
  <CharactersWithSpaces>1367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2024-09-03T07:19:00Z</dcterms:created>
  <dc:creator>WPS_1528124280</dc:creator>
  <cp:lastModifiedBy>WPS_1528124280</cp:lastModifiedBy>
  <dcterms:modified xsi:type="dcterms:W3CDTF">2025-06-05T00:51:42Z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F34C8561AED94994A52DE4C699082792_13</vt:lpwstr>
  </property>
  <property fmtid="{D5CDD505-2E9C-101B-9397-08002B2CF9AE}" pid="4" name="KSOTemplateDocerSaveRecord">
    <vt:lpwstr>eyJoZGlkIjoiOWQzZmRiYmYwZDJiMjYxYmZiZThmZjRlYTA0MjIwMzAiLCJ1c2VySWQiOiIyNjA1NTIyMTAifQ==</vt:lpwstr>
  </property>
</Properties>
</file>