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44E58">
      <w:pPr>
        <w:pStyle w:val="6"/>
        <w:spacing w:line="360" w:lineRule="auto"/>
        <w:ind w:firstLine="560"/>
        <w:rPr>
          <w:rFonts w:hint="eastAsia" w:ascii="黑体" w:hAnsi="黑体" w:eastAsia="黑体" w:cs="黑体"/>
          <w:kern w:val="0"/>
          <w:sz w:val="32"/>
          <w:szCs w:val="32"/>
        </w:rPr>
      </w:pPr>
      <w:r>
        <w:rPr>
          <w:rFonts w:hint="eastAsia" w:ascii="黑体" w:hAnsi="黑体" w:eastAsia="黑体" w:cs="黑体"/>
          <w:kern w:val="0"/>
          <w:sz w:val="32"/>
          <w:szCs w:val="32"/>
        </w:rPr>
        <w:t>附件</w:t>
      </w:r>
    </w:p>
    <w:tbl>
      <w:tblPr>
        <w:tblStyle w:val="3"/>
        <w:tblW w:w="8522" w:type="dxa"/>
        <w:tblInd w:w="89" w:type="dxa"/>
        <w:tblLayout w:type="fixed"/>
        <w:tblCellMar>
          <w:top w:w="0" w:type="dxa"/>
          <w:left w:w="108" w:type="dxa"/>
          <w:bottom w:w="0" w:type="dxa"/>
          <w:right w:w="108" w:type="dxa"/>
        </w:tblCellMar>
      </w:tblPr>
      <w:tblGrid>
        <w:gridCol w:w="1012"/>
        <w:gridCol w:w="1559"/>
        <w:gridCol w:w="4394"/>
        <w:gridCol w:w="1077"/>
      </w:tblGrid>
      <w:tr w14:paraId="7A66E523">
        <w:trPr>
          <w:wBefore w:w="89" w:type="dxa"/>
          <w:wAfter w:w="391" w:type="dxa"/>
          <w:trHeight w:val="705" w:hRule="atLeast"/>
        </w:trPr>
        <w:tc>
          <w:tcPr>
            <w:tcW w:w="8042" w:type="dxa"/>
            <w:gridSpan w:val="4"/>
            <w:tcBorders>
              <w:top w:val="nil"/>
              <w:left w:val="nil"/>
              <w:bottom w:val="nil"/>
              <w:right w:val="nil"/>
            </w:tcBorders>
            <w:noWrap/>
            <w:vAlign w:val="center"/>
          </w:tcPr>
          <w:p w14:paraId="6A68A412">
            <w:pPr>
              <w:widowControl/>
              <w:jc w:val="center"/>
              <w:rPr>
                <w:rFonts w:ascii="仿宋_GB2312" w:eastAsia="仿宋_GB2312" w:cs="宋体"/>
                <w:b/>
                <w:bCs/>
                <w:color w:val="000000"/>
                <w:kern w:val="0"/>
                <w:sz w:val="48"/>
                <w:szCs w:val="48"/>
              </w:rPr>
            </w:pPr>
            <w:r>
              <w:rPr>
                <w:rFonts w:hint="eastAsia" w:ascii="黑体" w:hAnsi="黑体" w:eastAsia="黑体" w:cs="黑体"/>
                <w:b w:val="0"/>
                <w:bCs w:val="0"/>
                <w:color w:val="000000"/>
                <w:kern w:val="0"/>
                <w:sz w:val="44"/>
                <w:szCs w:val="44"/>
              </w:rPr>
              <w:t>评审因素和标准</w:t>
            </w:r>
          </w:p>
        </w:tc>
      </w:tr>
      <w:tr w14:paraId="25359A07">
        <w:tblPrEx>
          <w:tblCellMar>
            <w:top w:w="0" w:type="dxa"/>
            <w:left w:w="108" w:type="dxa"/>
            <w:bottom w:w="0" w:type="dxa"/>
            <w:right w:w="108" w:type="dxa"/>
          </w:tblCellMar>
        </w:tblPrEx>
        <w:trPr>
          <w:wBefore w:w="89" w:type="dxa"/>
          <w:wAfter w:w="391" w:type="dxa"/>
          <w:trHeight w:val="450" w:hRule="atLeast"/>
        </w:trPr>
        <w:tc>
          <w:tcPr>
            <w:tcW w:w="1012" w:type="dxa"/>
            <w:tcBorders>
              <w:top w:val="single" w:color="auto" w:sz="4" w:space="0"/>
              <w:left w:val="single" w:color="auto" w:sz="4" w:space="0"/>
              <w:bottom w:val="single" w:color="auto" w:sz="4" w:space="0"/>
              <w:right w:val="single" w:color="auto" w:sz="4" w:space="0"/>
            </w:tcBorders>
            <w:noWrap/>
            <w:vAlign w:val="center"/>
          </w:tcPr>
          <w:p w14:paraId="6AAE6BCE">
            <w:pPr>
              <w:widowControl/>
              <w:jc w:val="center"/>
              <w:rPr>
                <w:rFonts w:ascii="仿宋_GB2312" w:eastAsia="仿宋_GB2312" w:cs="宋体"/>
                <w:color w:val="000000"/>
                <w:kern w:val="0"/>
                <w:sz w:val="36"/>
                <w:szCs w:val="36"/>
              </w:rPr>
            </w:pPr>
            <w:r>
              <w:rPr>
                <w:rFonts w:hint="eastAsia" w:ascii="仿宋_GB2312" w:eastAsia="仿宋_GB2312" w:cs="宋体"/>
                <w:color w:val="000000"/>
                <w:kern w:val="0"/>
                <w:sz w:val="36"/>
                <w:szCs w:val="36"/>
              </w:rPr>
              <w:t>序号</w:t>
            </w:r>
          </w:p>
        </w:tc>
        <w:tc>
          <w:tcPr>
            <w:tcW w:w="1559" w:type="dxa"/>
            <w:tcBorders>
              <w:top w:val="single" w:color="auto" w:sz="4" w:space="0"/>
              <w:left w:val="nil"/>
              <w:bottom w:val="single" w:color="auto" w:sz="4" w:space="0"/>
              <w:right w:val="single" w:color="auto" w:sz="4" w:space="0"/>
            </w:tcBorders>
            <w:noWrap/>
            <w:vAlign w:val="center"/>
          </w:tcPr>
          <w:p w14:paraId="29CA9FEB">
            <w:pPr>
              <w:widowControl/>
              <w:jc w:val="center"/>
              <w:rPr>
                <w:rFonts w:ascii="仿宋_GB2312" w:eastAsia="仿宋_GB2312" w:cs="宋体"/>
                <w:color w:val="000000"/>
                <w:kern w:val="0"/>
                <w:sz w:val="36"/>
                <w:szCs w:val="36"/>
              </w:rPr>
            </w:pPr>
            <w:r>
              <w:rPr>
                <w:rFonts w:hint="eastAsia" w:ascii="仿宋_GB2312" w:eastAsia="仿宋_GB2312" w:cs="宋体"/>
                <w:color w:val="000000"/>
                <w:kern w:val="0"/>
                <w:sz w:val="36"/>
                <w:szCs w:val="36"/>
              </w:rPr>
              <w:t>评分项</w:t>
            </w:r>
          </w:p>
        </w:tc>
        <w:tc>
          <w:tcPr>
            <w:tcW w:w="4394" w:type="dxa"/>
            <w:tcBorders>
              <w:top w:val="single" w:color="auto" w:sz="4" w:space="0"/>
              <w:left w:val="nil"/>
              <w:bottom w:val="single" w:color="auto" w:sz="4" w:space="0"/>
              <w:right w:val="single" w:color="auto" w:sz="4" w:space="0"/>
            </w:tcBorders>
            <w:noWrap/>
            <w:vAlign w:val="center"/>
          </w:tcPr>
          <w:p w14:paraId="5CB62581">
            <w:pPr>
              <w:widowControl/>
              <w:jc w:val="center"/>
              <w:rPr>
                <w:rFonts w:ascii="仿宋_GB2312" w:eastAsia="仿宋_GB2312" w:cs="宋体"/>
                <w:color w:val="000000"/>
                <w:kern w:val="0"/>
                <w:sz w:val="36"/>
                <w:szCs w:val="36"/>
              </w:rPr>
            </w:pPr>
            <w:r>
              <w:rPr>
                <w:rFonts w:hint="eastAsia" w:ascii="仿宋_GB2312" w:eastAsia="仿宋_GB2312" w:cs="宋体"/>
                <w:color w:val="000000"/>
                <w:kern w:val="0"/>
                <w:sz w:val="36"/>
                <w:szCs w:val="36"/>
              </w:rPr>
              <w:t>评分标准</w:t>
            </w:r>
          </w:p>
        </w:tc>
        <w:tc>
          <w:tcPr>
            <w:tcW w:w="1077" w:type="dxa"/>
            <w:tcBorders>
              <w:top w:val="single" w:color="auto" w:sz="4" w:space="0"/>
              <w:left w:val="nil"/>
              <w:bottom w:val="single" w:color="auto" w:sz="4" w:space="0"/>
              <w:right w:val="single" w:color="auto" w:sz="4" w:space="0"/>
            </w:tcBorders>
            <w:noWrap/>
            <w:vAlign w:val="center"/>
          </w:tcPr>
          <w:p w14:paraId="4BBC8769">
            <w:pPr>
              <w:widowControl/>
              <w:jc w:val="center"/>
              <w:rPr>
                <w:rFonts w:ascii="仿宋_GB2312" w:eastAsia="仿宋_GB2312" w:cs="宋体"/>
                <w:color w:val="000000"/>
                <w:kern w:val="0"/>
                <w:sz w:val="36"/>
                <w:szCs w:val="36"/>
              </w:rPr>
            </w:pPr>
            <w:r>
              <w:rPr>
                <w:rFonts w:hint="eastAsia" w:ascii="仿宋_GB2312" w:eastAsia="仿宋_GB2312" w:cs="宋体"/>
                <w:color w:val="000000"/>
                <w:kern w:val="0"/>
                <w:sz w:val="36"/>
                <w:szCs w:val="36"/>
              </w:rPr>
              <w:t>分值</w:t>
            </w:r>
          </w:p>
        </w:tc>
      </w:tr>
      <w:tr w14:paraId="2FB63000">
        <w:tblPrEx>
          <w:tblCellMar>
            <w:top w:w="0" w:type="dxa"/>
            <w:left w:w="108" w:type="dxa"/>
            <w:bottom w:w="0" w:type="dxa"/>
            <w:right w:w="108" w:type="dxa"/>
          </w:tblCellMar>
        </w:tblPrEx>
        <w:trPr>
          <w:wBefore w:w="89" w:type="dxa"/>
          <w:wAfter w:w="391" w:type="dxa"/>
          <w:trHeight w:val="2310" w:hRule="atLeast"/>
        </w:trPr>
        <w:tc>
          <w:tcPr>
            <w:tcW w:w="1012" w:type="dxa"/>
            <w:tcBorders>
              <w:top w:val="nil"/>
              <w:left w:val="single" w:color="auto" w:sz="4" w:space="0"/>
              <w:bottom w:val="single" w:color="auto" w:sz="4" w:space="0"/>
              <w:right w:val="single" w:color="auto" w:sz="4" w:space="0"/>
            </w:tcBorders>
            <w:noWrap/>
            <w:vAlign w:val="center"/>
          </w:tcPr>
          <w:p w14:paraId="7DF424DE">
            <w:pPr>
              <w:widowControl/>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559" w:type="dxa"/>
            <w:tcBorders>
              <w:top w:val="nil"/>
              <w:left w:val="nil"/>
              <w:bottom w:val="single" w:color="auto" w:sz="4" w:space="0"/>
              <w:right w:val="single" w:color="auto" w:sz="4" w:space="0"/>
            </w:tcBorders>
            <w:noWrap/>
            <w:vAlign w:val="center"/>
          </w:tcPr>
          <w:p w14:paraId="05372908">
            <w:pPr>
              <w:widowControl/>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类似业绩</w:t>
            </w:r>
          </w:p>
        </w:tc>
        <w:tc>
          <w:tcPr>
            <w:tcW w:w="4394" w:type="dxa"/>
            <w:tcBorders>
              <w:top w:val="nil"/>
              <w:left w:val="nil"/>
              <w:bottom w:val="single" w:color="auto" w:sz="4" w:space="0"/>
              <w:right w:val="single" w:color="auto" w:sz="4" w:space="0"/>
            </w:tcBorders>
            <w:noWrap w:val="0"/>
            <w:vAlign w:val="center"/>
          </w:tcPr>
          <w:p w14:paraId="1009939D">
            <w:pPr>
              <w:widowControl/>
              <w:jc w:val="left"/>
              <w:rPr>
                <w:rFonts w:ascii="仿宋_GB2312" w:eastAsia="仿宋_GB2312" w:cs="宋体"/>
                <w:color w:val="000000"/>
                <w:kern w:val="0"/>
                <w:sz w:val="28"/>
                <w:szCs w:val="28"/>
              </w:rPr>
            </w:pPr>
            <w:r>
              <w:rPr>
                <w:rFonts w:hint="eastAsia" w:ascii="仿宋_GB2312" w:eastAsia="仿宋_GB2312" w:cs="宋体"/>
                <w:color w:val="FF0000"/>
                <w:kern w:val="0"/>
                <w:sz w:val="28"/>
                <w:szCs w:val="28"/>
              </w:rPr>
              <w:t>近5年来，2019年至今</w:t>
            </w:r>
            <w:r>
              <w:rPr>
                <w:rFonts w:hint="eastAsia" w:ascii="仿宋_GB2312" w:eastAsia="仿宋_GB2312" w:cs="宋体"/>
                <w:color w:val="FF0000"/>
                <w:kern w:val="0"/>
                <w:sz w:val="28"/>
                <w:szCs w:val="28"/>
                <w:lang w:eastAsia="zh-CN"/>
              </w:rPr>
              <w:t>具有类似</w:t>
            </w:r>
            <w:r>
              <w:rPr>
                <w:rFonts w:hint="eastAsia" w:ascii="仿宋_GB2312" w:eastAsia="仿宋_GB2312" w:cs="宋体"/>
                <w:color w:val="FF0000"/>
                <w:kern w:val="0"/>
                <w:sz w:val="28"/>
                <w:szCs w:val="28"/>
                <w:lang w:val="en-US" w:eastAsia="zh-CN"/>
              </w:rPr>
              <w:t>改造</w:t>
            </w:r>
            <w:r>
              <w:rPr>
                <w:rFonts w:hint="eastAsia" w:ascii="仿宋_GB2312" w:eastAsia="仿宋_GB2312" w:cs="宋体"/>
                <w:color w:val="FF0000"/>
                <w:kern w:val="0"/>
                <w:sz w:val="28"/>
                <w:szCs w:val="28"/>
                <w:lang w:eastAsia="zh-CN"/>
              </w:rPr>
              <w:t>设计项目业绩的</w:t>
            </w:r>
            <w:r>
              <w:rPr>
                <w:rFonts w:hint="eastAsia" w:ascii="仿宋_GB2312" w:eastAsia="仿宋_GB2312" w:cs="宋体"/>
                <w:color w:val="FF0000"/>
                <w:kern w:val="0"/>
                <w:sz w:val="28"/>
                <w:szCs w:val="28"/>
              </w:rPr>
              <w:t>，每个得3分，最多15分。</w:t>
            </w:r>
            <w:r>
              <w:rPr>
                <w:rFonts w:hint="eastAsia" w:ascii="仿宋_GB2312" w:eastAsia="仿宋_GB2312" w:cs="宋体"/>
                <w:color w:val="000000"/>
                <w:kern w:val="0"/>
                <w:sz w:val="28"/>
                <w:szCs w:val="28"/>
              </w:rPr>
              <w:br w:type="textWrapping"/>
            </w:r>
            <w:r>
              <w:rPr>
                <w:rFonts w:hint="eastAsia" w:ascii="仿宋_GB2312" w:eastAsia="仿宋_GB2312" w:cs="宋体"/>
                <w:color w:val="000000"/>
                <w:kern w:val="0"/>
                <w:sz w:val="28"/>
                <w:szCs w:val="28"/>
              </w:rPr>
              <w:t>注:</w:t>
            </w:r>
            <w:r>
              <w:rPr>
                <w:rFonts w:hint="eastAsia" w:ascii="仿宋_GB2312" w:eastAsia="仿宋_GB2312" w:cs="宋体"/>
                <w:color w:val="FF0000"/>
                <w:kern w:val="0"/>
                <w:sz w:val="28"/>
                <w:szCs w:val="28"/>
              </w:rPr>
              <w:t>提供合同</w:t>
            </w:r>
            <w:r>
              <w:rPr>
                <w:rFonts w:hint="eastAsia" w:ascii="仿宋_GB2312" w:eastAsia="仿宋_GB2312" w:cs="宋体"/>
                <w:color w:val="FF0000"/>
                <w:kern w:val="0"/>
                <w:sz w:val="28"/>
                <w:szCs w:val="28"/>
                <w:lang w:eastAsia="zh-CN"/>
              </w:rPr>
              <w:t>复印件并加盖投标人公章</w:t>
            </w:r>
            <w:r>
              <w:rPr>
                <w:rFonts w:hint="eastAsia" w:ascii="仿宋_GB2312" w:eastAsia="仿宋_GB2312" w:cs="宋体"/>
                <w:color w:val="000000"/>
                <w:kern w:val="0"/>
                <w:sz w:val="28"/>
                <w:szCs w:val="28"/>
              </w:rPr>
              <w:t>，否则不计分。</w:t>
            </w:r>
          </w:p>
        </w:tc>
        <w:tc>
          <w:tcPr>
            <w:tcW w:w="1077" w:type="dxa"/>
            <w:tcBorders>
              <w:top w:val="nil"/>
              <w:left w:val="nil"/>
              <w:bottom w:val="single" w:color="auto" w:sz="4" w:space="0"/>
              <w:right w:val="single" w:color="auto" w:sz="4" w:space="0"/>
            </w:tcBorders>
            <w:noWrap w:val="0"/>
            <w:vAlign w:val="center"/>
          </w:tcPr>
          <w:p w14:paraId="2FB87D5B">
            <w:pPr>
              <w:widowControl/>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15</w:t>
            </w:r>
          </w:p>
        </w:tc>
      </w:tr>
      <w:tr w14:paraId="740A5629">
        <w:tblPrEx>
          <w:tblCellMar>
            <w:top w:w="0" w:type="dxa"/>
            <w:left w:w="108" w:type="dxa"/>
            <w:bottom w:w="0" w:type="dxa"/>
            <w:right w:w="108" w:type="dxa"/>
          </w:tblCellMar>
        </w:tblPrEx>
        <w:trPr>
          <w:wBefore w:w="89" w:type="dxa"/>
          <w:wAfter w:w="391" w:type="dxa"/>
          <w:trHeight w:val="2775" w:hRule="atLeast"/>
        </w:trPr>
        <w:tc>
          <w:tcPr>
            <w:tcW w:w="1012" w:type="dxa"/>
            <w:tcBorders>
              <w:top w:val="nil"/>
              <w:left w:val="single" w:color="auto" w:sz="4" w:space="0"/>
              <w:bottom w:val="single" w:color="auto" w:sz="4" w:space="0"/>
              <w:right w:val="single" w:color="auto" w:sz="4" w:space="0"/>
            </w:tcBorders>
            <w:noWrap/>
            <w:vAlign w:val="center"/>
          </w:tcPr>
          <w:p w14:paraId="6654095E">
            <w:pPr>
              <w:widowControl/>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2</w:t>
            </w:r>
          </w:p>
        </w:tc>
        <w:tc>
          <w:tcPr>
            <w:tcW w:w="1559" w:type="dxa"/>
            <w:tcBorders>
              <w:top w:val="nil"/>
              <w:left w:val="nil"/>
              <w:bottom w:val="single" w:color="auto" w:sz="4" w:space="0"/>
              <w:right w:val="single" w:color="auto" w:sz="4" w:space="0"/>
            </w:tcBorders>
            <w:noWrap/>
            <w:vAlign w:val="center"/>
          </w:tcPr>
          <w:p w14:paraId="65CCB730">
            <w:pPr>
              <w:widowControl/>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服务方案</w:t>
            </w:r>
          </w:p>
        </w:tc>
        <w:tc>
          <w:tcPr>
            <w:tcW w:w="4394" w:type="dxa"/>
            <w:tcBorders>
              <w:top w:val="nil"/>
              <w:left w:val="nil"/>
              <w:bottom w:val="single" w:color="auto" w:sz="4" w:space="0"/>
              <w:right w:val="single" w:color="auto" w:sz="4" w:space="0"/>
            </w:tcBorders>
            <w:noWrap w:val="0"/>
            <w:vAlign w:val="center"/>
          </w:tcPr>
          <w:p w14:paraId="664B622A">
            <w:pPr>
              <w:widowControl/>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根据投标人的编制方案，的科学性和理性进行比较：包括按甲方对项目设计要求等进行综合评定，包括房屋外观改造、外环境改造、配套设施、空间规划、游线布置等方面，方案切实可行且全面高效得50-30分，方案基本具备可实施性得29-19分，无具体方案得0分。</w:t>
            </w:r>
          </w:p>
        </w:tc>
        <w:tc>
          <w:tcPr>
            <w:tcW w:w="1077" w:type="dxa"/>
            <w:tcBorders>
              <w:top w:val="nil"/>
              <w:left w:val="nil"/>
              <w:bottom w:val="single" w:color="auto" w:sz="4" w:space="0"/>
              <w:right w:val="single" w:color="auto" w:sz="4" w:space="0"/>
            </w:tcBorders>
            <w:noWrap w:val="0"/>
            <w:vAlign w:val="center"/>
          </w:tcPr>
          <w:p w14:paraId="69F1EE9C">
            <w:pPr>
              <w:widowControl/>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50</w:t>
            </w:r>
          </w:p>
        </w:tc>
      </w:tr>
      <w:tr w14:paraId="01511E8A">
        <w:tblPrEx>
          <w:tblCellMar>
            <w:top w:w="0" w:type="dxa"/>
            <w:left w:w="108" w:type="dxa"/>
            <w:bottom w:w="0" w:type="dxa"/>
            <w:right w:w="108" w:type="dxa"/>
          </w:tblCellMar>
        </w:tblPrEx>
        <w:trPr>
          <w:wBefore w:w="89" w:type="dxa"/>
          <w:wAfter w:w="391" w:type="dxa"/>
          <w:trHeight w:val="1500" w:hRule="atLeast"/>
        </w:trPr>
        <w:tc>
          <w:tcPr>
            <w:tcW w:w="1012" w:type="dxa"/>
            <w:tcBorders>
              <w:top w:val="nil"/>
              <w:left w:val="single" w:color="auto" w:sz="4" w:space="0"/>
              <w:bottom w:val="single" w:color="auto" w:sz="4" w:space="0"/>
              <w:right w:val="single" w:color="auto" w:sz="4" w:space="0"/>
            </w:tcBorders>
            <w:noWrap/>
            <w:vAlign w:val="center"/>
          </w:tcPr>
          <w:p w14:paraId="159266B8">
            <w:pPr>
              <w:widowControl/>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3</w:t>
            </w:r>
          </w:p>
        </w:tc>
        <w:tc>
          <w:tcPr>
            <w:tcW w:w="1559" w:type="dxa"/>
            <w:tcBorders>
              <w:top w:val="nil"/>
              <w:left w:val="nil"/>
              <w:bottom w:val="single" w:color="auto" w:sz="4" w:space="0"/>
              <w:right w:val="single" w:color="auto" w:sz="4" w:space="0"/>
            </w:tcBorders>
            <w:noWrap/>
            <w:vAlign w:val="center"/>
          </w:tcPr>
          <w:p w14:paraId="753835A9">
            <w:pPr>
              <w:widowControl/>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项目团队</w:t>
            </w:r>
          </w:p>
        </w:tc>
        <w:tc>
          <w:tcPr>
            <w:tcW w:w="4394" w:type="dxa"/>
            <w:tcBorders>
              <w:top w:val="nil"/>
              <w:left w:val="nil"/>
              <w:bottom w:val="single" w:color="auto" w:sz="4" w:space="0"/>
              <w:right w:val="single" w:color="auto" w:sz="4" w:space="0"/>
            </w:tcBorders>
            <w:noWrap w:val="0"/>
            <w:vAlign w:val="center"/>
          </w:tcPr>
          <w:p w14:paraId="36D2C340">
            <w:pPr>
              <w:widowControl/>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本项目配置的人员情况：</w:t>
            </w:r>
            <w:r>
              <w:rPr>
                <w:rFonts w:hint="eastAsia" w:ascii="仿宋_GB2312" w:eastAsia="仿宋_GB2312" w:cs="宋体"/>
                <w:color w:val="FF0000"/>
                <w:kern w:val="0"/>
                <w:sz w:val="28"/>
                <w:szCs w:val="28"/>
                <w:lang w:val="en-US" w:eastAsia="zh-CN"/>
              </w:rPr>
              <w:t>项目负责人具备正高级职称和国家一级注册建筑师资格的，计5分；</w:t>
            </w:r>
            <w:r>
              <w:rPr>
                <w:rFonts w:hint="eastAsia" w:ascii="仿宋_GB2312" w:eastAsia="仿宋_GB2312" w:cs="宋体"/>
                <w:color w:val="FF0000"/>
                <w:kern w:val="0"/>
                <w:sz w:val="28"/>
                <w:szCs w:val="28"/>
              </w:rPr>
              <w:t>项目团队</w:t>
            </w:r>
            <w:r>
              <w:rPr>
                <w:rFonts w:hint="eastAsia" w:ascii="仿宋_GB2312" w:eastAsia="仿宋_GB2312" w:cs="宋体"/>
                <w:color w:val="FF0000"/>
                <w:kern w:val="0"/>
                <w:sz w:val="28"/>
                <w:szCs w:val="28"/>
                <w:lang w:val="en-US" w:eastAsia="zh-CN"/>
              </w:rPr>
              <w:t>成员</w:t>
            </w:r>
            <w:r>
              <w:rPr>
                <w:rFonts w:hint="eastAsia" w:ascii="仿宋_GB2312" w:eastAsia="仿宋_GB2312" w:cs="宋体"/>
                <w:color w:val="FF0000"/>
                <w:kern w:val="0"/>
                <w:sz w:val="28"/>
                <w:szCs w:val="28"/>
              </w:rPr>
              <w:t>具有高级及以上</w:t>
            </w:r>
            <w:r>
              <w:rPr>
                <w:rFonts w:hint="eastAsia" w:ascii="仿宋_GB2312" w:eastAsia="仿宋_GB2312" w:cs="宋体"/>
                <w:color w:val="FF0000"/>
                <w:kern w:val="0"/>
                <w:sz w:val="28"/>
                <w:szCs w:val="28"/>
                <w:lang w:val="en-US" w:eastAsia="zh-CN"/>
              </w:rPr>
              <w:t>相关</w:t>
            </w:r>
            <w:r>
              <w:rPr>
                <w:rFonts w:hint="eastAsia" w:ascii="仿宋_GB2312" w:eastAsia="仿宋_GB2312" w:cs="宋体"/>
                <w:color w:val="FF0000"/>
                <w:kern w:val="0"/>
                <w:sz w:val="28"/>
                <w:szCs w:val="28"/>
              </w:rPr>
              <w:t>专业技术职称的，每一名得</w:t>
            </w:r>
            <w:r>
              <w:rPr>
                <w:rFonts w:hint="eastAsia" w:ascii="仿宋_GB2312" w:eastAsia="仿宋_GB2312" w:cs="宋体"/>
                <w:color w:val="FF0000"/>
                <w:kern w:val="0"/>
                <w:sz w:val="28"/>
                <w:szCs w:val="28"/>
                <w:lang w:val="en-US" w:eastAsia="zh-CN"/>
              </w:rPr>
              <w:t>2</w:t>
            </w:r>
            <w:r>
              <w:rPr>
                <w:rFonts w:hint="eastAsia" w:ascii="仿宋_GB2312" w:eastAsia="仿宋_GB2312" w:cs="宋体"/>
                <w:color w:val="FF0000"/>
                <w:kern w:val="0"/>
                <w:sz w:val="28"/>
                <w:szCs w:val="28"/>
              </w:rPr>
              <w:t>分，最多</w:t>
            </w:r>
            <w:r>
              <w:rPr>
                <w:rFonts w:hint="eastAsia" w:ascii="仿宋_GB2312" w:eastAsia="仿宋_GB2312" w:cs="宋体"/>
                <w:color w:val="FF0000"/>
                <w:kern w:val="0"/>
                <w:sz w:val="28"/>
                <w:szCs w:val="28"/>
                <w:lang w:val="en-US" w:eastAsia="zh-CN"/>
              </w:rPr>
              <w:t>10</w:t>
            </w:r>
            <w:r>
              <w:rPr>
                <w:rFonts w:hint="eastAsia" w:ascii="仿宋_GB2312" w:eastAsia="仿宋_GB2312" w:cs="宋体"/>
                <w:color w:val="FF0000"/>
                <w:kern w:val="0"/>
                <w:sz w:val="28"/>
                <w:szCs w:val="28"/>
              </w:rPr>
              <w:t>分。</w:t>
            </w:r>
          </w:p>
        </w:tc>
        <w:tc>
          <w:tcPr>
            <w:tcW w:w="1077" w:type="dxa"/>
            <w:tcBorders>
              <w:top w:val="nil"/>
              <w:left w:val="nil"/>
              <w:bottom w:val="single" w:color="auto" w:sz="4" w:space="0"/>
              <w:right w:val="single" w:color="auto" w:sz="4" w:space="0"/>
            </w:tcBorders>
            <w:noWrap w:val="0"/>
            <w:vAlign w:val="center"/>
          </w:tcPr>
          <w:p w14:paraId="0B63D54A">
            <w:pPr>
              <w:widowControl/>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15</w:t>
            </w:r>
          </w:p>
        </w:tc>
      </w:tr>
    </w:tbl>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71"/>
        <w:gridCol w:w="1350"/>
        <w:gridCol w:w="5400"/>
        <w:gridCol w:w="901"/>
      </w:tblGrid>
      <w:tr w14:paraId="2E3AA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71" w:type="dxa"/>
          </w:tcPr>
          <w:p w14:paraId="5A0F4912">
            <w:pPr>
              <w:widowControl/>
              <w:spacing w:line="598" w:lineRule="atLeast"/>
              <w:jc w:val="center"/>
              <w:textAlignment w:val="baseline"/>
              <w:rPr>
                <w:rFonts w:hint="eastAsia" w:ascii="黑体" w:hAnsi="黑体" w:eastAsia="黑体" w:cs="宋体"/>
                <w:color w:val="666666"/>
                <w:kern w:val="0"/>
                <w:sz w:val="30"/>
                <w:szCs w:val="30"/>
                <w:vertAlign w:val="baseline"/>
                <w:lang w:val="en-US" w:eastAsia="zh-CN"/>
              </w:rPr>
            </w:pPr>
          </w:p>
          <w:p w14:paraId="41E2055C">
            <w:pPr>
              <w:widowControl/>
              <w:spacing w:line="598" w:lineRule="atLeast"/>
              <w:jc w:val="center"/>
              <w:textAlignment w:val="baseline"/>
              <w:rPr>
                <w:rFonts w:hint="eastAsia" w:ascii="黑体" w:hAnsi="黑体" w:eastAsia="黑体" w:cs="宋体"/>
                <w:color w:val="666666"/>
                <w:kern w:val="0"/>
                <w:sz w:val="30"/>
                <w:szCs w:val="30"/>
                <w:vertAlign w:val="baseline"/>
                <w:lang w:val="en-US" w:eastAsia="zh-CN"/>
              </w:rPr>
            </w:pPr>
          </w:p>
          <w:p w14:paraId="543C8066">
            <w:pPr>
              <w:widowControl/>
              <w:spacing w:line="598" w:lineRule="atLeast"/>
              <w:jc w:val="center"/>
              <w:textAlignment w:val="baseline"/>
              <w:rPr>
                <w:rFonts w:hint="eastAsia" w:ascii="黑体" w:hAnsi="黑体" w:eastAsia="黑体" w:cs="宋体"/>
                <w:color w:val="666666"/>
                <w:kern w:val="0"/>
                <w:sz w:val="30"/>
                <w:szCs w:val="30"/>
                <w:vertAlign w:val="baseline"/>
                <w:lang w:val="en-US" w:eastAsia="zh-CN"/>
              </w:rPr>
            </w:pPr>
          </w:p>
          <w:p w14:paraId="1378C4C4">
            <w:pPr>
              <w:widowControl/>
              <w:spacing w:line="598" w:lineRule="atLeast"/>
              <w:jc w:val="center"/>
              <w:textAlignment w:val="baseline"/>
              <w:rPr>
                <w:rFonts w:hint="eastAsia" w:ascii="黑体" w:hAnsi="黑体" w:eastAsia="黑体" w:cs="宋体"/>
                <w:color w:val="666666"/>
                <w:kern w:val="0"/>
                <w:sz w:val="30"/>
                <w:szCs w:val="30"/>
                <w:vertAlign w:val="baseline"/>
                <w:lang w:val="en-US" w:eastAsia="zh-CN"/>
              </w:rPr>
            </w:pPr>
          </w:p>
          <w:p w14:paraId="1A2C2F02">
            <w:pPr>
              <w:widowControl/>
              <w:spacing w:line="598" w:lineRule="atLeast"/>
              <w:jc w:val="center"/>
              <w:textAlignment w:val="baseline"/>
              <w:rPr>
                <w:rFonts w:hint="eastAsia" w:ascii="黑体" w:hAnsi="黑体" w:eastAsia="黑体" w:cs="宋体"/>
                <w:color w:val="666666"/>
                <w:kern w:val="0"/>
                <w:sz w:val="30"/>
                <w:szCs w:val="30"/>
                <w:vertAlign w:val="baseline"/>
                <w:lang w:val="en-US" w:eastAsia="zh-CN"/>
              </w:rPr>
            </w:pPr>
          </w:p>
          <w:p w14:paraId="2A169189">
            <w:pPr>
              <w:widowControl/>
              <w:spacing w:line="598" w:lineRule="atLeast"/>
              <w:jc w:val="center"/>
              <w:textAlignment w:val="baseline"/>
              <w:rPr>
                <w:rFonts w:hint="eastAsia" w:ascii="黑体" w:hAnsi="黑体" w:eastAsia="黑体" w:cs="宋体"/>
                <w:color w:val="666666"/>
                <w:kern w:val="0"/>
                <w:sz w:val="30"/>
                <w:szCs w:val="30"/>
                <w:vertAlign w:val="baseline"/>
                <w:lang w:val="en-US" w:eastAsia="zh-CN"/>
              </w:rPr>
            </w:pPr>
          </w:p>
          <w:p w14:paraId="5CD6AD8B">
            <w:pPr>
              <w:widowControl/>
              <w:spacing w:line="598" w:lineRule="atLeast"/>
              <w:jc w:val="center"/>
              <w:textAlignment w:val="baseline"/>
              <w:rPr>
                <w:rFonts w:hint="eastAsia" w:ascii="黑体" w:hAnsi="黑体" w:eastAsia="黑体" w:cs="宋体"/>
                <w:color w:val="666666"/>
                <w:kern w:val="0"/>
                <w:sz w:val="30"/>
                <w:szCs w:val="30"/>
                <w:vertAlign w:val="baseline"/>
                <w:lang w:val="en-US" w:eastAsia="zh-CN"/>
              </w:rPr>
            </w:pPr>
            <w:r>
              <w:rPr>
                <w:rFonts w:hint="eastAsia" w:ascii="黑体" w:hAnsi="黑体" w:eastAsia="黑体" w:cs="宋体"/>
                <w:color w:val="000000" w:themeColor="text1"/>
                <w:kern w:val="0"/>
                <w:sz w:val="30"/>
                <w:szCs w:val="30"/>
                <w:vertAlign w:val="baseline"/>
                <w:lang w:val="en-US" w:eastAsia="zh-CN"/>
                <w14:textFill>
                  <w14:solidFill>
                    <w14:schemeClr w14:val="tx1"/>
                  </w14:solidFill>
                </w14:textFill>
              </w:rPr>
              <w:t>4</w:t>
            </w:r>
          </w:p>
        </w:tc>
        <w:tc>
          <w:tcPr>
            <w:tcW w:w="1350" w:type="dxa"/>
          </w:tcPr>
          <w:p w14:paraId="3BDC038F">
            <w:pPr>
              <w:widowControl/>
              <w:spacing w:line="598" w:lineRule="atLeast"/>
              <w:jc w:val="center"/>
              <w:textAlignment w:val="baseline"/>
              <w:rPr>
                <w:rFonts w:hint="eastAsia" w:ascii="黑体" w:hAnsi="黑体" w:eastAsia="黑体" w:cs="宋体"/>
                <w:color w:val="666666"/>
                <w:kern w:val="0"/>
                <w:sz w:val="30"/>
                <w:szCs w:val="30"/>
                <w:vertAlign w:val="baseline"/>
              </w:rPr>
            </w:pPr>
          </w:p>
          <w:p w14:paraId="2BE83A10">
            <w:pPr>
              <w:pStyle w:val="2"/>
              <w:rPr>
                <w:rFonts w:hint="eastAsia" w:ascii="黑体" w:hAnsi="黑体" w:eastAsia="黑体" w:cs="宋体"/>
                <w:color w:val="666666"/>
                <w:kern w:val="0"/>
                <w:sz w:val="30"/>
                <w:szCs w:val="30"/>
                <w:vertAlign w:val="baseline"/>
              </w:rPr>
            </w:pPr>
          </w:p>
          <w:p w14:paraId="09B822F4">
            <w:pPr>
              <w:rPr>
                <w:rFonts w:hint="eastAsia" w:ascii="黑体" w:hAnsi="黑体" w:eastAsia="黑体" w:cs="宋体"/>
                <w:color w:val="666666"/>
                <w:kern w:val="0"/>
                <w:sz w:val="30"/>
                <w:szCs w:val="30"/>
                <w:vertAlign w:val="baseline"/>
              </w:rPr>
            </w:pPr>
          </w:p>
          <w:p w14:paraId="41C9020B">
            <w:pPr>
              <w:pStyle w:val="2"/>
              <w:rPr>
                <w:rFonts w:hint="eastAsia" w:ascii="黑体" w:hAnsi="黑体" w:eastAsia="黑体" w:cs="宋体"/>
                <w:color w:val="666666"/>
                <w:kern w:val="0"/>
                <w:sz w:val="30"/>
                <w:szCs w:val="30"/>
                <w:vertAlign w:val="baseline"/>
              </w:rPr>
            </w:pPr>
          </w:p>
          <w:p w14:paraId="61C2F394">
            <w:pPr>
              <w:pStyle w:val="2"/>
              <w:rPr>
                <w:rFonts w:hint="default" w:eastAsia="黑体"/>
                <w:lang w:val="en-US" w:eastAsia="zh-CN"/>
              </w:rPr>
            </w:pPr>
            <w:r>
              <w:rPr>
                <w:rFonts w:hint="eastAsia" w:ascii="黑体" w:hAnsi="黑体" w:cs="宋体"/>
                <w:b w:val="0"/>
                <w:bCs w:val="0"/>
                <w:color w:val="000000" w:themeColor="text1"/>
                <w:kern w:val="0"/>
                <w:sz w:val="28"/>
                <w:szCs w:val="28"/>
                <w:vertAlign w:val="baseline"/>
                <w:lang w:val="en-US" w:eastAsia="zh-CN"/>
                <w14:textFill>
                  <w14:solidFill>
                    <w14:schemeClr w14:val="tx1"/>
                  </w14:solidFill>
                </w14:textFill>
              </w:rPr>
              <w:t>投标报价</w:t>
            </w:r>
          </w:p>
        </w:tc>
        <w:tc>
          <w:tcPr>
            <w:tcW w:w="5400" w:type="dxa"/>
          </w:tcPr>
          <w:p w14:paraId="1B6DD915">
            <w:pPr>
              <w:keepNext w:val="0"/>
              <w:keepLines w:val="0"/>
              <w:pageBreakBefore w:val="0"/>
              <w:widowControl/>
              <w:kinsoku/>
              <w:wordWrap/>
              <w:overflowPunct/>
              <w:topLinePunct w:val="0"/>
              <w:autoSpaceDE/>
              <w:autoSpaceDN/>
              <w:bidi w:val="0"/>
              <w:adjustRightInd/>
              <w:snapToGrid/>
              <w:spacing w:line="598" w:lineRule="atLeast"/>
              <w:jc w:val="left"/>
              <w:textAlignment w:val="baseline"/>
              <w:rPr>
                <w:rFonts w:hint="eastAsia" w:ascii="黑体" w:hAnsi="黑体" w:eastAsia="黑体" w:cs="宋体"/>
                <w:color w:val="666666"/>
                <w:kern w:val="0"/>
                <w:sz w:val="30"/>
                <w:szCs w:val="30"/>
                <w:vertAlign w:val="baseline"/>
              </w:rPr>
            </w:pPr>
            <w:r>
              <w:rPr>
                <w:rFonts w:hint="eastAsia" w:ascii="仿宋_GB2312" w:eastAsia="仿宋_GB2312" w:cs="宋体"/>
                <w:color w:val="000000"/>
                <w:kern w:val="0"/>
                <w:sz w:val="28"/>
                <w:szCs w:val="28"/>
              </w:rPr>
              <w:t>以经评委会一致认定满足招标文件要求且投标价格最低的投标报价为评标基准价，其价格得分记20分。其他投标人的价格得分统一按公式计算：报价得分=评标基准价÷投标报价×投标报价权值。</w:t>
            </w:r>
            <w:r>
              <w:rPr>
                <w:rFonts w:hint="eastAsia" w:ascii="仿宋_GB2312" w:eastAsia="仿宋_GB2312" w:cs="宋体"/>
                <w:color w:val="000000"/>
                <w:kern w:val="0"/>
                <w:sz w:val="28"/>
                <w:szCs w:val="28"/>
              </w:rPr>
              <w:br w:type="textWrapping"/>
            </w:r>
            <w:r>
              <w:rPr>
                <w:rFonts w:hint="eastAsia" w:ascii="仿宋_GB2312" w:eastAsia="仿宋_GB2312" w:cs="宋体"/>
                <w:color w:val="000000"/>
                <w:kern w:val="0"/>
                <w:sz w:val="28"/>
                <w:szCs w:val="28"/>
              </w:rPr>
              <w:t>(根据“财政部令第87号”第六十条的规定:评标委员会认为投标人的报价明显低于其他通过符合性审查投标人的报价，有可能影响产品质量或者不能诚信厦约的，应当要求其在评标现场合理的时间内提供书面说明，必要时提交相关证明材料，投标人不能证明其报价合理性的，评标委员会应当将其作为无效投标处理。)</w:t>
            </w:r>
          </w:p>
        </w:tc>
        <w:tc>
          <w:tcPr>
            <w:tcW w:w="901" w:type="dxa"/>
          </w:tcPr>
          <w:p w14:paraId="4E21CDC2">
            <w:pPr>
              <w:widowControl/>
              <w:spacing w:line="598" w:lineRule="atLeast"/>
              <w:jc w:val="center"/>
              <w:textAlignment w:val="baseline"/>
              <w:rPr>
                <w:rFonts w:hint="eastAsia" w:ascii="黑体" w:hAnsi="黑体" w:eastAsia="黑体" w:cs="宋体"/>
                <w:color w:val="666666"/>
                <w:kern w:val="0"/>
                <w:sz w:val="30"/>
                <w:szCs w:val="30"/>
                <w:vertAlign w:val="baseline"/>
              </w:rPr>
            </w:pPr>
          </w:p>
          <w:p w14:paraId="63DCEA70">
            <w:pPr>
              <w:pStyle w:val="2"/>
              <w:rPr>
                <w:rFonts w:hint="eastAsia" w:ascii="黑体" w:hAnsi="黑体" w:eastAsia="黑体" w:cs="宋体"/>
                <w:color w:val="666666"/>
                <w:kern w:val="0"/>
                <w:sz w:val="30"/>
                <w:szCs w:val="30"/>
                <w:vertAlign w:val="baseline"/>
              </w:rPr>
            </w:pPr>
          </w:p>
          <w:p w14:paraId="31179198">
            <w:pPr>
              <w:pStyle w:val="2"/>
              <w:rPr>
                <w:rFonts w:hint="eastAsia" w:ascii="黑体" w:hAnsi="黑体" w:eastAsia="黑体" w:cs="宋体"/>
                <w:color w:val="666666"/>
                <w:kern w:val="0"/>
                <w:sz w:val="30"/>
                <w:szCs w:val="30"/>
                <w:vertAlign w:val="baseline"/>
              </w:rPr>
            </w:pPr>
          </w:p>
          <w:p w14:paraId="4A38408B">
            <w:pPr>
              <w:rPr>
                <w:rFonts w:hint="eastAsia" w:ascii="黑体" w:hAnsi="黑体" w:eastAsia="黑体" w:cs="宋体"/>
                <w:color w:val="666666"/>
                <w:kern w:val="0"/>
                <w:sz w:val="30"/>
                <w:szCs w:val="30"/>
                <w:vertAlign w:val="baseline"/>
              </w:rPr>
            </w:pPr>
          </w:p>
          <w:p w14:paraId="0D2CAF18">
            <w:pPr>
              <w:pStyle w:val="2"/>
              <w:ind w:firstLine="280" w:firstLineChars="100"/>
              <w:rPr>
                <w:rFonts w:hint="default" w:eastAsia="黑体"/>
                <w:lang w:val="en-US" w:eastAsia="zh-CN"/>
              </w:rPr>
            </w:pPr>
            <w:bookmarkStart w:id="0" w:name="_GoBack"/>
            <w:bookmarkEnd w:id="0"/>
            <w:r>
              <w:rPr>
                <w:rFonts w:hint="eastAsia" w:ascii="仿宋" w:hAnsi="仿宋" w:eastAsia="仿宋" w:cs="仿宋"/>
                <w:b w:val="0"/>
                <w:bCs w:val="0"/>
                <w:lang w:val="en-US" w:eastAsia="zh-CN"/>
              </w:rPr>
              <w:t>20</w:t>
            </w:r>
          </w:p>
        </w:tc>
      </w:tr>
    </w:tbl>
    <w:p w14:paraId="313C34BB">
      <w:pPr>
        <w:widowControl/>
        <w:shd w:val="clear" w:color="auto" w:fill="FFFFFF"/>
        <w:spacing w:line="598" w:lineRule="atLeast"/>
        <w:jc w:val="center"/>
        <w:textAlignment w:val="baseline"/>
        <w:rPr>
          <w:rFonts w:hint="eastAsia" w:ascii="黑体" w:hAnsi="黑体" w:eastAsia="黑体" w:cs="宋体"/>
          <w:color w:val="666666"/>
          <w:kern w:val="0"/>
          <w:sz w:val="30"/>
          <w:szCs w:val="30"/>
        </w:rPr>
      </w:pPr>
    </w:p>
    <w:p w14:paraId="23FA585F">
      <w:pPr>
        <w:pStyle w:val="6"/>
        <w:spacing w:line="360" w:lineRule="auto"/>
        <w:ind w:firstLine="560"/>
        <w:rPr>
          <w:rFonts w:hint="eastAsia" w:ascii="宋体" w:hAnsi="宋体" w:eastAsia="宋体" w:cs="宋体"/>
          <w:kern w:val="0"/>
          <w:sz w:val="28"/>
          <w:szCs w:val="28"/>
        </w:rPr>
      </w:pPr>
      <w:r>
        <w:rPr>
          <w:rFonts w:hint="eastAsia" w:ascii="宋体" w:hAnsi="宋体" w:eastAsia="宋体" w:cs="宋体"/>
          <w:kern w:val="0"/>
          <w:sz w:val="28"/>
          <w:szCs w:val="28"/>
        </w:rPr>
        <w:t>说明：</w:t>
      </w:r>
    </w:p>
    <w:p w14:paraId="3EC816F7">
      <w:pPr>
        <w:pStyle w:val="6"/>
        <w:spacing w:line="360" w:lineRule="auto"/>
        <w:ind w:firstLine="560"/>
        <w:rPr>
          <w:rFonts w:hint="eastAsia" w:ascii="宋体" w:hAnsi="宋体" w:eastAsia="宋体" w:cs="宋体"/>
          <w:kern w:val="0"/>
          <w:sz w:val="28"/>
          <w:szCs w:val="28"/>
        </w:rPr>
      </w:pPr>
      <w:r>
        <w:rPr>
          <w:rFonts w:hint="eastAsia" w:ascii="宋体" w:hAnsi="宋体" w:eastAsia="宋体" w:cs="宋体"/>
          <w:kern w:val="0"/>
          <w:sz w:val="28"/>
          <w:szCs w:val="28"/>
        </w:rPr>
        <w:t>1.供应商的综合得分为：所有评标委员会成员对其评标的综合得分。</w:t>
      </w:r>
    </w:p>
    <w:p w14:paraId="011510CB">
      <w:pPr>
        <w:pStyle w:val="6"/>
        <w:spacing w:line="360" w:lineRule="auto"/>
        <w:ind w:firstLine="560"/>
        <w:rPr>
          <w:rFonts w:hint="eastAsia" w:ascii="宋体" w:hAnsi="宋体" w:eastAsia="宋体" w:cs="宋体"/>
          <w:kern w:val="0"/>
          <w:sz w:val="28"/>
          <w:szCs w:val="28"/>
        </w:rPr>
      </w:pPr>
      <w:r>
        <w:rPr>
          <w:rFonts w:hint="eastAsia" w:ascii="宋体" w:hAnsi="宋体" w:eastAsia="宋体" w:cs="宋体"/>
          <w:kern w:val="0"/>
          <w:sz w:val="28"/>
          <w:szCs w:val="28"/>
        </w:rPr>
        <w:t>2.计算过程中，算术平均值保留2位小数（百分比亦取2位小数），第三位小数四舍五入。</w:t>
      </w:r>
    </w:p>
    <w:p w14:paraId="4AFA7CD9">
      <w:pPr>
        <w:pStyle w:val="6"/>
        <w:spacing w:line="360" w:lineRule="auto"/>
        <w:ind w:firstLine="560"/>
        <w:rPr>
          <w:rFonts w:hint="eastAsia" w:ascii="宋体" w:hAnsi="宋体" w:eastAsia="宋体" w:cs="宋体"/>
          <w:kern w:val="0"/>
          <w:sz w:val="28"/>
          <w:szCs w:val="28"/>
        </w:rPr>
      </w:pPr>
      <w:r>
        <w:rPr>
          <w:rFonts w:hint="eastAsia" w:ascii="宋体" w:hAnsi="宋体" w:eastAsia="宋体" w:cs="宋体"/>
          <w:kern w:val="0"/>
          <w:sz w:val="28"/>
          <w:szCs w:val="28"/>
        </w:rPr>
        <w:t>3.评标结果按评审后得分由高到低顺序排列。评审得分相同的，按照最后报价由低到高的顺序推荐。评审得分相同且最后报价相同的，按照服务方案优劣顺序推荐排名第一的成交候选人。</w:t>
      </w:r>
    </w:p>
    <w:p w14:paraId="6C57B5CC">
      <w:pPr>
        <w:pStyle w:val="6"/>
        <w:spacing w:line="360" w:lineRule="auto"/>
        <w:ind w:firstLine="560"/>
        <w:rPr>
          <w:rFonts w:hint="eastAsia" w:ascii="宋体" w:hAnsi="宋体" w:eastAsia="宋体" w:cs="宋体"/>
          <w:kern w:val="0"/>
          <w:sz w:val="28"/>
          <w:szCs w:val="28"/>
        </w:rPr>
      </w:pPr>
      <w:r>
        <w:rPr>
          <w:rFonts w:hint="eastAsia" w:ascii="宋体" w:hAnsi="宋体" w:eastAsia="宋体" w:cs="宋体"/>
          <w:kern w:val="0"/>
          <w:sz w:val="28"/>
          <w:szCs w:val="28"/>
        </w:rPr>
        <w:t>4.凡评委评分项牵涉到的证明文件、数据、承诺，响应文件中未提供、或已提供但是字迹模糊无法辨认、语义模糊易造成误解、前后文件内容不一致的则该评分项计0分处理。</w:t>
      </w:r>
    </w:p>
    <w:p w14:paraId="2BC23366">
      <w:pPr>
        <w:pStyle w:val="6"/>
        <w:spacing w:line="360" w:lineRule="auto"/>
        <w:ind w:firstLine="560"/>
        <w:rPr>
          <w:rFonts w:hint="eastAsia" w:ascii="宋体" w:hAnsi="宋体" w:eastAsia="宋体" w:cs="宋体"/>
          <w:kern w:val="0"/>
          <w:sz w:val="28"/>
          <w:szCs w:val="28"/>
        </w:rPr>
      </w:pPr>
      <w:r>
        <w:rPr>
          <w:rFonts w:hint="eastAsia" w:ascii="宋体" w:hAnsi="宋体" w:eastAsia="宋体" w:cs="宋体"/>
          <w:kern w:val="0"/>
          <w:sz w:val="28"/>
          <w:szCs w:val="28"/>
        </w:rPr>
        <w:t>5.若提交的相关证明材料无法得到核实或未在规定的时间内提交，评委会将对其所对应的评分项记0分。以上所有证明材料响应文件中需附相关资料复印件并加盖供应商公章。如提供虚假材料(包括但不限于虚假技术参数响应、虚假制造商产品彩页、虚假业绩、虚假证书等)隐瞒失信信息等谋取中标的行为，一经发现，将列入不良行为记录名单，3年内不得参加韶山毛泽东纪念馆采购活动的处罚。</w:t>
      </w:r>
    </w:p>
    <w:p w14:paraId="55DFC89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Yu Gothic Light">
    <w:panose1 w:val="020B03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alignBordersAndEdg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9758A"/>
    <w:rsid w:val="4B397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1"/>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2025-06-05T01:48:00Z</dcterms:created>
  <dc:creator>WPS_1528124280</dc:creator>
  <cp:lastModifiedBy>WPS_1528124280</cp:lastModifiedBy>
  <cp:lastPrinted>2025-06-05T01:53:58Z</cp:lastPrinted>
  <dcterms:modified xsi:type="dcterms:W3CDTF">2025-06-05T02:00:33Z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C5116E39CDC34722B5169EA11754C0B6_11</vt:lpwstr>
  </property>
  <property fmtid="{D5CDD505-2E9C-101B-9397-08002B2CF9AE}" pid="4" name="KSOTemplateDocerSaveRecord">
    <vt:lpwstr>eyJoZGlkIjoiYzY0N2E5Njk4ODg2MDE2ODgwNGZiNTEyYjQwYzMzZTUiLCJ1c2VySWQiOiIzNzYwNTAzNzcifQ==</vt:lpwstr>
  </property>
</Properties>
</file>