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0095"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娄星区本级整体支出</w:t>
      </w:r>
    </w:p>
    <w:p w14:paraId="452F66BF">
      <w:pPr>
        <w:widowControl/>
        <w:spacing w:line="1000" w:lineRule="exact"/>
        <w:jc w:val="center"/>
        <w:rPr>
          <w:rFonts w:ascii="华文楷体" w:hAnsi="华文楷体" w:eastAsia="华文楷体" w:cs="华文楷体"/>
          <w:bCs/>
          <w:kern w:val="0"/>
          <w:sz w:val="100"/>
          <w:szCs w:val="100"/>
        </w:rPr>
      </w:pPr>
    </w:p>
    <w:p w14:paraId="686F56E2">
      <w:pPr>
        <w:widowControl/>
        <w:spacing w:line="1000" w:lineRule="exact"/>
        <w:jc w:val="center"/>
        <w:rPr>
          <w:rFonts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绩</w:t>
      </w:r>
    </w:p>
    <w:p w14:paraId="7C110FB7">
      <w:pPr>
        <w:widowControl/>
        <w:spacing w:line="1000" w:lineRule="exact"/>
        <w:jc w:val="center"/>
        <w:rPr>
          <w:rFonts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效</w:t>
      </w:r>
    </w:p>
    <w:p w14:paraId="41D939AD">
      <w:pPr>
        <w:widowControl/>
        <w:spacing w:line="1000" w:lineRule="exact"/>
        <w:jc w:val="center"/>
        <w:rPr>
          <w:rFonts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自</w:t>
      </w:r>
    </w:p>
    <w:p w14:paraId="6E3EA5CB">
      <w:pPr>
        <w:widowControl/>
        <w:spacing w:line="1000" w:lineRule="exact"/>
        <w:jc w:val="center"/>
        <w:rPr>
          <w:rFonts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评</w:t>
      </w:r>
    </w:p>
    <w:p w14:paraId="12BBD6F3">
      <w:pPr>
        <w:widowControl/>
        <w:spacing w:line="1000" w:lineRule="exact"/>
        <w:jc w:val="center"/>
        <w:rPr>
          <w:rFonts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材</w:t>
      </w:r>
    </w:p>
    <w:p w14:paraId="48C39A47">
      <w:pPr>
        <w:widowControl/>
        <w:spacing w:line="1000" w:lineRule="exact"/>
        <w:jc w:val="center"/>
        <w:rPr>
          <w:rFonts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料</w:t>
      </w:r>
    </w:p>
    <w:p w14:paraId="05207439">
      <w:pPr>
        <w:widowControl/>
        <w:ind w:firstLine="361" w:firstLineChars="100"/>
        <w:rPr>
          <w:rFonts w:ascii="楷体" w:hAnsi="楷体" w:eastAsia="楷体" w:cs="楷体"/>
          <w:b/>
          <w:bCs/>
          <w:kern w:val="0"/>
          <w:sz w:val="36"/>
          <w:szCs w:val="36"/>
        </w:rPr>
      </w:pPr>
    </w:p>
    <w:p w14:paraId="678F112F">
      <w:pPr>
        <w:widowControl/>
        <w:ind w:firstLine="361" w:firstLineChars="100"/>
        <w:rPr>
          <w:rFonts w:ascii="楷体" w:hAnsi="楷体" w:eastAsia="楷体" w:cs="楷体"/>
          <w:b/>
          <w:bCs/>
          <w:kern w:val="0"/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申报单位（盖章）：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</w:rPr>
        <w:t>娄底市娄星区融媒体中心</w:t>
      </w:r>
    </w:p>
    <w:p w14:paraId="076D26B5">
      <w:pPr>
        <w:widowControl/>
        <w:rPr>
          <w:rFonts w:ascii="楷体" w:hAnsi="楷体" w:eastAsia="楷体" w:cs="楷体"/>
          <w:b/>
          <w:bCs/>
          <w:kern w:val="0"/>
          <w:sz w:val="48"/>
          <w:szCs w:val="48"/>
          <w:u w:val="single"/>
        </w:rPr>
      </w:pPr>
    </w:p>
    <w:p w14:paraId="01EDCD47">
      <w:pPr>
        <w:widowControl/>
        <w:rPr>
          <w:rFonts w:ascii="楷体" w:hAnsi="楷体" w:eastAsia="楷体" w:cs="楷体"/>
          <w:b/>
          <w:bCs/>
          <w:kern w:val="0"/>
          <w:sz w:val="48"/>
          <w:szCs w:val="48"/>
          <w:u w:val="single"/>
        </w:rPr>
      </w:pPr>
    </w:p>
    <w:p w14:paraId="62544303"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2025年4月22日</w:t>
      </w:r>
      <w:r>
        <w:rPr>
          <w:rFonts w:hint="eastAsia" w:ascii="黑体" w:hAnsi="黑体" w:eastAsia="黑体" w:cs="仿宋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 评 材 料 目 录</w:t>
      </w:r>
    </w:p>
    <w:p w14:paraId="1C627783">
      <w:pPr>
        <w:widowControl/>
        <w:jc w:val="center"/>
        <w:rPr>
          <w:rFonts w:ascii="黑体" w:hAnsi="黑体" w:eastAsia="黑体" w:cs="黑体"/>
          <w:kern w:val="0"/>
          <w:sz w:val="32"/>
          <w:szCs w:val="32"/>
        </w:rPr>
      </w:pPr>
    </w:p>
    <w:p w14:paraId="104779C4">
      <w:pPr>
        <w:spacing w:line="60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1.《娄星区本级部门整体支出绩效自评报告》</w:t>
      </w:r>
    </w:p>
    <w:p w14:paraId="2EA01537">
      <w:pPr>
        <w:spacing w:line="60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2.《部门整体支出绩效评价基础数据表》</w:t>
      </w:r>
    </w:p>
    <w:p w14:paraId="66EF821A">
      <w:pPr>
        <w:spacing w:line="60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3.《部门整体支出绩效自评表》</w:t>
      </w:r>
    </w:p>
    <w:p w14:paraId="7274C5B7">
      <w:pPr>
        <w:spacing w:line="60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 部门预算支出整体绩效自评报告网上公开截图</w:t>
      </w:r>
    </w:p>
    <w:p w14:paraId="1B0E588F">
      <w:pPr>
        <w:spacing w:line="60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 其他必要材料（当年度预算绩效目标申报表、单位年度工作总结、预决算报表、有关表彰奖励复印件等）及与自评报告、基础表、自评表内容相符的相关佐证材料（佐证资料必须列目录）</w:t>
      </w:r>
    </w:p>
    <w:p w14:paraId="4084C5F0">
      <w:pPr>
        <w:rPr>
          <w:rFonts w:ascii="仿宋" w:hAnsi="仿宋" w:eastAsia="仿宋"/>
        </w:rPr>
      </w:pPr>
    </w:p>
    <w:p w14:paraId="4B864A01">
      <w:pPr>
        <w:rPr>
          <w:rFonts w:ascii="仿宋" w:hAnsi="仿宋" w:eastAsia="仿宋"/>
        </w:rPr>
      </w:pPr>
    </w:p>
    <w:p w14:paraId="2A2962B9">
      <w:pPr>
        <w:rPr>
          <w:rFonts w:ascii="黑体" w:hAnsi="黑体" w:eastAsia="黑体" w:cs="宋体"/>
          <w:kern w:val="0"/>
          <w:sz w:val="32"/>
          <w:szCs w:val="32"/>
        </w:rPr>
      </w:pPr>
      <w:r>
        <w:br w:type="page"/>
      </w:r>
    </w:p>
    <w:p w14:paraId="201C9C3E">
      <w:pPr>
        <w:widowControl/>
        <w:autoSpaceDN w:val="0"/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</w:p>
    <w:p w14:paraId="08A06067">
      <w:pPr>
        <w:widowControl/>
        <w:autoSpaceDN w:val="0"/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2024年度部门整体支出绩效自评报告</w:t>
      </w:r>
    </w:p>
    <w:p w14:paraId="0A60994A">
      <w:pPr>
        <w:widowControl/>
        <w:autoSpaceDN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 w14:paraId="10AD76F9">
      <w:pPr>
        <w:widowControl/>
        <w:numPr>
          <w:ilvl w:val="0"/>
          <w:numId w:val="1"/>
        </w:numPr>
        <w:autoSpaceDN w:val="0"/>
        <w:spacing w:line="360" w:lineRule="auto"/>
        <w:ind w:firstLine="64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部门概况</w:t>
      </w:r>
    </w:p>
    <w:p w14:paraId="695F1B7A">
      <w:pPr>
        <w:spacing w:line="60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（一）简要介绍2024年度重点工作计划；</w:t>
      </w:r>
    </w:p>
    <w:p w14:paraId="5991B09F">
      <w:pPr>
        <w:pStyle w:val="6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1.夯本固基，加强党的建设。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新时代党的建设总要求，坚持以政治建设为统领，全面推进中心思想建设、制度建设、组织建设和作风建设。定期开展理论中心组学习，坚持以党的创新理论指导融媒工作开展。以“三基三创”为抓手，全面建强基层组织、做实基础工作、提升基本能力，全面推进平安创建、清廉创建、文明创建工作。完成工会换届选举工作。</w:t>
      </w:r>
    </w:p>
    <w:p w14:paraId="65BDEA1C">
      <w:pPr>
        <w:pStyle w:val="6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2.强能练兵，打造全媒人才。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壮大专业人才队伍，通过增编设岗、人才引进、公开招聘、见习实习等多渠道补充工作力量。实施能力素质提升工程，选优配强中层干部，通过业务讲堂、外派培训、交流学习等形式，深化技能练兵，不断提升“四力”，努力培养复合型全媒体人才。</w:t>
      </w:r>
    </w:p>
    <w:p w14:paraId="1A3711DF">
      <w:pPr>
        <w:pStyle w:val="6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3.提质增效，抓好宣传策划。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围绕区委、区政府工作重点，定期召开新闻策划会议，提前谋划重大主题宣传，切实做好宣传舆论引导工作。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用力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抓好《“星”屋场》《“星”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物管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》等特色主题宣传，认真围绕项目建设、乡村振兴、“我们的节日”、反电信诈骗等做好日常宣传和深度报道。利用新媒体技术，创新新闻表达方式，制作海报、H5等多样化新闻产品，满足不同受众需求。</w:t>
      </w:r>
    </w:p>
    <w:p w14:paraId="5AFC2DCC">
      <w:pPr>
        <w:widowControl/>
        <w:autoSpaceDN w:val="0"/>
        <w:spacing w:line="360" w:lineRule="auto"/>
        <w:ind w:firstLine="608" w:firstLineChars="200"/>
        <w:rPr>
          <w:rFonts w:ascii="楷体_GB2312" w:hAnsi="楷体_GB2312" w:eastAsia="楷体_GB2312" w:cs="楷体_GB2312"/>
          <w:color w:val="000000"/>
          <w:w w:val="95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w w:val="95"/>
          <w:kern w:val="0"/>
          <w:sz w:val="32"/>
          <w:szCs w:val="32"/>
        </w:rPr>
        <w:t>（二）部门整体支出规模、使用方向、主要内容和涉及范围 。</w:t>
      </w:r>
    </w:p>
    <w:p w14:paraId="1CF7F651">
      <w:pPr>
        <w:widowControl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2024年度娄星区融媒体中心决算总支出435.59万元，基本支出322.93万元，项目支出112.66万元。基本支出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要用于工资福利和日常公用经费的支出。其中工资福利包含人员的工资、津补贴、奖金、机关伙食费、社会保障支出;日常公用经费包括办公费、水电费、物业费、印刷费、咨询服务费、差旅费、维护费、培训费、公务接待费。专项经费支出包含了县级融媒体平台维护与升级、添置相关器材、网络使用费等。</w:t>
      </w:r>
    </w:p>
    <w:p w14:paraId="6FFA2DE6">
      <w:pPr>
        <w:widowControl/>
        <w:autoSpaceDN w:val="0"/>
        <w:spacing w:line="360" w:lineRule="auto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一般公共预算支出情况</w:t>
      </w:r>
    </w:p>
    <w:p w14:paraId="10BC77FA">
      <w:pPr>
        <w:pStyle w:val="12"/>
        <w:widowControl/>
        <w:spacing w:line="360" w:lineRule="auto"/>
        <w:ind w:firstLine="64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（一）基本支出情况</w:t>
      </w:r>
    </w:p>
    <w:p w14:paraId="56CC5D38">
      <w:pPr>
        <w:widowControl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本年度基本支出总计 322.93 万元。其中，人员经费支出 </w:t>
      </w:r>
      <w:r>
        <w:rPr>
          <w:rFonts w:hint="eastAsia" w:ascii="仿宋_GB2312" w:hAnsi="宋体" w:eastAsia="仿宋_GB2312"/>
          <w:kern w:val="0"/>
          <w:sz w:val="32"/>
        </w:rPr>
        <w:t>247.15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涵盖了职工的工资、奖金、津贴补贴、社会保障缴费以及住房公积金等方面。这部分支出确保了区融媒体中心工作人员队伍的稳定，是维持机构日常运行的关键。从执行率来看，年初预算人员经费244.14万元，财政追加预算人员经费3.02万元，人员经费总计247.16万元，实际支出247.16万元，执行率为100%，反映出人员经费的预算安排与实际使用紧密匹配。</w:t>
      </w:r>
      <w:r>
        <w:rPr>
          <w:rFonts w:ascii="仿宋_GB2312" w:hAnsi="仿宋_GB2312" w:eastAsia="仿宋_GB2312" w:cs="仿宋_GB2312"/>
          <w:sz w:val="32"/>
          <w:szCs w:val="32"/>
        </w:rPr>
        <w:t>​</w:t>
      </w:r>
    </w:p>
    <w:p w14:paraId="36CB4EC2">
      <w:pPr>
        <w:widowControl/>
        <w:autoSpaceDN w:val="0"/>
        <w:spacing w:line="360" w:lineRule="auto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公用经费支出 </w:t>
      </w:r>
      <w:r>
        <w:rPr>
          <w:rFonts w:hint="eastAsia" w:ascii="仿宋_GB2312" w:hAnsi="宋体" w:eastAsia="仿宋_GB2312"/>
          <w:kern w:val="0"/>
          <w:sz w:val="32"/>
        </w:rPr>
        <w:t>75.77</w:t>
      </w:r>
      <w:r>
        <w:rPr>
          <w:rFonts w:ascii="仿宋_GB2312" w:hAnsi="仿宋_GB2312" w:eastAsia="仿宋_GB2312" w:cs="仿宋_GB2312"/>
          <w:sz w:val="32"/>
          <w:szCs w:val="32"/>
        </w:rPr>
        <w:t xml:space="preserve"> 万元，主要用于保障融媒体中心正常运转的日常办公费用，如办公用品购置、</w:t>
      </w:r>
      <w:r>
        <w:rPr>
          <w:rFonts w:hint="eastAsia" w:ascii="仿宋_GB2312" w:hAnsi="仿宋_GB2312" w:eastAsia="仿宋_GB2312" w:cs="仿宋_GB2312"/>
          <w:sz w:val="32"/>
          <w:szCs w:val="32"/>
        </w:rPr>
        <w:t>印刷费</w:t>
      </w:r>
      <w:r>
        <w:rPr>
          <w:rFonts w:ascii="仿宋_GB2312" w:hAnsi="仿宋_GB2312" w:eastAsia="仿宋_GB2312" w:cs="仿宋_GB2312"/>
          <w:sz w:val="32"/>
          <w:szCs w:val="32"/>
        </w:rPr>
        <w:t>、差旅费、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ascii="仿宋_GB2312" w:hAnsi="仿宋_GB2312" w:eastAsia="仿宋_GB2312" w:cs="仿宋_GB2312"/>
          <w:sz w:val="32"/>
          <w:szCs w:val="32"/>
        </w:rPr>
        <w:t>费等。年初预算公用经费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12.6</w:t>
      </w:r>
      <w:r>
        <w:rPr>
          <w:rFonts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财政追加预算人员经费63.17万元，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实际支出 </w:t>
      </w:r>
      <w:r>
        <w:rPr>
          <w:rFonts w:hint="eastAsia" w:ascii="仿宋_GB2312" w:hAnsi="仿宋_GB2312" w:eastAsia="仿宋_GB2312" w:cs="仿宋_GB2312"/>
          <w:sz w:val="32"/>
          <w:szCs w:val="32"/>
        </w:rPr>
        <w:t>75.77</w:t>
      </w:r>
      <w:r>
        <w:rPr>
          <w:rFonts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，追加的部分主要用于办公场地的物业费、水电费等。</w:t>
      </w:r>
    </w:p>
    <w:p w14:paraId="3E171B9B">
      <w:pPr>
        <w:pStyle w:val="12"/>
        <w:widowControl/>
        <w:spacing w:line="360" w:lineRule="auto"/>
        <w:ind w:firstLine="613"/>
        <w:rPr>
          <w:rFonts w:ascii="楷体_GB2312" w:hAnsi="楷体_GB2312" w:eastAsia="楷体_GB2312" w:cs="楷体_GB2312"/>
          <w:b/>
          <w:color w:val="000000" w:themeColor="text1"/>
          <w:w w:val="95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w w:val="95"/>
          <w:kern w:val="0"/>
          <w:sz w:val="32"/>
          <w:szCs w:val="32"/>
        </w:rPr>
        <w:t>（二）项目支出情况</w:t>
      </w:r>
    </w:p>
    <w:p w14:paraId="4CCC824D"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608" w:firstLineChars="200"/>
        <w:jc w:val="both"/>
        <w:rPr>
          <w:rFonts w:ascii="仿宋_GB2312" w:hAnsi="仿宋_GB2312" w:eastAsia="仿宋_GB2312" w:cs="仿宋_GB2312"/>
          <w:color w:val="000000" w:themeColor="text1"/>
          <w:w w:val="9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shd w:val="clear" w:color="auto" w:fill="FFFFFF"/>
        </w:rPr>
        <w:t>2024年项目预算支出为</w:t>
      </w:r>
      <w:r>
        <w:rPr>
          <w:rFonts w:hint="eastAsia" w:ascii="仿宋" w:hAnsi="仿宋" w:eastAsia="仿宋"/>
          <w:color w:val="000000" w:themeColor="text1"/>
          <w:sz w:val="32"/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shd w:val="clear" w:color="auto" w:fill="FFFFFF"/>
        </w:rPr>
        <w:t>万元，实际</w:t>
      </w:r>
      <w:r>
        <w:rPr>
          <w:rFonts w:hint="eastAsia" w:ascii="仿宋_GB2312" w:hAnsi="宋体" w:eastAsia="仿宋_GB2312"/>
          <w:color w:val="000000" w:themeColor="text1"/>
          <w:sz w:val="32"/>
        </w:rPr>
        <w:t>完成</w:t>
      </w:r>
      <w:r>
        <w:rPr>
          <w:rFonts w:hint="eastAsia" w:ascii="仿宋_GB2312" w:eastAsia="仿宋_GB2312"/>
          <w:color w:val="000000" w:themeColor="text1"/>
          <w:sz w:val="32"/>
        </w:rPr>
        <w:t>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112.66</w:t>
      </w:r>
      <w:r>
        <w:rPr>
          <w:rFonts w:hint="eastAsia" w:ascii="仿宋_GB2312" w:hAnsi="宋体" w:eastAsia="仿宋_GB2312"/>
          <w:color w:val="000000" w:themeColor="text1"/>
          <w:sz w:val="32"/>
        </w:rPr>
        <w:t>万元</w:t>
      </w:r>
      <w:r>
        <w:rPr>
          <w:rFonts w:hint="eastAsia" w:ascii="仿宋_GB2312" w:eastAsia="仿宋_GB2312"/>
          <w:color w:val="000000" w:themeColor="text1"/>
          <w:sz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shd w:val="clear" w:color="auto" w:fill="FFFFFF"/>
        </w:rPr>
        <w:t>具体项目包括：县级融媒体中心平台维护与升级，网络使用费、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</w:rPr>
        <w:t>添置视频制作设备等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shd w:val="clear" w:color="auto" w:fill="FFFFFF"/>
        </w:rPr>
        <w:t>。</w:t>
      </w:r>
    </w:p>
    <w:p w14:paraId="4F6FC4B6">
      <w:pPr>
        <w:widowControl/>
        <w:autoSpaceDN w:val="0"/>
        <w:spacing w:line="360" w:lineRule="auto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三、部门整体支出绩效情况</w:t>
      </w:r>
    </w:p>
    <w:p w14:paraId="00FCB70E"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608" w:firstLineChars="200"/>
        <w:jc w:val="both"/>
        <w:rPr>
          <w:rFonts w:ascii="楷体_GB2312" w:hAnsi="楷体_GB2312" w:eastAsia="楷体_GB2312" w:cs="楷体_GB2312"/>
          <w:color w:val="000000" w:themeColor="text1"/>
          <w:w w:val="9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 w:themeColor="text1"/>
          <w:w w:val="95"/>
          <w:sz w:val="32"/>
          <w:szCs w:val="32"/>
          <w:shd w:val="clear" w:color="auto" w:fill="FFFFFF"/>
        </w:rPr>
        <w:t>（一）总结归纳本部门（单位）预算支出的绩效目标完成情况，实现产出和取得效益的情况。</w:t>
      </w:r>
    </w:p>
    <w:p w14:paraId="39B88220">
      <w:pPr>
        <w:snapToGrid w:val="0"/>
        <w:spacing w:line="580" w:lineRule="exact"/>
        <w:ind w:firstLine="643" w:firstLineChars="200"/>
        <w:rPr>
          <w:rFonts w:ascii="楷体_GB2312" w:hAnsi="楷体_GB2312" w:eastAsia="仿宋_GB2312" w:cs="楷体_GB2312"/>
          <w:color w:val="000000" w:themeColor="text1"/>
          <w:w w:val="95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1.项目绩效目标完成情况。</w:t>
      </w:r>
    </w:p>
    <w:p w14:paraId="40E5F787"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目标1：维护指挥大屏网络正常使用。</w:t>
      </w:r>
    </w:p>
    <w:p w14:paraId="2C8FBBED"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完成情况：指挥大屏网络500兆全年正常运行，使用参与人数满意度100%。</w:t>
      </w:r>
    </w:p>
    <w:p w14:paraId="656883E9"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目标2：保障红网云平台正常运行。</w:t>
      </w:r>
    </w:p>
    <w:p w14:paraId="4DD08AD8"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完成情况：定期进行服务器系统版本更新升级和漏洞修复，保证了7*24小时流量及安全监控，365天每天24小时运行；</w:t>
      </w:r>
    </w:p>
    <w:p w14:paraId="6C6A1A33"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目标3：维护娄星在线、新娄星等网站服务托管。</w:t>
      </w:r>
    </w:p>
    <w:p w14:paraId="64D3D2C2"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</w:rPr>
        <w:t>完成情况：保证了全年服务器2T云存储和视频存储空间，多服务器备份，保证了基础网络安全、互联网接入安全、平台与县级融媒体中心之间网络传输安</w:t>
      </w:r>
      <w:r>
        <w:rPr>
          <w:rFonts w:hint="eastAsia" w:ascii="仿宋_GB2312" w:hAnsi="宋体" w:eastAsia="仿宋_GB2312"/>
          <w:color w:val="000000"/>
          <w:kern w:val="0"/>
          <w:sz w:val="32"/>
        </w:rPr>
        <w:t>全，无病毒侵入。</w:t>
      </w:r>
    </w:p>
    <w:p w14:paraId="4B928F67">
      <w:pPr>
        <w:snapToGrid w:val="0"/>
        <w:spacing w:line="580" w:lineRule="exact"/>
        <w:ind w:firstLine="643" w:firstLineChars="200"/>
        <w:rPr>
          <w:rFonts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2.本单位整体支出绩效目标实现情况。</w:t>
      </w:r>
    </w:p>
    <w:p w14:paraId="33556F89"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目标1：夯本固基，加强党的建设。贯彻新时代党的建设总要求，坚持以政治建设为统领，全面推进中心思想建设、制度建设、组织建设和作风建设。</w:t>
      </w:r>
    </w:p>
    <w:p w14:paraId="319376A8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</w:rPr>
        <w:t>完成情况：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发挥支部引领作用，严格落实“三会一课”、组织生活会、主题党日、谈心谈话、党费缴纳和“一月一片一课一实践”活动等规定工作，2024年共召开支委会12次、支部大会4次，组织开展支部主题党日活动12次。注重党员队伍发展，全面落实积分制管理。确定2名同志为预备党员，1名同志为正式党员，对4名入党积极分子进行培训。设置了党风廉政建设公开栏、宣传栏。持续深入开展党纪学习教育活动，班子成员带头常态</w:t>
      </w:r>
      <w:r>
        <w:rPr>
          <w:rFonts w:hint="eastAsia" w:ascii="仿宋_GB2312" w:hAnsi="仿宋_GB2312" w:eastAsia="仿宋_GB2312" w:cs="仿宋_GB2312"/>
          <w:sz w:val="32"/>
          <w:szCs w:val="32"/>
        </w:rPr>
        <w:t>化开展廉政教育、谈心谈话和作风督查，目前共进行廉政教育12次，组织谈心谈话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（人）次，开展督查行动24次，下发督查通报24期，通报批评2人。</w:t>
      </w:r>
    </w:p>
    <w:p w14:paraId="259D51D2"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目标2：</w:t>
      </w:r>
      <w:r>
        <w:rPr>
          <w:rFonts w:hint="eastAsia" w:ascii="仿宋_GB2312" w:hAnsi="宋体" w:eastAsia="仿宋_GB2312"/>
          <w:kern w:val="0"/>
          <w:sz w:val="32"/>
        </w:rPr>
        <w:t>强能练兵，打造全媒人才。发展壮大专业人才队伍，通过增编设岗、人才引进、公开招聘、见习实习等多渠道补充工作力量。</w:t>
      </w:r>
    </w:p>
    <w:p w14:paraId="525DB033"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认真落实《平时考核实施办法》等制度，强化考核结果运用。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充实壮大队伍力量，增编至25个，完成新一轮的岗位设置，新引进全媒体记者2名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精心开展“素质能力提升年”活动，结合岗位实际制定培训计划，持续巩固提升采编制作队伍业务能力。实行“栏目负责制”，鼓励干部职工策划原创栏目，对优秀创意即时组建报道专班，充分培养和激发团队创造力和创新力。完成8名同志职称晋升手续办理和4名同志职称申报手续办理，有效激发了干部队伍争先创优积极性。</w:t>
      </w:r>
    </w:p>
    <w:p w14:paraId="35FEA58E"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目标3：</w:t>
      </w:r>
      <w:r>
        <w:rPr>
          <w:rFonts w:hint="eastAsia" w:ascii="仿宋_GB2312" w:hAnsi="宋体" w:eastAsia="仿宋_GB2312"/>
          <w:kern w:val="0"/>
          <w:sz w:val="32"/>
        </w:rPr>
        <w:t>提质增效，抓好宣传策划。围绕区委、区政府工作重点，定期召开新闻策划会议，提前谋划重大主题宣传，切实做好宣传舆论引导工作。</w:t>
      </w:r>
    </w:p>
    <w:p w14:paraId="4F7F276B"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平台共发稿2万余篇，开设专题专栏26个，策划主题宣传21个，设计海报、AI动画产品77个，制作短视频270个。在持续做好《“星”屋场》《“三基三创我行动”全媒体访谈》《乡村振兴进行时》等品牌栏目的基础上，中心先后创新推出《答卷2023》图文+短视频作品24期、《“星”粮策》图文+海报作品9期、《“星”光大道》短视频作品8期、《“‘屏’说营商”主题访谈》节目19期、《娄星区“两优一先”代表风采展》节目9期、《党的二十届三中全会精神解读》动画作品6期、《“星”动力》海报作品5期、《“星”物管》通讯作品10期、《我在工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打螺丝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》视频作品3期、《第二届湖南省先进制造新材料博览会》视频作品17期，均产生了良好传播效应，有力有效对外宣传推介娄星特色和娄星经验。其中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《“星”屋场》系列成功入选2024年湖南省第一批广播电视和网络视听重点项目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；《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我在工厂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打螺丝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荣获2024年度湖南广播电视奖一等奖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08CEC2A"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目标4：</w:t>
      </w:r>
      <w:r>
        <w:rPr>
          <w:rFonts w:hint="eastAsia" w:ascii="仿宋_GB2312" w:hAnsi="宋体" w:eastAsia="仿宋_GB2312"/>
          <w:kern w:val="0"/>
          <w:sz w:val="32"/>
        </w:rPr>
        <w:t>完成本年度单位人员经费保障任务和单位日常开支。</w:t>
      </w:r>
    </w:p>
    <w:p w14:paraId="0169F91E">
      <w:pPr>
        <w:snapToGrid w:val="0"/>
        <w:spacing w:line="580" w:lineRule="exact"/>
        <w:ind w:firstLine="640" w:firstLineChars="200"/>
      </w:pPr>
      <w:r>
        <w:rPr>
          <w:rFonts w:hint="eastAsia" w:ascii="仿宋_GB2312" w:hAnsi="宋体" w:eastAsia="仿宋_GB2312"/>
          <w:kern w:val="0"/>
          <w:sz w:val="32"/>
        </w:rPr>
        <w:t>完成情况：为提高干部职工积极性，提升工作效率。足额保障在职人员22人工资、奖金、补助、五险一金等发放和缴纳。人均收入达到10万元以上，人均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达到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</w:rPr>
        <w:t>预算目标，满意度达到100%。</w:t>
      </w:r>
    </w:p>
    <w:p w14:paraId="454F1C16">
      <w:pPr>
        <w:spacing w:line="360" w:lineRule="auto"/>
        <w:ind w:firstLine="627" w:firstLineChars="196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（二）未实现既定绩效目标或未完成指标任务的分析说明。</w:t>
      </w:r>
    </w:p>
    <w:p w14:paraId="00DF276D">
      <w:pPr>
        <w:spacing w:line="360" w:lineRule="auto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</w:t>
      </w:r>
    </w:p>
    <w:p w14:paraId="68B8BD7D">
      <w:pPr>
        <w:spacing w:line="360" w:lineRule="auto"/>
        <w:ind w:firstLine="627" w:firstLineChars="196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14:paraId="43CF426C"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1.坚持守正创新，做大做强融媒品牌。</w:t>
      </w:r>
    </w:p>
    <w:p w14:paraId="1E6FE5D7"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一是以“内容为王”推出新品。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区委、区政府中心工作、重点工作、特色亮点工作开展新闻宣传，全平台共发稿2万余篇，开设专题专栏26个，策划主题宣传21个，设计海报、AI动画产品77个，制作短视频270个。在持续做好《“星”屋场》《“三基三创我行动”全媒体访谈》《乡村振兴进行时》等品牌栏目的基础上，中心先后创新推出《答卷2023》图文+短视频作品24期、《“星”粮策》图文+海报作品9期、《“星”光大道》短视频作品8期、《“‘屏’说营商”主题访谈》节目19期、《娄星区“两优一先”代表风采展》节目9期、《党的二十届三中全会精神解读》动画作品6期、《“星”动力》海报作品5期、《“星”物管》通讯作品10期、《我在工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打螺丝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》视频作品3期、《第二届湖南省先进制造新材料博览会》视频作品17期，均产生了良好传播效应，有力有效对外宣传推介娄星特色和娄星经验。其中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《“星”屋场》系列成功入选2024年湖南省第一批广播电视和网络视听重点项目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我在工厂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打螺丝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荣获2024年度湖南广播电视奖一等奖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二是以“主题需求”创造精品。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精准对接央省主流媒体宣传需求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，精心策划、尽锐出战，组建工作小组深入一线蹲点采访，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CCTV4拍摄推出《记住乡愁》第1集：海归姑娘的田园梦；在新华社、人民网、中国新闻网等央级媒体推出《湖南娄星：保姆式服务托起幸福“夕阳红”》《千城百县看中国｜湖南娄底：蔬菜育苗正忙时》《娄底市娄星区东风屋场：“五自”开启新生活》《娄底市娄星区：医疗资源“沉下去” 百姓健康“提上来”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》《湖南娄星：“穿透式”专项巡察解群众急难愁盼》等典型稿件；在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学习强国、湖南日报、湖南卫视等上级媒体推出《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文明实践丨娄底娄星：高质量城乡公共文化服务提升群众幸福感》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《娄星区：快递“坐公交”入村 土货“搭便车”进城》《AI绘春耕｜娄星施“粮”策 春耕备耕忙》《丰收时节︱喜看娄星好“丰”景！》《娄星区：“人才夜市”让就业服务更具“烟火气”》等融媒产品。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截至目前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，累计在央省主流媒体上稿336篇，其中央媒198篇，省媒138篇。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积极选送优秀作品参评各类新闻评奖活动，获评省级奖项1个，市级奖项7个，其中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《“星”屋场》系列在省红网获评“年度优秀新闻作品”，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《你好 娄星》荣获娄底新闻奖一等奖。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三是以“平台创优”扩大影响。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以适应移动互联网发展为方向，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构建了以网站“娄星在线”为主平台、微信公众号“掌上娄星”为优平台、“新娄星”APP为快平台、视频号“掌上娄星”为新平台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的全媒体传播矩阵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“新娄星”APP注册量突破16万，“掌上娄星”微信公众号和视频号粉丝量超过13万。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优化资源配置，全面升级视频制作系统。2024年中心先后荣获“湖南省媒体智能技术应用先锋号”“融合发展示范单位”“年度传播力奖”3个省级奖项，连续2个季度在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高质量发展分析讲评会上坐先进席，作经验发言。</w:t>
      </w:r>
    </w:p>
    <w:p w14:paraId="55E2E4B6"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2.坚持能力为要，全面激发团队潜能。</w:t>
      </w:r>
    </w:p>
    <w:p w14:paraId="0366328F"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认真落实《平时考核实施办法》等制度，强化考核结果运用。充实壮大队伍力量，增编至25个，完成新一轮的岗位设置，新引进全媒体记者2名。精心开展“素质能力提升年”活动，结合岗位实际制定培训计划，持续巩固提升采编制作队伍业务能力。实行“栏目负责制”，鼓励干部职工策划原创栏目，对优秀创意即时组建报道专班，充分培养和激发团队创造力和创新力。完成8名同志职称晋升手续办理和4名同志职称申报手续办理，有效激发了干部队伍争先创优积极性。</w:t>
      </w:r>
    </w:p>
    <w:p w14:paraId="522E4BA1"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3.坚持目标导向，扎实开展各项工作。</w:t>
      </w:r>
    </w:p>
    <w:p w14:paraId="2D350721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（1）意识形态工作。强化意识形态工作责任制，</w:t>
      </w:r>
      <w:r>
        <w:rPr>
          <w:rStyle w:val="14"/>
          <w:rFonts w:hint="eastAsia" w:ascii="仿宋_GB2312"/>
          <w:szCs w:val="32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对意识形态领域中存在的问题调度分析，全年共召开2次班子会议专题研究意识形态领域工作。制定年度学习计划，把意识形态、宣传思想工作纳入“第一议题”学习内容，定期开展中心组学习和研讨发言，目前共开展学习12次。积极开展意识形态领域问题“回头看”，报送整改情况3次。（2）保密工作。积极开展“保密教育月”活动，在工作群转发保密提醒和各类警示案例，制作宣传海报6张；对进出保密室人员进行登记，不定期对涉密岗位电脑进行抽查；加强信息发布内容保密审查，将保密工作纳入干部职工平时考核，确保不发生失密泄密事件。（3）安全生产工作。严格执行“三审制”，对各平台发布内容进行抽查巡查；压实安全责任，完成网络安全设备升级，对重要设施设备、机房安全和消防安全开展安全检查13次；维护网络安全，目前共接收、落实网信指令6603条，至今没有发生安全播出和消防安全事故。（4）其他工作。中心班子不定期研究部署党风廉政建设、工青妇、统战工作，通过策划开展春游活动、红色教育、气排球比赛、下乡助农、跑步比赛、羽毛球比赛等趣味活动，丰富职工的业余文化生活，增强职工身体素质和团队凝聚力；认真落实职工生病住院、节日慰问等福利待遇。充分利用媒体平台面向社会宣传统战工作条例、政策，在娄星在线网站上开设了“学好用好《民法典》”“民族团结进步宣传”</w:t>
      </w:r>
      <w:r>
        <w:rPr>
          <w:rFonts w:ascii="仿宋_GB2312" w:hAnsi="仿宋_GB2312" w:eastAsia="仿宋_GB2312" w:cs="仿宋_GB2312"/>
          <w:sz w:val="32"/>
          <w:szCs w:val="32"/>
        </w:rPr>
        <w:t>等专栏</w:t>
      </w:r>
      <w:r>
        <w:rPr>
          <w:rFonts w:hint="eastAsia" w:ascii="仿宋_GB2312" w:hAnsi="仿宋_GB2312" w:eastAsia="仿宋_GB2312" w:cs="仿宋_GB2312"/>
          <w:sz w:val="32"/>
          <w:szCs w:val="32"/>
        </w:rPr>
        <w:t>，及时转发中央关于统战工作的最新部署，刊发娄星各地在贯彻落实方面的亮点举措和经验成效。同时，认真部署落实禁毒、普法、扫黑除恶、财务、组织、节能、爱国卫生、绩效考核、乡村振兴、档案等工作，及时上报工作情况，确保各项任务有条不紊推进。</w:t>
      </w:r>
    </w:p>
    <w:p w14:paraId="4F7C557D">
      <w:pPr>
        <w:spacing w:line="360" w:lineRule="auto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（四）加强部门整体支出绩效管理的举措。</w:t>
      </w:r>
    </w:p>
    <w:p w14:paraId="094EA5A9"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1.细化预算编制工作，认真做好预算的编制。进一步加强单位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 w14:paraId="51D29D69">
      <w:pPr>
        <w:pStyle w:val="5"/>
        <w:widowControl/>
        <w:shd w:val="clear" w:color="auto" w:fill="FFFFFF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2.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 w14:paraId="2BCA2EA9">
      <w:pPr>
        <w:pStyle w:val="5"/>
        <w:widowControl/>
        <w:shd w:val="clear" w:color="auto" w:fill="FFFFFF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3.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22B77DF1">
      <w:pPr>
        <w:pStyle w:val="5"/>
        <w:widowControl/>
        <w:shd w:val="clear" w:color="auto" w:fill="FFFFFF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4.对相关人员加强培训，特别是针对《预算法》《行政事业单位会计制度》等学习培训，规范部门预算收支核算，切实提高部门预算收支管理水平。</w:t>
      </w:r>
    </w:p>
    <w:p w14:paraId="3F659E53">
      <w:pPr>
        <w:widowControl/>
        <w:autoSpaceDN w:val="0"/>
        <w:spacing w:line="360" w:lineRule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四、总体评价和自评得分情况</w:t>
      </w:r>
    </w:p>
    <w:p w14:paraId="044CD00F">
      <w:pPr>
        <w:spacing w:line="360" w:lineRule="auto"/>
        <w:ind w:firstLine="627" w:firstLineChars="196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（一）区绩效办对2024年度部门（单位）的绩效评估考核结果；</w:t>
      </w:r>
    </w:p>
    <w:p w14:paraId="6A659F16">
      <w:pPr>
        <w:pStyle w:val="6"/>
        <w:spacing w:line="360" w:lineRule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</w:rPr>
        <w:t>区绩效办对我单位2024年绩效评估考核结果未出。</w:t>
      </w:r>
    </w:p>
    <w:p w14:paraId="53C3F1EB">
      <w:pPr>
        <w:spacing w:line="360" w:lineRule="auto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（二）根据《部门整体支出绩效评价指标自评打分表》，对2024年度部门（单位）自评得分情况进行简要说明，并对部门（单位）2022年度整体支出绩效进行评价。</w:t>
      </w:r>
    </w:p>
    <w:p w14:paraId="7E04513E">
      <w:pPr>
        <w:widowControl/>
        <w:autoSpaceDN w:val="0"/>
        <w:spacing w:line="360" w:lineRule="auto"/>
        <w:ind w:firstLine="608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</w:rPr>
        <w:t>我单位部门整体支出绩效评价指标自评打分得分100分。</w:t>
      </w:r>
      <w:r>
        <w:rPr>
          <w:rFonts w:ascii="仿宋_GB2312" w:hAnsi="宋体" w:eastAsia="仿宋_GB2312" w:cs="仿宋_GB2312"/>
          <w:color w:val="000000"/>
          <w:w w:val="95"/>
          <w:kern w:val="0"/>
          <w:sz w:val="32"/>
          <w:szCs w:val="32"/>
          <w:shd w:val="clear" w:color="auto" w:fill="FFFFFF"/>
        </w:rPr>
        <w:t>本单位各项项目资金其主要用途是确保单位的正常运转，促进各项工作任务顺利完成。在人员经费支出、公共支出严格执行区委区政府的各项制度；在项目经费的使用上，在保证各项任务顺利完成的同时，严格落实厉行节约的原则。</w:t>
      </w:r>
    </w:p>
    <w:p w14:paraId="58C55686">
      <w:pPr>
        <w:pStyle w:val="12"/>
        <w:widowControl/>
        <w:spacing w:line="360" w:lineRule="auto"/>
        <w:ind w:firstLine="64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</w:t>
      </w:r>
      <w:r>
        <w:rPr>
          <w:rFonts w:hint="eastAsia" w:ascii="Times New Roman" w:hAnsi="Times New Roman" w:eastAsia="黑体"/>
          <w:sz w:val="32"/>
          <w:szCs w:val="32"/>
        </w:rPr>
        <w:t>存在的问题及原因分析</w:t>
      </w:r>
    </w:p>
    <w:p w14:paraId="5EA0A4D5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4A4A4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A4A4A"/>
          <w:sz w:val="32"/>
          <w:szCs w:val="32"/>
          <w:shd w:val="clear" w:color="auto" w:fill="FFFFFF"/>
        </w:rPr>
        <w:t>1.绩效指标设定不全面。绩效指标设定往往只是财务人员理解、认定，思维有局限性，格局放不大，指标设置不健全。</w:t>
      </w:r>
    </w:p>
    <w:p w14:paraId="1316A26A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</w:rPr>
        <w:t>2.预算编制工作有待细化。预算编制的合理性需要提高，预算执行力度还要进一步加强。</w:t>
      </w:r>
    </w:p>
    <w:p w14:paraId="730BA888">
      <w:pPr>
        <w:widowControl/>
        <w:numPr>
          <w:ilvl w:val="0"/>
          <w:numId w:val="2"/>
        </w:numPr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下一步改进措施</w:t>
      </w:r>
    </w:p>
    <w:p w14:paraId="135CE2F0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1.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细化预算编制工作，认真做好预算的编制。进一步加强单位内部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 w14:paraId="59B82FD9">
      <w:pPr>
        <w:pStyle w:val="5"/>
        <w:widowControl/>
        <w:shd w:val="clear" w:color="auto" w:fill="FFFFFF"/>
        <w:spacing w:before="0" w:beforeAutospacing="0" w:after="0" w:afterAutospacing="0" w:line="360" w:lineRule="auto"/>
        <w:rPr>
          <w:rFonts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　　2.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 w14:paraId="4251179D">
      <w:pPr>
        <w:pStyle w:val="5"/>
        <w:widowControl/>
        <w:shd w:val="clear" w:color="auto" w:fill="FFFFFF"/>
        <w:spacing w:before="0" w:beforeAutospacing="0" w:after="0" w:afterAutospacing="0" w:line="360" w:lineRule="auto"/>
        <w:rPr>
          <w:rFonts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　　3.完善资产管理，抓好“三公”经费控制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78DF185F">
      <w:pPr>
        <w:pStyle w:val="5"/>
        <w:widowControl/>
        <w:shd w:val="clear" w:color="auto" w:fill="FFFFFF"/>
        <w:spacing w:before="0" w:beforeAutospacing="0" w:after="0" w:afterAutospacing="0" w:line="360" w:lineRule="auto"/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　　4.对相关人员加强培训，特别是针对《预算法》《行政事业单位会计制度》等学习培训，规范部门预算收支核算，切实提高部门预算收支管理水平。</w:t>
      </w:r>
    </w:p>
    <w:p w14:paraId="3AD6E0FC">
      <w:pPr>
        <w:widowControl/>
        <w:spacing w:line="360" w:lineRule="auto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七、部门整体支出绩效自评结果拟应用和公开情况。</w:t>
      </w:r>
    </w:p>
    <w:p w14:paraId="43C44379"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608" w:firstLineChars="200"/>
        <w:rPr>
          <w:rFonts w:ascii="仿宋_GB2312" w:hAnsi="仿宋_GB2312" w:eastAsia="仿宋_GB2312" w:cs="仿宋_GB2312"/>
          <w:color w:val="333333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w w:val="95"/>
          <w:sz w:val="32"/>
          <w:szCs w:val="32"/>
          <w:shd w:val="clear" w:color="auto" w:fill="FFFFFF"/>
        </w:rPr>
        <w:t>1、我单位根据专项绩效评定指标对各项目量化评价，自评指标得分100。</w:t>
      </w:r>
    </w:p>
    <w:p w14:paraId="71A9D5D3"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608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w w:val="95"/>
          <w:sz w:val="32"/>
          <w:szCs w:val="32"/>
          <w:shd w:val="clear" w:color="auto" w:fill="FFFFFF"/>
        </w:rPr>
        <w:t>2、将项目支出后的实际状况与项目申报的绩效目标进行对比分析。按项目实际支出和项目申报绩效目标进行对比分析自评得分100分，所有项目均与批复下达相符。</w:t>
      </w:r>
    </w:p>
    <w:p w14:paraId="11E85CE7">
      <w:pPr>
        <w:rPr>
          <w:rFonts w:ascii="黑体" w:hAnsi="黑体" w:eastAsia="黑体" w:cs="宋体"/>
          <w:kern w:val="0"/>
          <w:sz w:val="32"/>
          <w:szCs w:val="32"/>
        </w:rPr>
      </w:pPr>
    </w:p>
    <w:p w14:paraId="104575EA"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2618ED0B">
      <w:pPr>
        <w:ind w:firstLine="720" w:firstLineChars="20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2024年度部门整体支出绩效评价基础数据表</w:t>
      </w:r>
    </w:p>
    <w:tbl>
      <w:tblPr>
        <w:tblStyle w:val="7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99"/>
        <w:gridCol w:w="977"/>
        <w:gridCol w:w="1758"/>
        <w:gridCol w:w="578"/>
        <w:gridCol w:w="2282"/>
        <w:gridCol w:w="735"/>
      </w:tblGrid>
      <w:tr w14:paraId="4A3BD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092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  <w:t>财政供养人员情况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A1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1C9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2024年实际在职人数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97C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控制率</w:t>
            </w:r>
          </w:p>
        </w:tc>
      </w:tr>
      <w:tr w14:paraId="34C2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12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E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81C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BF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88.00%</w:t>
            </w:r>
          </w:p>
        </w:tc>
      </w:tr>
      <w:tr w14:paraId="71F81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DB7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经费控制情况(万元)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DD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2023年决算数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FB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2024年预算数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98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2024年决算数</w:t>
            </w:r>
          </w:p>
        </w:tc>
      </w:tr>
      <w:tr w14:paraId="067F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9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三公经费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FB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696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03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14:paraId="5587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1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1、公务用车购置和维护经费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3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1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4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1B41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7C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34F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79D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D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FEB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6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D3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E4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5EA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0C1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69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E3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4E1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6C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F9B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EE3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3、公务接待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F9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30C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A4C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14:paraId="6E436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46C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项目支出：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125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89.92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949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1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112.66</w:t>
            </w:r>
          </w:p>
        </w:tc>
      </w:tr>
      <w:tr w14:paraId="75972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73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1、业务工作经费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8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FA35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10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2、运行维护经费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84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76.92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80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0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99.66</w:t>
            </w:r>
          </w:p>
        </w:tc>
      </w:tr>
      <w:tr w14:paraId="7AD6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4C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3、本级专项资金（一个专项一行）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5E5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8E9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0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14:paraId="7A640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5B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平台升级和维护费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9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80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F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14:paraId="59C9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B4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网络服务费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1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1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C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15341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6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网络使用费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FB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CB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32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4291A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DE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公用经费：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28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83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4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FAD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35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1D8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E2B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3.43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07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8.74</w:t>
            </w:r>
          </w:p>
        </w:tc>
      </w:tr>
      <w:tr w14:paraId="5178F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DD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B43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E26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26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8.06</w:t>
            </w:r>
          </w:p>
        </w:tc>
      </w:tr>
      <w:tr w14:paraId="4BFA6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81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E2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30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5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14:paraId="7F305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86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0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53.00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49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1D2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96.66</w:t>
            </w:r>
          </w:p>
        </w:tc>
      </w:tr>
      <w:tr w14:paraId="44600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9F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部门基本支出预算调整 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3B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423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77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E87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7D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楼堂馆所控制情况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（2024年完工项目）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78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批复规模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E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实际规模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D4A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3E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预算投资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43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实际投资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299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投资概算控制率</w:t>
            </w:r>
          </w:p>
        </w:tc>
      </w:tr>
      <w:tr w14:paraId="6FBE0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59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53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3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572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1D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67A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A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EA77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1B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厉行节约保障措施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2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在人员经费支出、公共支出严格执行区委区政府的各项制度；在项目经费的使用上，在保证各项任务顺利完成的同时，严格落实厉行节约的原则。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69C4E7AA">
      <w:pPr>
        <w:widowControl/>
        <w:jc w:val="left"/>
        <w:rPr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说明：1.</w:t>
      </w:r>
      <w:r>
        <w:rPr>
          <w:rFonts w:eastAsia="Times New Roman"/>
          <w:kern w:val="0"/>
          <w:sz w:val="22"/>
        </w:rPr>
        <w:t>“</w:t>
      </w:r>
      <w:r>
        <w:rPr>
          <w:rFonts w:hint="eastAsia" w:ascii="宋体" w:hAnsi="宋体" w:cs="宋体"/>
          <w:kern w:val="0"/>
          <w:sz w:val="22"/>
        </w:rPr>
        <w:t>项目支出</w:t>
      </w:r>
      <w:r>
        <w:rPr>
          <w:rFonts w:eastAsia="Times New Roman"/>
          <w:kern w:val="0"/>
          <w:sz w:val="22"/>
        </w:rPr>
        <w:t>”</w:t>
      </w:r>
      <w:r>
        <w:rPr>
          <w:rFonts w:hint="eastAsia" w:ascii="宋体" w:hAnsi="宋体" w:cs="宋体"/>
          <w:kern w:val="0"/>
          <w:sz w:val="22"/>
        </w:rPr>
        <w:t>需要填报基本支出以外的所有项目支出情况，区级专项资金名称需列明，</w:t>
      </w:r>
      <w:r>
        <w:rPr>
          <w:rFonts w:eastAsia="Times New Roman"/>
          <w:kern w:val="0"/>
          <w:sz w:val="22"/>
        </w:rPr>
        <w:t>“</w:t>
      </w:r>
      <w:r>
        <w:rPr>
          <w:rFonts w:hint="eastAsia" w:ascii="宋体" w:hAnsi="宋体" w:cs="宋体"/>
          <w:kern w:val="0"/>
          <w:sz w:val="22"/>
        </w:rPr>
        <w:t>公用经费</w:t>
      </w:r>
      <w:r>
        <w:rPr>
          <w:rFonts w:eastAsia="Times New Roman"/>
          <w:kern w:val="0"/>
          <w:sz w:val="22"/>
        </w:rPr>
        <w:t>”</w:t>
      </w:r>
      <w:r>
        <w:rPr>
          <w:rFonts w:hint="eastAsia" w:ascii="宋体" w:hAnsi="宋体" w:cs="宋体"/>
          <w:kern w:val="0"/>
          <w:sz w:val="22"/>
        </w:rPr>
        <w:t xml:space="preserve">填报基本支出中的一般商品和服务支出。2.单位：万元           </w:t>
      </w:r>
    </w:p>
    <w:p w14:paraId="49B354D8">
      <w:pPr>
        <w:jc w:val="left"/>
        <w:rPr>
          <w:rFonts w:ascii="宋体" w:hAnsi="宋体" w:cs="宋体"/>
          <w:kern w:val="0"/>
          <w:sz w:val="22"/>
        </w:rPr>
      </w:pPr>
    </w:p>
    <w:p w14:paraId="1217621A"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2"/>
        </w:rPr>
        <w:t>填表人：赵闽填报日期：</w:t>
      </w:r>
      <w:r>
        <w:rPr>
          <w:rFonts w:hint="eastAsia"/>
          <w:kern w:val="0"/>
          <w:sz w:val="22"/>
        </w:rPr>
        <w:t>2025.4.22</w:t>
      </w:r>
      <w:r>
        <w:rPr>
          <w:rFonts w:hint="eastAsia" w:ascii="宋体" w:hAnsi="宋体" w:cs="宋体"/>
          <w:kern w:val="0"/>
          <w:sz w:val="22"/>
        </w:rPr>
        <w:t>联系电话：18907380260单位负责人签字：</w:t>
      </w:r>
    </w:p>
    <w:p w14:paraId="43EB8AD3">
      <w:pPr>
        <w:pStyle w:val="6"/>
        <w:rPr>
          <w:rFonts w:ascii="宋体" w:hAnsi="宋体" w:cs="宋体"/>
          <w:kern w:val="0"/>
          <w:szCs w:val="21"/>
        </w:rPr>
      </w:pPr>
    </w:p>
    <w:p w14:paraId="3B84F799">
      <w:pPr>
        <w:rPr>
          <w:rFonts w:ascii="黑体" w:hAnsi="黑体" w:eastAsia="黑体" w:cs="宋体"/>
          <w:kern w:val="0"/>
          <w:sz w:val="32"/>
          <w:szCs w:val="32"/>
        </w:rPr>
      </w:pPr>
    </w:p>
    <w:p w14:paraId="1F700EDB">
      <w:pPr>
        <w:pStyle w:val="10"/>
      </w:pPr>
    </w:p>
    <w:p w14:paraId="5807D6EE">
      <w:pPr>
        <w:rPr>
          <w:rFonts w:ascii="黑体" w:hAnsi="黑体" w:eastAsia="黑体" w:cs="宋体"/>
          <w:kern w:val="0"/>
          <w:sz w:val="32"/>
          <w:szCs w:val="32"/>
        </w:rPr>
      </w:pPr>
    </w:p>
    <w:p w14:paraId="10EC5D92">
      <w:pPr>
        <w:rPr>
          <w:rFonts w:ascii="黑体" w:hAnsi="黑体" w:eastAsia="黑体" w:cs="宋体"/>
          <w:kern w:val="0"/>
          <w:sz w:val="32"/>
          <w:szCs w:val="32"/>
        </w:rPr>
      </w:pPr>
    </w:p>
    <w:p w14:paraId="022879F6">
      <w:pPr>
        <w:rPr>
          <w:rFonts w:ascii="黑体" w:hAnsi="黑体" w:eastAsia="黑体" w:cs="宋体"/>
          <w:kern w:val="0"/>
          <w:sz w:val="32"/>
          <w:szCs w:val="32"/>
        </w:rPr>
      </w:pPr>
    </w:p>
    <w:p w14:paraId="7D55B873">
      <w:pPr>
        <w:rPr>
          <w:rFonts w:ascii="黑体" w:hAnsi="黑体" w:eastAsia="黑体" w:cs="宋体"/>
          <w:kern w:val="0"/>
          <w:sz w:val="32"/>
          <w:szCs w:val="32"/>
        </w:rPr>
      </w:pPr>
    </w:p>
    <w:p w14:paraId="5BD6EC0B">
      <w:pPr>
        <w:rPr>
          <w:rFonts w:ascii="黑体" w:hAnsi="黑体" w:eastAsia="黑体" w:cs="宋体"/>
          <w:kern w:val="0"/>
          <w:sz w:val="32"/>
          <w:szCs w:val="32"/>
        </w:rPr>
      </w:pPr>
    </w:p>
    <w:p w14:paraId="10062C20">
      <w:pPr>
        <w:rPr>
          <w:rFonts w:ascii="黑体" w:hAnsi="黑体" w:eastAsia="黑体" w:cs="宋体"/>
          <w:kern w:val="0"/>
          <w:sz w:val="32"/>
          <w:szCs w:val="32"/>
        </w:rPr>
      </w:pPr>
    </w:p>
    <w:p w14:paraId="253CE16D">
      <w:pPr>
        <w:rPr>
          <w:rFonts w:ascii="黑体" w:hAnsi="黑体" w:eastAsia="黑体" w:cs="宋体"/>
          <w:kern w:val="0"/>
          <w:sz w:val="32"/>
          <w:szCs w:val="32"/>
        </w:rPr>
      </w:pPr>
    </w:p>
    <w:p w14:paraId="0FF0FF25">
      <w:pPr>
        <w:rPr>
          <w:rFonts w:ascii="黑体" w:hAnsi="黑体" w:eastAsia="黑体" w:cs="宋体"/>
          <w:kern w:val="0"/>
          <w:sz w:val="32"/>
          <w:szCs w:val="32"/>
        </w:rPr>
      </w:pPr>
    </w:p>
    <w:p w14:paraId="5C96E6A2">
      <w:pPr>
        <w:rPr>
          <w:rFonts w:ascii="黑体" w:hAnsi="黑体" w:eastAsia="黑体" w:cs="宋体"/>
          <w:kern w:val="0"/>
          <w:sz w:val="32"/>
          <w:szCs w:val="32"/>
        </w:rPr>
      </w:pPr>
    </w:p>
    <w:p w14:paraId="41013031">
      <w:pPr>
        <w:rPr>
          <w:rFonts w:ascii="黑体" w:hAnsi="黑体" w:eastAsia="黑体" w:cs="宋体"/>
          <w:kern w:val="0"/>
          <w:sz w:val="32"/>
          <w:szCs w:val="32"/>
        </w:rPr>
      </w:pPr>
    </w:p>
    <w:p w14:paraId="5755E475">
      <w:pPr>
        <w:rPr>
          <w:rFonts w:ascii="黑体" w:hAnsi="黑体" w:eastAsia="黑体" w:cs="宋体"/>
          <w:kern w:val="0"/>
          <w:sz w:val="32"/>
          <w:szCs w:val="32"/>
        </w:rPr>
      </w:pPr>
    </w:p>
    <w:p w14:paraId="403571E0">
      <w:pPr>
        <w:rPr>
          <w:rFonts w:ascii="黑体" w:hAnsi="黑体" w:eastAsia="黑体" w:cs="宋体"/>
          <w:kern w:val="0"/>
          <w:sz w:val="32"/>
          <w:szCs w:val="32"/>
        </w:rPr>
      </w:pPr>
    </w:p>
    <w:p w14:paraId="6D8FE1EA">
      <w:pPr>
        <w:rPr>
          <w:rFonts w:ascii="黑体" w:hAnsi="黑体" w:eastAsia="黑体" w:cs="宋体"/>
          <w:kern w:val="0"/>
          <w:sz w:val="32"/>
          <w:szCs w:val="32"/>
        </w:rPr>
      </w:pPr>
    </w:p>
    <w:p w14:paraId="341A62CC"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 w14:paraId="73779986">
      <w:pPr>
        <w:ind w:firstLine="1440" w:firstLineChars="40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2024年度部门整体支出绩效自评表</w:t>
      </w:r>
    </w:p>
    <w:tbl>
      <w:tblPr>
        <w:tblStyle w:val="7"/>
        <w:tblW w:w="90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99"/>
        <w:gridCol w:w="152"/>
        <w:gridCol w:w="141"/>
        <w:gridCol w:w="827"/>
        <w:gridCol w:w="100"/>
        <w:gridCol w:w="774"/>
        <w:gridCol w:w="386"/>
        <w:gridCol w:w="607"/>
        <w:gridCol w:w="708"/>
        <w:gridCol w:w="851"/>
        <w:gridCol w:w="850"/>
        <w:gridCol w:w="851"/>
        <w:gridCol w:w="354"/>
        <w:gridCol w:w="972"/>
        <w:gridCol w:w="8"/>
      </w:tblGrid>
      <w:tr w14:paraId="728DB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0CEB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自评表</w:t>
            </w:r>
          </w:p>
        </w:tc>
      </w:tr>
      <w:tr w14:paraId="47E1C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96E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预算部门名称</w:t>
            </w:r>
          </w:p>
        </w:tc>
        <w:tc>
          <w:tcPr>
            <w:tcW w:w="82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BA2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娄底市娄星区融媒体中心</w:t>
            </w:r>
          </w:p>
        </w:tc>
      </w:tr>
      <w:tr w14:paraId="21077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8E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年度预算申请</w:t>
            </w:r>
            <w:r>
              <w:rPr>
                <w:color w:val="000000"/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(万元)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AB5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BD47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年初预算数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(万元)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126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67D3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77A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2718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79E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1220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1E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0CB7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年度资金总额：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72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269.74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CE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435.59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B0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42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4F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28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</w:t>
            </w:r>
          </w:p>
        </w:tc>
      </w:tr>
      <w:tr w14:paraId="1D893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92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8418D">
            <w:pPr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按收入性质分：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3C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按支出性质分：</w:t>
            </w:r>
          </w:p>
        </w:tc>
      </w:tr>
      <w:tr w14:paraId="41F5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D1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CEA0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一般公共预算：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6D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405.96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B991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其中:基本支出：</w:t>
            </w:r>
          </w:p>
        </w:tc>
        <w:tc>
          <w:tcPr>
            <w:tcW w:w="21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D6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322.93</w:t>
            </w:r>
          </w:p>
        </w:tc>
      </w:tr>
      <w:tr w14:paraId="5CDF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E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8B4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政府性基金拨款：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93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2467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0111">
            <w:pPr>
              <w:rPr>
                <w:color w:val="000000"/>
                <w:sz w:val="18"/>
                <w:szCs w:val="18"/>
              </w:rPr>
            </w:pPr>
          </w:p>
        </w:tc>
      </w:tr>
      <w:tr w14:paraId="5C7F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2F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221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纳入专户管理的非税收入拨款：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7C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A2B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项目支出：</w:t>
            </w:r>
          </w:p>
        </w:tc>
        <w:tc>
          <w:tcPr>
            <w:tcW w:w="21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C9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112.66</w:t>
            </w:r>
          </w:p>
        </w:tc>
      </w:tr>
      <w:tr w14:paraId="3B2D1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29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212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40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29.63</w:t>
            </w: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F5C5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6518">
            <w:pPr>
              <w:rPr>
                <w:color w:val="000000"/>
                <w:sz w:val="18"/>
                <w:szCs w:val="18"/>
              </w:rPr>
            </w:pPr>
          </w:p>
        </w:tc>
      </w:tr>
      <w:tr w14:paraId="57FF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B1A0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3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8FB3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0BD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14:paraId="7A79B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7471">
            <w:pPr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3491">
            <w:pPr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一）夯本固基，加强党的建设。贯彻新时代党的建设总要求，坚持以政治建设为统领，全面推进中心思想建设、制度建设、组织建设和作风建设。定期开展理论中心组学习，坚持以党的创新理论指导融媒工作开展。以“三基三创”为抓手，全面建强基层组织、做实基础工作、提升基本能力，全面推进平安创建、清廉创建、文明创建工作。完成工会换届选举工作。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二）强能练兵，打造全媒人才。发展壮大专业人才队伍，通过增编设岗、人才引进、公开招聘、见习实习等多渠道补充工作力量。实施能力素质提升工程，选优配强中层干部，通过业务讲堂、外派培训、交流学习、挂职锻炼等形式，深化技能练兵，不断提升“四力”，努力培养复合型全媒体人才。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（三）提质增效，抓好宣传策划。围绕区委、区政府工作重点，定期召开新闻策划会议，提前谋划重大主题宣传，切实做好宣传舆论引导工作。持续抓好《你好 娄星》《“星”屋场》《“星”农人》等特色主题宣传，认真围绕项目建设、乡村振兴、“我们的节日”、创文管卫、反电信诈骗等做好日常宣传和深度报道。利用新媒体技术，创新新闻表达方式，制作海报、H5等多样化新闻产品，满足不同受众需求。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81F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（一）2024年共召开支委会12次、支部大会4次，组织开展支部主题党日活动12次。注重党员队伍发展，全面落实积分制管理。确定2名同志为预备党员，1名同志为正式党员，对4名入党积极分子进行培训。设置了党风廉政建设公开栏、宣传栏。持续深入开展党纪学习教育活动，班子成员带头常态化开展廉政教育、谈心谈话和作风督查，共进行廉政教育12次，组织谈心谈话51（人）次，开展督查行动24次，下发督查通报24期，通报批评2人。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（二）认真落实《平时考核实施办法》等制度，强化考核结果运用。充实壮大队伍力量，增编至25个，完成新一轮的岗位设置，新引进全媒体记者2名。精心开展“素质能力提升年”活动，结合岗位实际制定培训计划，持续巩固提升采编制作队伍业务能力。实行“栏目负责制”，鼓励干部职工策划原创栏目，对优秀创意即时组建报道专班，充分培养和激发团队创造力和创新力。完成8名同志职称晋升手续办理和4名同志职称申报手续办理，有效激发了干部队伍争先创优积极性。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（三）构建了以网站“娄星在线”为主平台、微信公众号“掌上娄星”为优平台、“新娄星”APP为快平台、视频号“掌上娄星”为新平台的全媒体传播矩阵。其中“新娄星”APP注册量突破16万，“掌上娄星”微信公众号和视频号粉丝量超过13万。累计在央省主流媒体上稿336篇，其中央媒198篇，省媒138篇。积极选送优秀作品参评各类新闻评奖活动，目前获评省级奖项1个，市级奖项7个，其中《“星”屋场》系列在省红网获评“年度优秀新闻作品”，《你好 娄星》荣获娄底新闻奖一等奖。新娄星”APP注册量突破16万，“掌上娄星”微信公众号和视频号粉丝量超过13万。优化资源配置，全面升级视频制作系统。2024年中心先后荣获“湖南省媒体智能技术应用先锋号”“融合发展示范单位”“年度传播力奖”3个省级奖项，连续2个季度在高质量发展经营分析讲评会上坐先进席，作经验发言。</w:t>
            </w:r>
          </w:p>
        </w:tc>
      </w:tr>
      <w:tr w14:paraId="17AF5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4CD8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314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4D2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0BAC8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年度指标值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6787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实际完成值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90DC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评扣分标准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F9E7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D190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E113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偏差原因分析及改进措施</w:t>
            </w:r>
          </w:p>
        </w:tc>
      </w:tr>
      <w:tr w14:paraId="0F08C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02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DEF5">
            <w:pPr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B2CE">
            <w:pPr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B0FC">
            <w:pPr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2E2E">
            <w:pPr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07F8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B528">
            <w:pPr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FDFF">
            <w:pPr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A2C9">
            <w:pPr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E99C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0FF2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D316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F451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A82C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省市媒体对上报道条数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D22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200条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78D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336条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4F1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该指标完成得5分，否则，酌情扣分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1E8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3A9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CD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34C00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5CCE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AA9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E8BA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新招聘人员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B26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4771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751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该指标完成得5分，少1人，扣2分，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CCA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1BA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80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6674A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266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FAE4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B2EE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发展预备党员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A6D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07C4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AFD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该指标完成得5分，少一次扣0.5分。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ACE4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F0D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C945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449C9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1741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F383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4A7C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新娄星注册量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4AC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14.5万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27B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16万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E16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该指标完成得5分，否则酌情扣分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7B5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FE6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EBE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32A60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FDB2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9BDF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8BEB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掌上娄星粉丝量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959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12万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A84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13万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453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该指标完成得5分，少一次扣0.5分。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C26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16A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F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7D5F8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51D4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A68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F82D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全平台发稿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2AD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2万条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9B6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2万余条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36D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该指标完成得5分，否则酌情扣分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F60C3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D796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AF60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55952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DDC3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316F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A969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省市级新闻奖项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C45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3个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CC82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8个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D23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该指标完成得5分，否则酌情扣分。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18F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FF5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253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60E3E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FB1B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795E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5E0AD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工作完成时间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784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365天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EE7A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365天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EE0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全年信息发布及时得5分，否则酌情扣分。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076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8F56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4E2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4A9C8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5038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D31C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4E3F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签订合作协议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5378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50万元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61FE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79.4万元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320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该指标完成得5分，每少一万元扣0.5分。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66B8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D1C4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29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39CFF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1839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6DCC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E711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争取党建经费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9A1A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5万元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796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5万元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504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该指标完成得5分，每少一万元扣0.5分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1BF2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3FE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B654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2A65D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6412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7EDA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5C83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全省县级政务微信影响力排行前列次数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7CB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5次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A494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45BE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该指标完成得5分，少一次扣0.5分。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F8D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4CE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577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5D55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705F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F8B3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01ED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推进融媒体中心扩大媒体影响力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2296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持续推进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28E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荣获“湖南省媒体智能技术应用先锋号”“融合发展示范单位”“年度传播力奖”3个省级奖项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814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媒体影响力逐步提升得5分，否则酌情扣分。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1363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07C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9960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17D89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DC06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753C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569E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职工满意度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1ED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BFA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A18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职工满意度90%及以上，得5分，否则酌情扣分。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D2F1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446C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F330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56DFA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74A6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4056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CC79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7C1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483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728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服务对象满意度90%及以上5分，低于90%酌情扣分。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3BB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509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851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287A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FA1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69C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DFF3A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财政拨款经费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17F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269.74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1997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405.96万元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DDC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全年财政拨款经费该指标得5分，否则酌情扣分。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1386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328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BD6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040D2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A8AA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82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F8A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</w:t>
            </w:r>
          </w:p>
        </w:tc>
      </w:tr>
    </w:tbl>
    <w:p w14:paraId="33F0652A">
      <w:pPr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说明：三级指标的设立以2024年度预算绩效目标申报表申报指标为准。</w:t>
      </w:r>
    </w:p>
    <w:p w14:paraId="08D19CE4">
      <w:pPr>
        <w:rPr>
          <w:rFonts w:ascii="仿宋" w:hAnsi="仿宋" w:eastAsia="仿宋" w:cs="仿宋"/>
          <w:kern w:val="0"/>
          <w:szCs w:val="21"/>
        </w:rPr>
      </w:pPr>
    </w:p>
    <w:p w14:paraId="7EF03F4D">
      <w:pPr>
        <w:pStyle w:val="6"/>
        <w:ind w:firstLine="0"/>
        <w:jc w:val="left"/>
      </w:pPr>
      <w:r>
        <w:rPr>
          <w:rFonts w:hint="eastAsia" w:ascii="宋体" w:hAnsi="宋体" w:cs="宋体"/>
          <w:kern w:val="0"/>
          <w:szCs w:val="21"/>
        </w:rPr>
        <w:t>填表人：赵闽填报日期：</w:t>
      </w:r>
      <w:r>
        <w:rPr>
          <w:rFonts w:hint="eastAsia"/>
          <w:kern w:val="0"/>
          <w:szCs w:val="21"/>
        </w:rPr>
        <w:t xml:space="preserve">2025.4.22  </w:t>
      </w:r>
      <w:r>
        <w:rPr>
          <w:rFonts w:hint="eastAsia" w:ascii="宋体" w:hAnsi="宋体" w:cs="宋体"/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 xml:space="preserve">18907380260  </w:t>
      </w:r>
      <w:r>
        <w:rPr>
          <w:rFonts w:hint="eastAsia" w:ascii="宋体" w:hAnsi="宋体" w:cs="宋体"/>
          <w:kern w:val="0"/>
          <w:szCs w:val="21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4F960"/>
    <w:multiLevelType w:val="singleLevel"/>
    <w:tmpl w:val="FA24F9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902FD3"/>
    <w:multiLevelType w:val="singleLevel"/>
    <w:tmpl w:val="FA902FD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NjE5NzgxZDZhM2M3MTAxMjljNjE0Y2Q2ODE4YzgifQ=="/>
  </w:docVars>
  <w:rsids>
    <w:rsidRoot w:val="1AE74EE4"/>
    <w:rsid w:val="00080E9D"/>
    <w:rsid w:val="00191411"/>
    <w:rsid w:val="00360CB1"/>
    <w:rsid w:val="00521F5B"/>
    <w:rsid w:val="00576B94"/>
    <w:rsid w:val="006D16E4"/>
    <w:rsid w:val="006F7868"/>
    <w:rsid w:val="007F5D5D"/>
    <w:rsid w:val="00AE5B01"/>
    <w:rsid w:val="00B64AEA"/>
    <w:rsid w:val="00C960B7"/>
    <w:rsid w:val="00D000C3"/>
    <w:rsid w:val="00D5277C"/>
    <w:rsid w:val="00ED42B4"/>
    <w:rsid w:val="02F32FFC"/>
    <w:rsid w:val="1AE74EE4"/>
    <w:rsid w:val="229B76EE"/>
    <w:rsid w:val="23AF3D0A"/>
    <w:rsid w:val="27E94898"/>
    <w:rsid w:val="28C433F0"/>
    <w:rsid w:val="2B6C6C5F"/>
    <w:rsid w:val="2C6C59E1"/>
    <w:rsid w:val="2E483A7C"/>
    <w:rsid w:val="35244E36"/>
    <w:rsid w:val="3B517FA6"/>
    <w:rsid w:val="3CBE19AA"/>
    <w:rsid w:val="400E3852"/>
    <w:rsid w:val="45040B70"/>
    <w:rsid w:val="4B38326F"/>
    <w:rsid w:val="5E570652"/>
    <w:rsid w:val="5EC40C4A"/>
    <w:rsid w:val="605060C1"/>
    <w:rsid w:val="61C25083"/>
    <w:rsid w:val="63B3128D"/>
    <w:rsid w:val="663E6D70"/>
    <w:rsid w:val="67742EAB"/>
    <w:rsid w:val="693F2F36"/>
    <w:rsid w:val="697F0B41"/>
    <w:rsid w:val="76687575"/>
    <w:rsid w:val="799556E1"/>
    <w:rsid w:val="7B77106E"/>
    <w:rsid w:val="7D225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qFormat/>
    <w:uiPriority w:val="99"/>
  </w:style>
  <w:style w:type="paragraph" w:styleId="3">
    <w:name w:val="header"/>
    <w:basedOn w:val="1"/>
    <w:next w:val="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99"/>
    <w:pPr>
      <w:ind w:firstLine="664"/>
    </w:pPr>
  </w:style>
  <w:style w:type="paragraph" w:customStyle="1" w:styleId="9">
    <w:name w:val="_Style 3"/>
    <w:next w:val="1"/>
    <w:qFormat/>
    <w:uiPriority w:val="99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10">
    <w:name w:val="BodyText1I2"/>
    <w:basedOn w:val="11"/>
    <w:qFormat/>
    <w:uiPriority w:val="0"/>
    <w:pPr>
      <w:ind w:firstLine="420"/>
    </w:pPr>
  </w:style>
  <w:style w:type="paragraph" w:customStyle="1" w:styleId="11">
    <w:name w:val="BodyTextIndent"/>
    <w:basedOn w:val="1"/>
    <w:qFormat/>
    <w:uiPriority w:val="0"/>
    <w:pPr>
      <w:spacing w:after="120"/>
      <w:ind w:left="420" w:leftChars="200" w:firstLine="200" w:firstLineChars="200"/>
      <w:textAlignment w:val="baseline"/>
    </w:p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UserStyle_0"/>
    <w:basedOn w:val="1"/>
    <w:qFormat/>
    <w:uiPriority w:val="0"/>
    <w:pPr>
      <w:widowControl/>
      <w:textAlignment w:val="baseline"/>
    </w:pPr>
    <w:rPr>
      <w:rFonts w:ascii="Calibri" w:hAnsi="Calibri"/>
      <w:kern w:val="0"/>
      <w:szCs w:val="21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5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6877</Words>
  <Characters>7207</Characters>
  <Lines>9</Lines>
  <Paragraphs>19</Paragraphs>
  <TotalTime>988</TotalTime>
  <ScaleCrop>false</ScaleCrop>
  <LinksUpToDate>false</LinksUpToDate>
  <CharactersWithSpaces>7287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2025-04-24T03:46:00Z</dcterms:created>
  <dc:creator>DELL02</dc:creator>
  <cp:lastModifiedBy>57</cp:lastModifiedBy>
  <cp:lastPrinted>2025-04-24T09:16:21Z</cp:lastPrinted>
  <dcterms:modified xsi:type="dcterms:W3CDTF">2025-04-25T02:11:07Z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6B61485CBBB34206BE92B22D3FAD2405_13</vt:lpwstr>
  </property>
  <property fmtid="{D5CDD505-2E9C-101B-9397-08002B2CF9AE}" pid="4" name="KSOTemplateDocerSaveRecord">
    <vt:lpwstr>eyJoZGlkIjoiOTE2NjE5NzgxZDZhM2M3MTAxMjljNjE0Y2Q2ODE4YzgiLCJ1c2VySWQiOiIxMjc2MTYzNyJ9</vt:lpwstr>
  </property>
</Properties>
</file>