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6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" w:eastAsia="仿宋_GB2312"/>
          <w:b/>
          <w:sz w:val="24"/>
        </w:rPr>
        <w:t>（表格内字体为五号仿宋_GB2312）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577"/>
        <w:gridCol w:w="560"/>
        <w:gridCol w:w="79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香炉洲大桥正式通车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Times New Roman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仿宋_GB2312" w:hAnsi="华文中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盛月娇 左希山 龙宇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w w:val="95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盛月娇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长沙市望城区融媒体中心</w:t>
            </w:r>
            <w:bookmarkEnd w:id="0"/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长沙市望城区融媒体中心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Cs w:val="21"/>
                <w:lang w:val="en-US" w:eastAsia="zh-CN"/>
              </w:rPr>
              <w:t>望城新闻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2024年7月5日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作为长沙首座区级自主立项、自主投资、自主建设的大桥，香炉洲大桥项目具备了“4个第一、两个预留”的特点，大桥通车后，连通了腾飞路和园区大道，东西两岸通行时间将从半小时缩短为几分钟，意义重大。记者深入现场，直击大桥通车全过程，并通过群众采访，了解群众心声，全方位展示大桥通车的社会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节目一经播出，反响热烈，不少市民争相体验打卡。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该报道及时、准确地传递了香炉洲大桥通车这一事件信息,清晰明了介绍了大桥的特点、影响和作用，语言简洁明了，逻辑清晰，让人一目了然。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</w:t>
            </w:r>
          </w:p>
          <w:p>
            <w:pPr>
              <w:spacing w:line="360" w:lineRule="exact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</w:t>
            </w:r>
          </w:p>
          <w:p>
            <w:pPr>
              <w:spacing w:line="360" w:lineRule="exact"/>
              <w:ind w:left="3360" w:leftChars="160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spacing w:line="360" w:lineRule="auto"/>
              <w:ind w:left="3360" w:leftChars="160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2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17</w:t>
            </w:r>
            <w:bookmarkStart w:id="1" w:name="_GoBack"/>
            <w:bookmarkEnd w:id="1"/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盛月娇 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13808417167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WFhZDM0N2JjNWRkZWNiY2ZhOTk2ZjgwMDdhODgifQ=="/>
  </w:docVars>
  <w:rsids>
    <w:rsidRoot w:val="00000000"/>
    <w:rsid w:val="1DF87101"/>
    <w:rsid w:val="3B86491B"/>
    <w:rsid w:val="4E9D2FA7"/>
    <w:rsid w:val="6FA9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2025-02-25T08:17:00Z</dcterms:created>
  <dc:creator>pc</dc:creator>
  <cp:lastModifiedBy>张英</cp:lastModifiedBy>
  <dcterms:modified xsi:type="dcterms:W3CDTF">2025-02-26T03:31:20Z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391DA9974F934BDFB46109E9ED63B2A8</vt:lpwstr>
  </property>
</Properties>
</file>