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原中共湖南省委直属机关党校</w:t>
      </w:r>
    </w:p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湖南省直属机关行政学院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2019年度部门整体支出绩效自评报告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省财政厅：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根据湘财绩[2020]号4文件精神 ，我校（院）对2019年度整体支出绩效情况展开了认真自评，</w:t>
      </w:r>
      <w:r>
        <w:rPr>
          <w:rFonts w:hint="eastAsia" w:ascii="仿宋" w:hAnsi="仿宋" w:eastAsia="仿宋"/>
          <w:color w:val="000000"/>
          <w:sz w:val="32"/>
          <w:szCs w:val="32"/>
        </w:rPr>
        <w:t>根据中央编办复字[2018]138号文件，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/>
          <w:color w:val="000000"/>
          <w:sz w:val="32"/>
          <w:szCs w:val="32"/>
        </w:rPr>
        <w:t>湖南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省委</w:t>
      </w:r>
      <w:r>
        <w:rPr>
          <w:rFonts w:hint="eastAsia" w:ascii="仿宋" w:hAnsi="仿宋" w:eastAsia="仿宋"/>
          <w:color w:val="000000"/>
          <w:sz w:val="32"/>
          <w:szCs w:val="32"/>
        </w:rPr>
        <w:t>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属</w:t>
      </w:r>
      <w:r>
        <w:rPr>
          <w:rFonts w:hint="eastAsia" w:ascii="仿宋" w:hAnsi="仿宋" w:eastAsia="仿宋"/>
          <w:color w:val="000000"/>
          <w:sz w:val="32"/>
          <w:szCs w:val="32"/>
        </w:rPr>
        <w:t>机关党校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湖南省直属机关行政学院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于2019年3月并入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中共湖南省委党校（湖南行政学院）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因2019年度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校（院）</w:t>
      </w:r>
      <w:r>
        <w:rPr>
          <w:rFonts w:hint="eastAsia" w:ascii="仿宋" w:hAnsi="仿宋" w:eastAsia="仿宋"/>
          <w:sz w:val="32"/>
          <w:szCs w:val="32"/>
        </w:rPr>
        <w:t>财务未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与省委党校</w:t>
      </w:r>
      <w:r>
        <w:rPr>
          <w:rFonts w:hint="eastAsia" w:ascii="仿宋" w:hAnsi="仿宋" w:eastAsia="仿宋"/>
          <w:sz w:val="32"/>
          <w:szCs w:val="32"/>
        </w:rPr>
        <w:t>合并，本绩效报告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不并入省委党校整体上报，进行</w:t>
      </w:r>
      <w:r>
        <w:rPr>
          <w:rFonts w:hint="eastAsia" w:ascii="仿宋" w:hAnsi="仿宋" w:eastAsia="仿宋"/>
          <w:sz w:val="32"/>
          <w:szCs w:val="32"/>
        </w:rPr>
        <w:t>单独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列</w:t>
      </w:r>
      <w:r>
        <w:rPr>
          <w:rFonts w:hint="eastAsia" w:ascii="仿宋" w:hAnsi="仿宋" w:eastAsia="仿宋"/>
          <w:sz w:val="32"/>
          <w:szCs w:val="32"/>
        </w:rPr>
        <w:t>报。现将有关情况报告如下：</w:t>
      </w:r>
    </w:p>
    <w:p>
      <w:pPr>
        <w:pStyle w:val="11"/>
        <w:numPr>
          <w:ilvl w:val="0"/>
          <w:numId w:val="0"/>
        </w:numPr>
        <w:ind w:leftChars="0"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sz w:val="32"/>
          <w:szCs w:val="32"/>
        </w:rPr>
        <w:t>校（院）基本情况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/>
          <w:color w:val="000000"/>
          <w:sz w:val="32"/>
          <w:szCs w:val="32"/>
        </w:rPr>
        <w:t>湖南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省委</w:t>
      </w:r>
      <w:r>
        <w:rPr>
          <w:rFonts w:hint="eastAsia" w:ascii="仿宋" w:hAnsi="仿宋" w:eastAsia="仿宋"/>
          <w:color w:val="000000"/>
          <w:sz w:val="32"/>
          <w:szCs w:val="32"/>
        </w:rPr>
        <w:t>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属</w:t>
      </w:r>
      <w:r>
        <w:rPr>
          <w:rFonts w:hint="eastAsia" w:ascii="仿宋" w:hAnsi="仿宋" w:eastAsia="仿宋"/>
          <w:color w:val="000000"/>
          <w:sz w:val="32"/>
          <w:szCs w:val="32"/>
        </w:rPr>
        <w:t>机关党校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湖南省直属机关行政学院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是参照公务员管理的全额拨款副厅级单位，位于长沙市芙蓉区车站北路109号。</w:t>
      </w:r>
      <w:r>
        <w:rPr>
          <w:rFonts w:hint="eastAsia" w:ascii="仿宋" w:hAnsi="仿宋" w:eastAsia="仿宋"/>
          <w:sz w:val="32"/>
          <w:szCs w:val="32"/>
        </w:rPr>
        <w:t>内设党政管理机构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个，教学科研机构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人员编制118名，其中参照公务员管理的行政管理和党务工作部门人员编制50名，专业教研技术人员编制、工勤人员编制68名。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2019年年末部门在职人员105人，离休人员2人，离休人员83人。</w:t>
      </w:r>
      <w:r>
        <w:rPr>
          <w:rFonts w:hint="eastAsia" w:ascii="仿宋" w:hAnsi="仿宋" w:eastAsia="仿宋"/>
          <w:sz w:val="32"/>
          <w:szCs w:val="32"/>
        </w:rPr>
        <w:t>在职人员控制率为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88.98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根据《中国共产党党校(行政学院)工作条例》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行政学院工作条例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原省直机关党校主要</w:t>
      </w:r>
      <w:r>
        <w:rPr>
          <w:rFonts w:hint="eastAsia" w:ascii="仿宋" w:hAnsi="仿宋" w:eastAsia="仿宋"/>
          <w:sz w:val="32"/>
          <w:szCs w:val="32"/>
        </w:rPr>
        <w:t>工作职责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是根据省委制定的干部教育培训规划和省委组织部、省直工委下达的培训计划，轮训培训省直机关（中央驻湘单位）处级干部、优秀中青年干部、科级干部和全省部分党务干部。</w:t>
      </w:r>
      <w:r>
        <w:rPr>
          <w:rFonts w:ascii="Tahoma" w:hAnsi="Tahoma" w:cs="Tahoma"/>
          <w:color w:val="333333"/>
          <w:szCs w:val="21"/>
        </w:rPr>
        <w:t xml:space="preserve"> </w:t>
      </w:r>
    </w:p>
    <w:p>
      <w:pPr>
        <w:pStyle w:val="11"/>
        <w:widowControl/>
        <w:numPr>
          <w:ilvl w:val="0"/>
          <w:numId w:val="0"/>
        </w:numPr>
        <w:spacing w:line="600" w:lineRule="exact"/>
        <w:ind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二、</w:t>
      </w:r>
      <w:r>
        <w:rPr>
          <w:rFonts w:eastAsia="黑体"/>
          <w:sz w:val="32"/>
          <w:szCs w:val="32"/>
        </w:rPr>
        <w:t>一般公共预算支出情况</w:t>
      </w:r>
    </w:p>
    <w:p>
      <w:pPr>
        <w:spacing w:line="360" w:lineRule="auto"/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（一）基本支出情况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2019年基本支出预算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2897.15</w:t>
      </w:r>
      <w:r>
        <w:rPr>
          <w:rFonts w:hint="eastAsia" w:ascii="仿宋" w:hAnsi="仿宋" w:eastAsia="仿宋"/>
          <w:sz w:val="32"/>
          <w:szCs w:val="32"/>
        </w:rPr>
        <w:t>万元，其中：年初预算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2320.52</w:t>
      </w:r>
      <w:r>
        <w:rPr>
          <w:rFonts w:hint="eastAsia" w:ascii="仿宋" w:hAnsi="仿宋" w:eastAsia="仿宋"/>
          <w:sz w:val="32"/>
          <w:szCs w:val="32"/>
        </w:rPr>
        <w:t>万元，本年追加及调整预算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576.63</w:t>
      </w:r>
      <w:r>
        <w:rPr>
          <w:rFonts w:hint="eastAsia" w:ascii="仿宋" w:hAnsi="仿宋" w:eastAsia="仿宋"/>
          <w:sz w:val="32"/>
          <w:szCs w:val="32"/>
        </w:rPr>
        <w:t>万元；本年支出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2897.15</w:t>
      </w:r>
      <w:r>
        <w:rPr>
          <w:rFonts w:hint="eastAsia" w:ascii="仿宋" w:hAnsi="仿宋" w:eastAsia="仿宋"/>
          <w:sz w:val="32"/>
          <w:szCs w:val="32"/>
        </w:rPr>
        <w:t>万元，其中人员经费支出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2561.68</w:t>
      </w:r>
      <w:r>
        <w:rPr>
          <w:rFonts w:hint="eastAsia" w:ascii="仿宋" w:hAnsi="仿宋" w:eastAsia="仿宋"/>
          <w:sz w:val="32"/>
          <w:szCs w:val="32"/>
        </w:rPr>
        <w:t>万元，主要用于：在职人员工资奖金、社保缴费、离退休费、离休人员医疗等；公用经费支出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335.47</w:t>
      </w:r>
      <w:r>
        <w:rPr>
          <w:rFonts w:hint="eastAsia" w:ascii="仿宋" w:hAnsi="仿宋" w:eastAsia="仿宋"/>
          <w:sz w:val="32"/>
          <w:szCs w:val="32"/>
        </w:rPr>
        <w:t>万元，主要用于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办公费、印刷费、邮电费、差旅费、会议费、福利费、日常维修费、公用房屋水电、取暖费、物业管理费、公务用车运行维护费等一般商品和服务支出。基本支出</w:t>
      </w:r>
      <w:r>
        <w:rPr>
          <w:rFonts w:hint="eastAsia" w:ascii="仿宋" w:hAnsi="仿宋" w:eastAsia="仿宋"/>
          <w:sz w:val="32"/>
          <w:szCs w:val="32"/>
        </w:rPr>
        <w:t>预算执行率为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360" w:lineRule="auto"/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（二）项目支出情况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校（院）2019年度无省级专项资金。其他项目支出预算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354.91</w:t>
      </w:r>
      <w:r>
        <w:rPr>
          <w:rFonts w:hint="eastAsia" w:ascii="仿宋" w:hAnsi="仿宋" w:eastAsia="仿宋"/>
          <w:sz w:val="32"/>
          <w:szCs w:val="32"/>
        </w:rPr>
        <w:t>万元，其中：年初预算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746.30</w:t>
      </w:r>
      <w:r>
        <w:rPr>
          <w:rFonts w:hint="eastAsia" w:ascii="仿宋" w:hAnsi="仿宋" w:eastAsia="仿宋"/>
          <w:sz w:val="32"/>
          <w:szCs w:val="32"/>
        </w:rPr>
        <w:t>万元，上年结转和结余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课题经费0.60</w:t>
      </w:r>
      <w:r>
        <w:rPr>
          <w:rFonts w:hint="eastAsia" w:ascii="仿宋" w:hAnsi="仿宋" w:eastAsia="仿宋"/>
          <w:sz w:val="32"/>
          <w:szCs w:val="32"/>
        </w:rPr>
        <w:t>万元，本年追加及调整预算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-391.99</w:t>
      </w:r>
      <w:r>
        <w:rPr>
          <w:rFonts w:hint="eastAsia" w:ascii="仿宋" w:hAnsi="仿宋" w:eastAsia="仿宋"/>
          <w:sz w:val="32"/>
          <w:szCs w:val="32"/>
        </w:rPr>
        <w:t>万元；本年支出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349.91</w:t>
      </w:r>
      <w:r>
        <w:rPr>
          <w:rFonts w:hint="eastAsia" w:ascii="仿宋" w:hAnsi="仿宋" w:eastAsia="仿宋"/>
          <w:sz w:val="32"/>
          <w:szCs w:val="32"/>
        </w:rPr>
        <w:t>万元，主要用于：专项办学、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因公出国（境）、</w:t>
      </w:r>
      <w:r>
        <w:rPr>
          <w:rFonts w:hint="eastAsia" w:ascii="仿宋" w:hAnsi="仿宋" w:eastAsia="仿宋"/>
          <w:sz w:val="32"/>
          <w:szCs w:val="32"/>
        </w:rPr>
        <w:t>科研课题等商品和服务支出以及新增资产等资本性支出。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因公出国（境）</w:t>
      </w:r>
      <w:r>
        <w:rPr>
          <w:rFonts w:hint="eastAsia" w:ascii="仿宋" w:hAnsi="仿宋" w:eastAsia="仿宋"/>
          <w:sz w:val="32"/>
          <w:szCs w:val="32"/>
        </w:rPr>
        <w:t>结转和结余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5.00万元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由财政收回，无</w:t>
      </w:r>
      <w:r>
        <w:rPr>
          <w:rFonts w:hint="eastAsia" w:ascii="仿宋" w:hAnsi="仿宋" w:eastAsia="仿宋"/>
          <w:sz w:val="32"/>
          <w:szCs w:val="32"/>
        </w:rPr>
        <w:t>结转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/>
          <w:sz w:val="32"/>
          <w:szCs w:val="32"/>
        </w:rPr>
        <w:t>下年度项目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经费。</w:t>
      </w:r>
      <w:r>
        <w:rPr>
          <w:rFonts w:hint="eastAsia" w:ascii="仿宋" w:hAnsi="仿宋" w:eastAsia="仿宋"/>
          <w:sz w:val="32"/>
          <w:szCs w:val="32"/>
        </w:rPr>
        <w:t>项目支出预算执行率为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98.59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pStyle w:val="11"/>
        <w:numPr>
          <w:ilvl w:val="0"/>
          <w:numId w:val="0"/>
        </w:numPr>
        <w:spacing w:line="360" w:lineRule="auto"/>
        <w:ind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政府性基金预算支出情况</w:t>
      </w:r>
    </w:p>
    <w:p>
      <w:pPr>
        <w:spacing w:line="360" w:lineRule="auto"/>
        <w:ind w:left="72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校（院）无政府性基金安排的支出。</w:t>
      </w:r>
    </w:p>
    <w:p>
      <w:pPr>
        <w:pStyle w:val="11"/>
        <w:numPr>
          <w:ilvl w:val="0"/>
          <w:numId w:val="0"/>
        </w:numPr>
        <w:spacing w:line="360" w:lineRule="auto"/>
        <w:ind w:leftChars="0" w:firstLine="640" w:firstLineChars="20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Style w:val="11"/>
        <w:spacing w:line="360" w:lineRule="auto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2019年校（院）无国有资本经营预算安排的支出。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五、社会保险基金预算支出情况</w:t>
      </w:r>
    </w:p>
    <w:p>
      <w:pPr>
        <w:pStyle w:val="5"/>
        <w:spacing w:before="0" w:beforeAutospacing="0" w:after="300" w:afterAutospacing="0" w:line="33" w:lineRule="atLeast"/>
        <w:ind w:left="420" w:firstLine="320" w:firstLineChars="100"/>
        <w:rPr>
          <w:rFonts w:ascii="仿宋" w:hAnsi="仿宋" w:eastAsia="仿宋" w:cs="黑体"/>
          <w:bCs/>
          <w:kern w:val="2"/>
          <w:sz w:val="32"/>
          <w:szCs w:val="32"/>
        </w:rPr>
      </w:pPr>
      <w:r>
        <w:rPr>
          <w:rFonts w:hint="eastAsia" w:ascii="仿宋" w:hAnsi="仿宋" w:eastAsia="仿宋" w:cs="黑体"/>
          <w:bCs/>
          <w:kern w:val="2"/>
          <w:sz w:val="32"/>
          <w:szCs w:val="32"/>
        </w:rPr>
        <w:t>2019年校（院）无社会保险基金预算安排的支出。</w:t>
      </w:r>
    </w:p>
    <w:p>
      <w:pPr>
        <w:pStyle w:val="5"/>
        <w:spacing w:before="0" w:beforeAutospacing="0" w:after="300" w:afterAutospacing="0" w:line="33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整体支出绩效情况</w:t>
      </w:r>
    </w:p>
    <w:p>
      <w:pPr>
        <w:spacing w:line="360" w:lineRule="auto"/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（一）绩效目标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高质量培训干部、高水平服务党和国家事业发展。以培训对党忠诚、信念坚定、敢于担当、本领高强、清廉为民的干部队伍为目标，完成省委省政府交给的干部培训轮训工作任务；开展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习近平新时代中国特色社会主义思想的宣传与研究</w:t>
      </w:r>
      <w:r>
        <w:rPr>
          <w:rFonts w:hint="eastAsia" w:ascii="仿宋" w:hAnsi="仿宋" w:eastAsia="仿宋"/>
          <w:sz w:val="32"/>
          <w:szCs w:val="32"/>
        </w:rPr>
        <w:t>；深化教学改革，推进学科建设；紧贴党委政府中心工作。</w:t>
      </w:r>
    </w:p>
    <w:p>
      <w:pPr>
        <w:spacing w:line="360" w:lineRule="auto"/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（二）绩效管理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1、预算管理情况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2019年校（院）整体支出预算完成率为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99.85</w:t>
      </w:r>
      <w:r>
        <w:rPr>
          <w:rFonts w:hint="eastAsia" w:ascii="仿宋" w:hAnsi="仿宋" w:eastAsia="仿宋"/>
          <w:sz w:val="32"/>
          <w:szCs w:val="32"/>
        </w:rPr>
        <w:t>%；本年追加预算控制率为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6.04</w:t>
      </w:r>
      <w:r>
        <w:rPr>
          <w:rFonts w:hint="eastAsia" w:ascii="仿宋" w:hAnsi="仿宋" w:eastAsia="仿宋"/>
          <w:sz w:val="32"/>
          <w:szCs w:val="32"/>
        </w:rPr>
        <w:t>%，剔除财政统一安排的绩效奖、综治奖及学员楼维修经费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划转给省委党校本部</w:t>
      </w:r>
      <w:r>
        <w:rPr>
          <w:rFonts w:hint="eastAsia" w:ascii="仿宋" w:hAnsi="仿宋" w:eastAsia="仿宋"/>
          <w:sz w:val="32"/>
          <w:szCs w:val="32"/>
        </w:rPr>
        <w:t>（原省直机关党校年初预算安排）以后，追加预算控制率为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0.90</w:t>
      </w:r>
      <w:r>
        <w:rPr>
          <w:rFonts w:hint="eastAsia" w:ascii="仿宋" w:hAnsi="仿宋" w:eastAsia="仿宋"/>
          <w:sz w:val="32"/>
          <w:szCs w:val="32"/>
        </w:rPr>
        <w:t>%；2019年无新建楼堂馆所，政府采购执行率为99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%。预算管理的主要措施有：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（1）强化预算编制管理。通过加强基础数据测算、优化预算编制流程，细化预算编制项目，增强了预算编制的科学性和合理性，绩效目标更加明晰，资源配置的合理性有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大幅</w:t>
      </w:r>
      <w:r>
        <w:rPr>
          <w:rFonts w:hint="eastAsia" w:ascii="仿宋" w:hAnsi="仿宋" w:eastAsia="仿宋"/>
          <w:sz w:val="32"/>
          <w:szCs w:val="32"/>
        </w:rPr>
        <w:t>提高。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（2）加大预算绩效宣传和管控力度。2019年校（院）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加大了财政预算绩效相关政策的宣传力度</w:t>
      </w:r>
      <w:r>
        <w:rPr>
          <w:rFonts w:hint="eastAsia" w:ascii="仿宋" w:hAnsi="仿宋" w:eastAsia="仿宋"/>
          <w:sz w:val="32"/>
          <w:szCs w:val="32"/>
        </w:rPr>
        <w:t>，增强了各部门预算绩效意识，为搭建了预算绩效全覆盖、全方位、全过程管理框架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奠定了基础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（3）加强会计基础工作规范化管理，提高预算执行力。2019年校（院）以会计制度改革为契机，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按照要求</w:t>
      </w:r>
      <w:r>
        <w:rPr>
          <w:rFonts w:hint="eastAsia" w:ascii="仿宋" w:hAnsi="仿宋" w:eastAsia="仿宋"/>
          <w:sz w:val="32"/>
          <w:szCs w:val="32"/>
        </w:rPr>
        <w:t>进一步优化了会计核算方式，做到无预算不支出，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提高了预算的约束力和执行力。</w:t>
      </w:r>
    </w:p>
    <w:p>
      <w:pPr>
        <w:spacing w:line="560" w:lineRule="exact"/>
        <w:ind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（4）进一步完善管理制度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。2019年校（院）修改出台了《财务管理办法》、《公务接待及工作餐管理办法》等管理制度，制度的可操作性进一步提高，为绩效管理的长效性提供了保障。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（5）全面</w:t>
      </w:r>
      <w:r>
        <w:rPr>
          <w:rFonts w:hint="eastAsia" w:ascii="仿宋" w:hAnsi="仿宋" w:eastAsia="仿宋"/>
          <w:sz w:val="32"/>
          <w:szCs w:val="32"/>
        </w:rPr>
        <w:t>加强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内控建设。逐步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/>
          <w:sz w:val="32"/>
          <w:szCs w:val="32"/>
        </w:rPr>
        <w:t>决策评价体系、制度体系、程序机制体系、岗位责任体系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，为</w:t>
      </w:r>
      <w:r>
        <w:rPr>
          <w:rFonts w:hint="eastAsia" w:ascii="仿宋" w:hAnsi="仿宋" w:eastAsia="仿宋"/>
          <w:sz w:val="32"/>
          <w:szCs w:val="32"/>
        </w:rPr>
        <w:t>规范经济活动全过程，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防范和化解财务风险，绩效管理有效开展打下良好基础。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（6）全面推进信息公开。校（院）部门预算、决算、整体支出绩效报告及“三公经费”使用情况均按规定在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原省直机关党校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门户网站公开。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2、“三公</w:t>
      </w:r>
      <w:r>
        <w:rPr>
          <w:rFonts w:ascii="楷体" w:hAnsi="楷体" w:eastAsia="楷体"/>
          <w:sz w:val="32"/>
          <w:szCs w:val="32"/>
        </w:rPr>
        <w:t>”</w:t>
      </w:r>
      <w:r>
        <w:rPr>
          <w:rFonts w:hint="eastAsia" w:ascii="楷体" w:hAnsi="楷体" w:eastAsia="楷体"/>
          <w:sz w:val="32"/>
          <w:szCs w:val="32"/>
        </w:rPr>
        <w:t>经费管理情况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9年，校（院）“三公”经费预算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22.50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与去年持平。</w:t>
      </w:r>
      <w:r>
        <w:rPr>
          <w:rFonts w:hint="eastAsia" w:ascii="仿宋" w:hAnsi="仿宋" w:eastAsia="仿宋"/>
          <w:sz w:val="32"/>
          <w:szCs w:val="32"/>
        </w:rPr>
        <w:t>本年实际支出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12.52</w:t>
      </w:r>
      <w:r>
        <w:rPr>
          <w:rFonts w:hint="eastAsia" w:ascii="仿宋" w:hAnsi="仿宋" w:eastAsia="仿宋"/>
          <w:sz w:val="32"/>
          <w:szCs w:val="32"/>
        </w:rPr>
        <w:t>万元，其中：因公出国（境）费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sz w:val="32"/>
          <w:szCs w:val="32"/>
        </w:rPr>
        <w:t>万元、公务接待费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0.10</w:t>
      </w:r>
      <w:r>
        <w:rPr>
          <w:rFonts w:hint="eastAsia" w:ascii="仿宋" w:hAnsi="仿宋" w:eastAsia="仿宋"/>
          <w:sz w:val="32"/>
          <w:szCs w:val="32"/>
        </w:rPr>
        <w:t>万元、公车购置及运行费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12.42</w:t>
      </w:r>
      <w:r>
        <w:rPr>
          <w:rFonts w:hint="eastAsia" w:ascii="仿宋" w:hAnsi="仿宋" w:eastAsia="仿宋"/>
          <w:sz w:val="32"/>
          <w:szCs w:val="32"/>
        </w:rPr>
        <w:t>万元（其中：公车购置费0万元，公车运行费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12.42</w:t>
      </w:r>
      <w:r>
        <w:rPr>
          <w:rFonts w:hint="eastAsia" w:ascii="仿宋" w:hAnsi="仿宋" w:eastAsia="仿宋"/>
          <w:sz w:val="32"/>
          <w:szCs w:val="32"/>
        </w:rPr>
        <w:t>万元）。“三公”经费控制率为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55.64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预算调整2.00万元，</w:t>
      </w:r>
      <w:r>
        <w:rPr>
          <w:rFonts w:hint="eastAsia" w:ascii="仿宋" w:hAnsi="仿宋" w:eastAsia="仿宋"/>
          <w:sz w:val="32"/>
          <w:szCs w:val="32"/>
        </w:rPr>
        <w:t>“三公”经费变动率为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校（院）始终把严控“三公经费”作为从严治校、正风肃纪的重要工作来抓，严格执行“三公经费”各项管理制度，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三公经费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持续低位运行；坚持把钱用在刀刃上，提高财政资金使用效益。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79" w:lineRule="atLeast"/>
        <w:ind w:right="18"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3、厉行节约情况</w:t>
      </w:r>
    </w:p>
    <w:p>
      <w:pPr>
        <w:spacing w:line="579" w:lineRule="atLeast"/>
        <w:ind w:right="18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2019年，校（院）</w:t>
      </w:r>
      <w:r>
        <w:rPr>
          <w:rFonts w:hint="eastAsia" w:ascii="仿宋" w:hAnsi="仿宋" w:eastAsia="仿宋"/>
          <w:sz w:val="32"/>
          <w:szCs w:val="32"/>
        </w:rPr>
        <w:t>坚决贯彻落实中共中央</w:t>
      </w:r>
      <w:r>
        <w:rPr>
          <w:rFonts w:ascii="仿宋" w:hAnsi="仿宋" w:eastAsia="仿宋" w:cs="Arial"/>
          <w:color w:val="333333"/>
          <w:spacing w:val="8"/>
          <w:sz w:val="32"/>
          <w:szCs w:val="32"/>
          <w:shd w:val="clear" w:color="auto" w:fill="FFFFFF"/>
        </w:rPr>
        <w:t>关于“过紧日子”和坚持厉行节约、反对铺张浪费</w:t>
      </w:r>
      <w:r>
        <w:rPr>
          <w:rFonts w:hint="eastAsia" w:ascii="仿宋" w:hAnsi="仿宋" w:eastAsia="仿宋"/>
          <w:sz w:val="32"/>
          <w:szCs w:val="32"/>
        </w:rPr>
        <w:t>的各项要求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2"/>
          <w:szCs w:val="32"/>
        </w:rPr>
        <w:t>勤俭办校，</w:t>
      </w:r>
      <w:r>
        <w:rPr>
          <w:rFonts w:hint="eastAsia" w:ascii="仿宋" w:hAnsi="仿宋" w:eastAsia="仿宋"/>
          <w:sz w:val="30"/>
          <w:szCs w:val="30"/>
        </w:rPr>
        <w:t>压缩一般性支出预算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53.80</w:t>
      </w:r>
      <w:r>
        <w:rPr>
          <w:rFonts w:hint="eastAsia" w:ascii="仿宋" w:hAnsi="仿宋" w:eastAsia="仿宋"/>
          <w:sz w:val="30"/>
          <w:szCs w:val="30"/>
        </w:rPr>
        <w:t>万元。持续加大</w:t>
      </w:r>
      <w:r>
        <w:rPr>
          <w:rFonts w:hint="eastAsia" w:ascii="仿宋" w:hAnsi="仿宋" w:eastAsia="仿宋"/>
          <w:sz w:val="32"/>
          <w:szCs w:val="32"/>
        </w:rPr>
        <w:t>对消费性支出的监管，紧缩办公经费，严控“三公”经费，精简办文办会，确保财政资金规范使用，</w:t>
      </w:r>
      <w:r>
        <w:rPr>
          <w:rFonts w:hint="eastAsia" w:ascii="仿宋" w:hAnsi="仿宋" w:eastAsia="仿宋"/>
          <w:sz w:val="30"/>
          <w:szCs w:val="30"/>
        </w:rPr>
        <w:t>提高支出的实效性。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4、项目支出管理情况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2019年项目经费预算执行率为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98.59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%，主要包括：专项办学经费、科研课题经费、离休人员医疗经费、出国（境）经费以及办公设备购置等，除出国（境）经费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5.00万元，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其他项目经费均依规如时完成。项目管理的主要措施有：</w:t>
      </w:r>
    </w:p>
    <w:p>
      <w:pPr>
        <w:spacing w:line="360" w:lineRule="auto"/>
        <w:ind w:firstLine="480" w:firstLineChars="15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（1）</w:t>
      </w:r>
      <w:r>
        <w:rPr>
          <w:rFonts w:hint="eastAsia" w:ascii="仿宋" w:hAnsi="仿宋" w:eastAsia="仿宋"/>
          <w:sz w:val="32"/>
          <w:szCs w:val="32"/>
        </w:rPr>
        <w:t>分解和落实项目责任，严格按合同和相关制度、管理办法对项目全过程进行跟踪监管，严把项目预算关、审核关和验收关，确保项目资金规范使用，真正取得实效。</w:t>
      </w:r>
    </w:p>
    <w:p>
      <w:pPr>
        <w:spacing w:line="360" w:lineRule="auto"/>
        <w:ind w:firstLine="480" w:firstLineChars="15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（2）按照“过紧日子”的要求，从严从紧购置办公设备。</w:t>
      </w:r>
    </w:p>
    <w:p>
      <w:pPr>
        <w:spacing w:line="360" w:lineRule="auto"/>
        <w:ind w:firstLine="480" w:firstLineChars="15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（3）逐步完善绩效评价体系，强化对资金</w:t>
      </w:r>
      <w:r>
        <w:rPr>
          <w:rFonts w:hint="eastAsia" w:ascii="仿宋" w:hAnsi="仿宋" w:eastAsia="仿宋"/>
          <w:sz w:val="32"/>
          <w:szCs w:val="32"/>
        </w:rPr>
        <w:t>运行和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使用效果的</w:t>
      </w:r>
      <w:r>
        <w:rPr>
          <w:rFonts w:hint="eastAsia" w:ascii="仿宋" w:hAnsi="仿宋" w:eastAsia="仿宋"/>
          <w:sz w:val="32"/>
          <w:szCs w:val="32"/>
        </w:rPr>
        <w:t>跟踪监控管理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，确保财政资金使用效益。</w:t>
      </w:r>
    </w:p>
    <w:p>
      <w:pPr>
        <w:spacing w:line="360" w:lineRule="auto"/>
        <w:ind w:firstLine="480" w:firstLineChars="150"/>
        <w:rPr>
          <w:rFonts w:ascii="楷体" w:hAnsi="楷体" w:eastAsia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32"/>
          <w:szCs w:val="32"/>
          <w:shd w:val="clear" w:color="auto" w:fill="FFFFFF"/>
        </w:rPr>
        <w:t>5、可持续性情况</w:t>
      </w:r>
    </w:p>
    <w:p>
      <w:pPr>
        <w:spacing w:line="360" w:lineRule="auto"/>
        <w:ind w:firstLine="480" w:firstLineChars="15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2019年投资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296.28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万元对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原省直党校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学员住宿楼进行了维修改造，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学员住宿条件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明显改观，教学环境明显优化，办学可持续能力进一步增强。</w:t>
      </w:r>
    </w:p>
    <w:p>
      <w:pPr>
        <w:spacing w:line="360" w:lineRule="auto"/>
        <w:ind w:firstLine="482" w:firstLineChars="15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（三）履职履责、履职效益情况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2019年，校（院）以预算绩效为目标，以内控建设为抓手，科学、合理编制预算，规范财务管理，严格预算执行，履职成效明显，圆满完成了年度各项工作任务和绩效目标。</w:t>
      </w:r>
      <w:r>
        <w:rPr>
          <w:rFonts w:hint="eastAsia" w:ascii="仿宋" w:hAnsi="仿宋" w:eastAsia="仿宋" w:cs="仿宋_GB2312"/>
          <w:sz w:val="32"/>
          <w:szCs w:val="32"/>
        </w:rPr>
        <w:t>在2019年省直和中央在湘有关单位绩效评估中被省委省政府评为优秀单位。年度整体支出绩效自评得分9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分。</w:t>
      </w:r>
    </w:p>
    <w:p>
      <w:pPr>
        <w:autoSpaceDN w:val="0"/>
        <w:spacing w:line="560" w:lineRule="exact"/>
        <w:ind w:right="4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原省直机关党校</w:t>
      </w:r>
      <w:r>
        <w:rPr>
          <w:rFonts w:hint="eastAsia" w:ascii="仿宋" w:hAnsi="仿宋" w:eastAsia="仿宋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举办处级干部进修班、省直科级干部培训班、党支部书记培训班等主体班次15个，培训学员839人次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高质量完成了省委组织部下达的干部调训计划和各项培训任务，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受到领导和学员的一致好评。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科研智库成效明显。</w:t>
      </w:r>
      <w:r>
        <w:rPr>
          <w:rFonts w:hint="eastAsia" w:ascii="仿宋" w:hAnsi="仿宋" w:eastAsia="仿宋"/>
          <w:sz w:val="32"/>
          <w:szCs w:val="32"/>
        </w:rPr>
        <w:t>全年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课题结项12项，其中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省部级课题结项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其他横向课题结项8项；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出版学术专著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在省级以上刊物发表论文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篇，其中《人民日报》《光明日报》《经济日报》等中央党报党刊发表文章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篇，在CSSCI和核心期刊刊物发表论文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篇，被《新华文摘》《人大复印资料》《红旗文摘》转载摘编共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其他一般报刊88篇。</w:t>
      </w:r>
    </w:p>
    <w:p>
      <w:pPr>
        <w:spacing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七、存在的主要问题、原因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预算存在追加调整情况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因机构改革等原因2019年度除了财政厅正常追加的工资性预算指标，原省直党校根据实际情况另追加了部分人员经费。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预算绩效评价结果应用不充分。因对预算绩效管理研究不深，校内绩效考核指标不够细化和量化，预算绩效评价结果应用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在提高预算执行率，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优化资源配置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提高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工作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效能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以及</w:t>
      </w:r>
      <w:r>
        <w:rPr>
          <w:rFonts w:hint="eastAsia" w:ascii="仿宋" w:hAnsi="仿宋" w:eastAsia="仿宋"/>
          <w:color w:val="000000"/>
          <w:sz w:val="32"/>
          <w:szCs w:val="32"/>
        </w:rPr>
        <w:t>履职问责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方面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的作用发挥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欠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充分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b/>
          <w:bCs/>
          <w:sz w:val="32"/>
          <w:szCs w:val="32"/>
        </w:rPr>
        <w:t>下一步改进措施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300" w:afterAutospacing="0" w:line="33" w:lineRule="atLeast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校（院）将强化财务人员的业务学习，提高预算编制质量和水平，减少预算调整，确保预算的严肃性和规范性，强化预算约束。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300" w:afterAutospacing="0" w:line="33" w:lineRule="atLeast"/>
        <w:ind w:left="0" w:right="0" w:firstLine="42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</w:rPr>
        <w:t>）完善项目绩效管理办法，落实项目绩效管理责任，严格项目管控过程，加快项目推进进度，建立自评与他评相结合的评价机制，提高绩效考核结果对预算编制的指挥作用。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建立权责统一的管理办法。</w:t>
      </w:r>
    </w:p>
    <w:p>
      <w:pPr>
        <w:pStyle w:val="11"/>
        <w:numPr>
          <w:numId w:val="0"/>
        </w:numPr>
        <w:spacing w:line="360" w:lineRule="auto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/>
          <w:b/>
          <w:bCs/>
          <w:sz w:val="32"/>
          <w:szCs w:val="32"/>
        </w:rPr>
        <w:t>绩效自评结果拟应用和公开情况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校（院）拟按照无效问责、低效减资的原则，将绩效评价自评结果融入到预算编制、年度考核等日常管理中，切实增强财政资金使用效益，提高单位管理水平。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自评报告拟在2020年6月30日前在校（院）门户网站上公开。</w:t>
      </w:r>
    </w:p>
    <w:p/>
    <w:sectPr>
      <w:pgSz w:w="11906" w:h="16838"/>
      <w:pgMar w:top="1327" w:right="1701" w:bottom="1327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312"/>
    <w:rsid w:val="00034BF6"/>
    <w:rsid w:val="000362FC"/>
    <w:rsid w:val="0004085C"/>
    <w:rsid w:val="00041568"/>
    <w:rsid w:val="00081C3C"/>
    <w:rsid w:val="000925CB"/>
    <w:rsid w:val="000E0AF1"/>
    <w:rsid w:val="00106B29"/>
    <w:rsid w:val="001110F9"/>
    <w:rsid w:val="00111557"/>
    <w:rsid w:val="0012784A"/>
    <w:rsid w:val="001442F4"/>
    <w:rsid w:val="001519F6"/>
    <w:rsid w:val="00163BCC"/>
    <w:rsid w:val="00180BFE"/>
    <w:rsid w:val="002216F3"/>
    <w:rsid w:val="002358CC"/>
    <w:rsid w:val="00266F17"/>
    <w:rsid w:val="00276C26"/>
    <w:rsid w:val="00296EAD"/>
    <w:rsid w:val="003212B4"/>
    <w:rsid w:val="00404B7F"/>
    <w:rsid w:val="00411C34"/>
    <w:rsid w:val="004348CA"/>
    <w:rsid w:val="004B1654"/>
    <w:rsid w:val="004C094A"/>
    <w:rsid w:val="004D71C6"/>
    <w:rsid w:val="005149B0"/>
    <w:rsid w:val="005163E2"/>
    <w:rsid w:val="005616E2"/>
    <w:rsid w:val="005A0845"/>
    <w:rsid w:val="005C6935"/>
    <w:rsid w:val="005E4D35"/>
    <w:rsid w:val="006A717C"/>
    <w:rsid w:val="006B7416"/>
    <w:rsid w:val="006D4F48"/>
    <w:rsid w:val="00707196"/>
    <w:rsid w:val="007173C6"/>
    <w:rsid w:val="00723B78"/>
    <w:rsid w:val="00784220"/>
    <w:rsid w:val="007E0312"/>
    <w:rsid w:val="007E5892"/>
    <w:rsid w:val="007F1D87"/>
    <w:rsid w:val="00806885"/>
    <w:rsid w:val="0082691D"/>
    <w:rsid w:val="0087068A"/>
    <w:rsid w:val="0088482C"/>
    <w:rsid w:val="0088702A"/>
    <w:rsid w:val="00890257"/>
    <w:rsid w:val="00897A48"/>
    <w:rsid w:val="008A3E01"/>
    <w:rsid w:val="008C4A42"/>
    <w:rsid w:val="008E7BE3"/>
    <w:rsid w:val="00913A9D"/>
    <w:rsid w:val="00922CFE"/>
    <w:rsid w:val="009435F5"/>
    <w:rsid w:val="0094738E"/>
    <w:rsid w:val="00956E34"/>
    <w:rsid w:val="0096304F"/>
    <w:rsid w:val="0099157B"/>
    <w:rsid w:val="009C3832"/>
    <w:rsid w:val="009E42A6"/>
    <w:rsid w:val="00A126C6"/>
    <w:rsid w:val="00A41547"/>
    <w:rsid w:val="00A53E41"/>
    <w:rsid w:val="00B037E6"/>
    <w:rsid w:val="00B70F11"/>
    <w:rsid w:val="00B97CF9"/>
    <w:rsid w:val="00BD0FBD"/>
    <w:rsid w:val="00BF29C5"/>
    <w:rsid w:val="00C00E30"/>
    <w:rsid w:val="00C61B4E"/>
    <w:rsid w:val="00C706E1"/>
    <w:rsid w:val="00C96AC5"/>
    <w:rsid w:val="00CA63A5"/>
    <w:rsid w:val="00CB11A7"/>
    <w:rsid w:val="00D025A1"/>
    <w:rsid w:val="00D252D5"/>
    <w:rsid w:val="00D356BA"/>
    <w:rsid w:val="00D42F21"/>
    <w:rsid w:val="00D80CB8"/>
    <w:rsid w:val="00D81B74"/>
    <w:rsid w:val="00DB3B40"/>
    <w:rsid w:val="00DB4548"/>
    <w:rsid w:val="00E05955"/>
    <w:rsid w:val="00E21357"/>
    <w:rsid w:val="00E80DA6"/>
    <w:rsid w:val="00E86EA4"/>
    <w:rsid w:val="00EE70E9"/>
    <w:rsid w:val="00EF75F6"/>
    <w:rsid w:val="00F13AEF"/>
    <w:rsid w:val="00F515AC"/>
    <w:rsid w:val="00F825AE"/>
    <w:rsid w:val="00F82787"/>
    <w:rsid w:val="00FD4FBC"/>
    <w:rsid w:val="00FF4A88"/>
    <w:rsid w:val="029D5BD0"/>
    <w:rsid w:val="093809A6"/>
    <w:rsid w:val="09C8267D"/>
    <w:rsid w:val="0A3C3CDD"/>
    <w:rsid w:val="0B9E2289"/>
    <w:rsid w:val="0C8E39DE"/>
    <w:rsid w:val="0C931125"/>
    <w:rsid w:val="0D2203C4"/>
    <w:rsid w:val="0DB743F7"/>
    <w:rsid w:val="106D22B1"/>
    <w:rsid w:val="10A6660A"/>
    <w:rsid w:val="10C266A3"/>
    <w:rsid w:val="133953A6"/>
    <w:rsid w:val="14A52B3E"/>
    <w:rsid w:val="16453EEC"/>
    <w:rsid w:val="1BD01C37"/>
    <w:rsid w:val="215323FE"/>
    <w:rsid w:val="216760E8"/>
    <w:rsid w:val="23E47479"/>
    <w:rsid w:val="254F3BAB"/>
    <w:rsid w:val="27EF6BF7"/>
    <w:rsid w:val="286C6B92"/>
    <w:rsid w:val="2966666F"/>
    <w:rsid w:val="31380204"/>
    <w:rsid w:val="313862ED"/>
    <w:rsid w:val="3581102F"/>
    <w:rsid w:val="35D7544B"/>
    <w:rsid w:val="37992D99"/>
    <w:rsid w:val="37C81CDC"/>
    <w:rsid w:val="3F3E35D9"/>
    <w:rsid w:val="3F4B46E5"/>
    <w:rsid w:val="3F5C56B0"/>
    <w:rsid w:val="43396E1A"/>
    <w:rsid w:val="44F77E73"/>
    <w:rsid w:val="477A0E8F"/>
    <w:rsid w:val="47AD2412"/>
    <w:rsid w:val="51FB5737"/>
    <w:rsid w:val="52E37711"/>
    <w:rsid w:val="59E545EE"/>
    <w:rsid w:val="5A3B276C"/>
    <w:rsid w:val="5C8E26BB"/>
    <w:rsid w:val="5DF8597C"/>
    <w:rsid w:val="5E6C53B6"/>
    <w:rsid w:val="60AC1CDC"/>
    <w:rsid w:val="61356497"/>
    <w:rsid w:val="631E7A72"/>
    <w:rsid w:val="64F139B2"/>
    <w:rsid w:val="681268D7"/>
    <w:rsid w:val="69A30F9C"/>
    <w:rsid w:val="69BB404D"/>
    <w:rsid w:val="72655AB6"/>
    <w:rsid w:val="73847461"/>
    <w:rsid w:val="75464064"/>
    <w:rsid w:val="794F2CBF"/>
    <w:rsid w:val="7ACC2327"/>
    <w:rsid w:val="7BE210B9"/>
    <w:rsid w:val="7D1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link w:val="14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正文首行缩进 2 Char"/>
    <w:basedOn w:val="13"/>
    <w:link w:val="6"/>
    <w:qFormat/>
    <w:uiPriority w:val="99"/>
  </w:style>
  <w:style w:type="character" w:customStyle="1" w:styleId="13">
    <w:name w:val="正文文本缩进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2 Char1"/>
    <w:basedOn w:val="13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837</Words>
  <Characters>4775</Characters>
  <Lines>39</Lines>
  <Paragraphs>11</Paragraphs>
  <TotalTime>8</TotalTime>
  <ScaleCrop>false</ScaleCrop>
  <LinksUpToDate>false</LinksUpToDate>
  <CharactersWithSpaces>5601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2020-06-05T01:19:00Z</dcterms:created>
  <dc:creator>User</dc:creator>
  <cp:lastModifiedBy>HP</cp:lastModifiedBy>
  <dcterms:modified xsi:type="dcterms:W3CDTF">2020-06-12T00:41:05Z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