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0" w:lineRule="exact"/>
        <w:jc w:val="center"/>
        <w:rPr>
          <w:rFonts w:ascii="黑体" w:hAnsi="黑体" w:eastAsia="黑体" w:cs="Times New Roman"/>
          <w:b/>
          <w:bCs/>
          <w:kern w:val="0"/>
          <w:sz w:val="36"/>
          <w:szCs w:val="36"/>
        </w:rPr>
      </w:pPr>
      <w:r>
        <w:rPr>
          <w:rFonts w:hint="eastAsia" w:ascii="黑体" w:hAnsi="黑体" w:eastAsia="黑体" w:cs="Times New Roman"/>
          <w:b/>
          <w:bCs/>
          <w:kern w:val="0"/>
          <w:sz w:val="36"/>
          <w:szCs w:val="36"/>
        </w:rPr>
        <w:t>中共湖南省委党校硕士研究</w:t>
      </w:r>
      <w:bookmarkStart w:id="0" w:name="_GoBack"/>
      <w:bookmarkEnd w:id="0"/>
      <w:r>
        <w:rPr>
          <w:rFonts w:hint="eastAsia" w:ascii="黑体" w:hAnsi="黑体" w:eastAsia="黑体" w:cs="Times New Roman"/>
          <w:b/>
          <w:bCs/>
          <w:kern w:val="0"/>
          <w:sz w:val="36"/>
          <w:szCs w:val="36"/>
        </w:rPr>
        <w:t>生学业奖学金评审细则</w:t>
      </w:r>
    </w:p>
    <w:p>
      <w:pPr>
        <w:widowControl/>
        <w:spacing w:line="324" w:lineRule="atLeast"/>
        <w:ind w:firstLine="384"/>
        <w:jc w:val="center"/>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(202</w:t>
      </w:r>
      <w:r>
        <w:rPr>
          <w:rFonts w:hint="eastAsia" w:ascii="宋体" w:hAnsi="宋体" w:eastAsia="宋体" w:cs="宋体"/>
          <w:kern w:val="0"/>
          <w:sz w:val="28"/>
          <w:szCs w:val="28"/>
          <w:shd w:val="clear" w:color="auto" w:fill="FFFFFF"/>
          <w:lang w:val="en-US" w:eastAsia="zh-CN"/>
        </w:rPr>
        <w:t>1</w:t>
      </w:r>
      <w:r>
        <w:rPr>
          <w:rFonts w:hint="eastAsia" w:ascii="宋体" w:hAnsi="宋体" w:eastAsia="宋体" w:cs="宋体"/>
          <w:kern w:val="0"/>
          <w:sz w:val="28"/>
          <w:szCs w:val="28"/>
          <w:shd w:val="clear" w:color="auto" w:fill="FFFFFF"/>
        </w:rPr>
        <w:t>年</w:t>
      </w:r>
      <w:r>
        <w:rPr>
          <w:rFonts w:hint="eastAsia" w:ascii="宋体" w:hAnsi="宋体" w:eastAsia="宋体" w:cs="宋体"/>
          <w:kern w:val="0"/>
          <w:sz w:val="28"/>
          <w:szCs w:val="28"/>
          <w:shd w:val="clear" w:color="auto" w:fill="FFFFFF"/>
          <w:lang w:val="en-US" w:eastAsia="zh-CN"/>
        </w:rPr>
        <w:t>12</w:t>
      </w:r>
      <w:r>
        <w:rPr>
          <w:rFonts w:hint="eastAsia" w:ascii="宋体" w:hAnsi="宋体" w:eastAsia="宋体" w:cs="宋体"/>
          <w:kern w:val="0"/>
          <w:sz w:val="28"/>
          <w:szCs w:val="28"/>
          <w:shd w:val="clear" w:color="auto" w:fill="FFFFFF"/>
        </w:rPr>
        <w:t>月</w:t>
      </w:r>
      <w:r>
        <w:rPr>
          <w:rFonts w:hint="eastAsia" w:ascii="宋体" w:hAnsi="宋体" w:eastAsia="宋体" w:cs="宋体"/>
          <w:kern w:val="0"/>
          <w:sz w:val="28"/>
          <w:szCs w:val="28"/>
          <w:shd w:val="clear" w:color="auto" w:fill="FFFFFF"/>
          <w:lang w:val="en-US" w:eastAsia="zh-CN"/>
        </w:rPr>
        <w:t>1</w:t>
      </w:r>
      <w:r>
        <w:rPr>
          <w:rFonts w:hint="eastAsia" w:ascii="宋体" w:hAnsi="宋体" w:eastAsia="宋体" w:cs="宋体"/>
          <w:kern w:val="0"/>
          <w:sz w:val="28"/>
          <w:szCs w:val="28"/>
          <w:shd w:val="clear" w:color="auto" w:fill="FFFFFF"/>
        </w:rPr>
        <w:t>日修订）</w:t>
      </w:r>
    </w:p>
    <w:p>
      <w:pPr>
        <w:widowControl/>
        <w:spacing w:line="380" w:lineRule="exact"/>
        <w:rPr>
          <w:rFonts w:cs="Times New Roman" w:asciiTheme="minorEastAsia" w:hAnsiTheme="minorEastAsia"/>
          <w:kern w:val="0"/>
          <w:sz w:val="24"/>
          <w:szCs w:val="24"/>
        </w:rPr>
      </w:pP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为进一步规范硕士研究生学业奖学金评定依据及审核标准，保证硕士研究生学业奖学金评审工作的公平、公正，按照国家及学校相关文件精神，结合我校实际情况制定本细则。</w:t>
      </w:r>
    </w:p>
    <w:p>
      <w:pPr>
        <w:widowControl/>
        <w:shd w:val="clear" w:color="auto" w:fill="FFFFFF"/>
        <w:spacing w:line="380" w:lineRule="exact"/>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一、适用范围</w:t>
      </w:r>
    </w:p>
    <w:p>
      <w:pPr>
        <w:widowControl/>
        <w:shd w:val="clear" w:color="auto" w:fill="FFFFFF"/>
        <w:spacing w:line="380" w:lineRule="exact"/>
        <w:ind w:firstLine="480" w:firstLineChars="200"/>
        <w:jc w:val="left"/>
        <w:rPr>
          <w:rFonts w:cs="宋体" w:asciiTheme="minorEastAsia" w:hAnsiTheme="minorEastAsia"/>
          <w:bCs/>
          <w:kern w:val="0"/>
          <w:sz w:val="24"/>
          <w:szCs w:val="24"/>
        </w:rPr>
      </w:pPr>
      <w:r>
        <w:rPr>
          <w:rFonts w:hint="eastAsia" w:cs="Times New Roman" w:asciiTheme="minorEastAsia" w:hAnsiTheme="minorEastAsia"/>
          <w:kern w:val="0"/>
          <w:sz w:val="24"/>
          <w:szCs w:val="24"/>
        </w:rPr>
        <w:t>本细则适用于硕士研究生二、三年级学生申请学业奖学金的评审工作。</w:t>
      </w:r>
    </w:p>
    <w:p>
      <w:pPr>
        <w:widowControl/>
        <w:shd w:val="clear" w:color="auto" w:fill="FFFFFF"/>
        <w:spacing w:line="380" w:lineRule="exact"/>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二、评审办法</w:t>
      </w:r>
    </w:p>
    <w:p>
      <w:pPr>
        <w:widowControl/>
        <w:spacing w:line="380" w:lineRule="exact"/>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（一）对于符合申请学业奖学金条件的硕士研究生采用量化计分办法，主要考察其上一学年（</w:t>
      </w:r>
      <w:r>
        <w:rPr>
          <w:rFonts w:hint="eastAsia" w:cs="宋体" w:asciiTheme="minorEastAsia" w:hAnsiTheme="minorEastAsia"/>
          <w:kern w:val="0"/>
          <w:sz w:val="24"/>
          <w:szCs w:val="24"/>
          <w:shd w:val="clear" w:color="auto" w:fill="FFFFFF"/>
        </w:rPr>
        <w:t>截止时间为上一年9月1日至参评当年8月31日</w:t>
      </w:r>
      <w:r>
        <w:rPr>
          <w:rFonts w:hint="eastAsia" w:cs="Times New Roman" w:asciiTheme="minorEastAsia" w:hAnsiTheme="minorEastAsia"/>
          <w:kern w:val="0"/>
          <w:sz w:val="24"/>
          <w:szCs w:val="24"/>
        </w:rPr>
        <w:t>）的学习成绩、科研成果、综合素质与现实表现、导师评价、家庭经济状况等项指标，按照总分从高到低排序，根据评奖比例确定等级。如毕业班学生论文被录用但在评审期间未见刊，应提供报刊录用的有效书面证明(收到录用通知时间不晚于当年8月31日)。</w:t>
      </w:r>
    </w:p>
    <w:p>
      <w:pPr>
        <w:widowControl/>
        <w:spacing w:line="380" w:lineRule="exact"/>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（二）一等奖学金评定条件：</w:t>
      </w:r>
    </w:p>
    <w:p>
      <w:pPr>
        <w:widowControl/>
        <w:spacing w:line="380" w:lineRule="exact"/>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1.各科目原始成绩平均分不低于85分；</w:t>
      </w:r>
    </w:p>
    <w:p>
      <w:pPr>
        <w:widowControl/>
        <w:spacing w:line="380" w:lineRule="exact"/>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2.三年级学术型硕士在学习期间公开发表1篇</w:t>
      </w:r>
      <w:r>
        <w:rPr>
          <w:rFonts w:hint="eastAsia" w:cs="Times New Roman" w:asciiTheme="minorEastAsia" w:hAnsiTheme="minorEastAsia"/>
          <w:kern w:val="0"/>
          <w:sz w:val="24"/>
          <w:szCs w:val="24"/>
          <w:lang w:eastAsia="zh-CN"/>
        </w:rPr>
        <w:t>以上</w:t>
      </w:r>
      <w:r>
        <w:rPr>
          <w:rFonts w:hint="eastAsia" w:cs="Times New Roman" w:asciiTheme="minorEastAsia" w:hAnsiTheme="minorEastAsia"/>
          <w:kern w:val="0"/>
          <w:sz w:val="24"/>
          <w:szCs w:val="24"/>
        </w:rPr>
        <w:t>论文；</w:t>
      </w:r>
    </w:p>
    <w:p>
      <w:pPr>
        <w:widowControl/>
        <w:spacing w:line="380" w:lineRule="exact"/>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3.对在科研方面取得较高档次成果或奖励，且符合申请学业奖学金条件的硕士研究生，不受以上1、2项条件限制，经审核后可以直接评定为一等奖学金。</w:t>
      </w:r>
    </w:p>
    <w:p>
      <w:pPr>
        <w:widowControl/>
        <w:shd w:val="clear" w:color="auto" w:fill="FFFFFF"/>
        <w:spacing w:line="380" w:lineRule="exact"/>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三、评定标准</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按以下指标体系进行综合计分，若出现总分相同者，则由学业奖学金评审委员会进行会议评审后确定获奖等级。</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（一）评分指标I</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1.评分指标由五部分组成，分别是申请人的学习成绩（S：百分制）、科研成果（A）、综合素质与现实表现（C）、导师评价（T）、家庭经济状况（F）。</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2.评分指标I = S+A+C+T+F，计算结果四舍五入，保留二位小数。</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（二）学习成绩（S）</w:t>
      </w:r>
    </w:p>
    <w:p>
      <w:pPr>
        <w:widowControl/>
        <w:spacing w:line="380" w:lineRule="exact"/>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1.学习成绩（S）={∑（各门课程成绩 </w:t>
      </w:r>
      <w:r>
        <w:rPr>
          <w:rFonts w:hint="eastAsia" w:cs="Times New Roman" w:asciiTheme="minorEastAsia" w:hAnsiTheme="minorEastAsia"/>
          <w:kern w:val="0"/>
          <w:sz w:val="24"/>
          <w:szCs w:val="24"/>
        </w:rPr>
        <w:sym w:font="Symbol" w:char="F0B4"/>
      </w:r>
      <w:r>
        <w:rPr>
          <w:rFonts w:hint="eastAsia" w:cs="Times New Roman" w:asciiTheme="minorEastAsia" w:hAnsiTheme="minorEastAsia"/>
          <w:kern w:val="0"/>
          <w:sz w:val="24"/>
          <w:szCs w:val="24"/>
        </w:rPr>
        <w:t xml:space="preserve"> 对应的学分）}/参评学年全部课程总学分</w:t>
      </w:r>
    </w:p>
    <w:p>
      <w:pPr>
        <w:widowControl/>
        <w:spacing w:line="380" w:lineRule="exact"/>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2.各专业公共课、法律专业硕士的全部课程、公共管理和社会工作专业硕士的必修课成绩以实际分数计算。</w:t>
      </w:r>
    </w:p>
    <w:p>
      <w:pPr>
        <w:widowControl/>
        <w:spacing w:line="380" w:lineRule="exact"/>
        <w:ind w:firstLine="480" w:firstLineChars="200"/>
        <w:rPr>
          <w:rFonts w:cs="Times New Roman" w:asciiTheme="minorEastAsia" w:hAnsiTheme="minorEastAsia"/>
          <w:kern w:val="0"/>
          <w:sz w:val="24"/>
          <w:szCs w:val="24"/>
        </w:rPr>
      </w:pPr>
      <w:r>
        <w:rPr>
          <w:rFonts w:hint="eastAsia" w:cs="宋体" w:asciiTheme="minorEastAsia" w:hAnsiTheme="minorEastAsia"/>
          <w:kern w:val="0"/>
          <w:sz w:val="24"/>
          <w:szCs w:val="24"/>
        </w:rPr>
        <w:t>3.</w:t>
      </w:r>
      <w:r>
        <w:rPr>
          <w:rFonts w:hint="eastAsia" w:cs="Times New Roman" w:asciiTheme="minorEastAsia" w:hAnsiTheme="minorEastAsia"/>
          <w:kern w:val="0"/>
          <w:sz w:val="24"/>
          <w:szCs w:val="24"/>
        </w:rPr>
        <w:t>学术型硕士的专业必修课、选修课，公共管理专业硕士、社会工作专业硕士的选修课成绩需进行转化并以转化后的分数进行计算：课程成绩85分以上为优秀计85分，75至84分为良好计80分，60至74分为及格计75分。</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4.各科成绩均以百分制计算，以培养单位加盖公章的成绩单为准。</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（三）科研成果（A）</w:t>
      </w:r>
    </w:p>
    <w:p>
      <w:pPr>
        <w:widowControl/>
        <w:shd w:val="clear" w:color="auto" w:fill="FFFFFF"/>
        <w:spacing w:line="380" w:lineRule="exact"/>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科研成果（A）</w:t>
      </w:r>
      <w:r>
        <w:rPr>
          <w:rFonts w:cs="Times New Roman" w:asciiTheme="minorEastAsia" w:hAnsiTheme="minorEastAsia"/>
          <w:bCs/>
          <w:kern w:val="0"/>
          <w:sz w:val="24"/>
          <w:szCs w:val="24"/>
        </w:rPr>
        <w:t>=∑</w:t>
      </w:r>
      <w:r>
        <w:rPr>
          <w:rFonts w:hint="eastAsia" w:cs="宋体" w:asciiTheme="minorEastAsia" w:hAnsiTheme="minorEastAsia"/>
          <w:bCs/>
          <w:kern w:val="0"/>
          <w:sz w:val="24"/>
          <w:szCs w:val="24"/>
        </w:rPr>
        <w:t>各科研成果赋分</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1.科研项目</w:t>
      </w:r>
    </w:p>
    <w:tbl>
      <w:tblPr>
        <w:tblStyle w:val="6"/>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4961"/>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1418" w:type="dxa"/>
            <w:vMerge w:val="restart"/>
            <w:vAlign w:val="center"/>
          </w:tcPr>
          <w:p>
            <w:pPr>
              <w:widowControl/>
              <w:spacing w:line="38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成果级别</w:t>
            </w:r>
          </w:p>
        </w:tc>
        <w:tc>
          <w:tcPr>
            <w:tcW w:w="4961" w:type="dxa"/>
            <w:vMerge w:val="restart"/>
            <w:vAlign w:val="center"/>
          </w:tcPr>
          <w:p>
            <w:pPr>
              <w:widowControl/>
              <w:spacing w:line="38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成果类别</w:t>
            </w:r>
          </w:p>
        </w:tc>
        <w:tc>
          <w:tcPr>
            <w:tcW w:w="2551" w:type="dxa"/>
            <w:gridSpan w:val="3"/>
            <w:vAlign w:val="center"/>
          </w:tcPr>
          <w:p>
            <w:pPr>
              <w:spacing w:line="38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18" w:type="dxa"/>
            <w:vMerge w:val="continue"/>
            <w:vAlign w:val="center"/>
          </w:tcPr>
          <w:p>
            <w:pPr>
              <w:widowControl/>
              <w:spacing w:line="380" w:lineRule="exact"/>
              <w:jc w:val="center"/>
              <w:rPr>
                <w:rFonts w:cs="宋体" w:asciiTheme="minorEastAsia" w:hAnsiTheme="minorEastAsia"/>
                <w:b/>
                <w:kern w:val="0"/>
                <w:sz w:val="24"/>
                <w:szCs w:val="24"/>
              </w:rPr>
            </w:pPr>
          </w:p>
        </w:tc>
        <w:tc>
          <w:tcPr>
            <w:tcW w:w="4961" w:type="dxa"/>
            <w:vMerge w:val="continue"/>
            <w:vAlign w:val="center"/>
          </w:tcPr>
          <w:p>
            <w:pPr>
              <w:widowControl/>
              <w:spacing w:line="380" w:lineRule="exact"/>
              <w:jc w:val="center"/>
              <w:rPr>
                <w:rFonts w:cs="宋体" w:asciiTheme="minorEastAsia" w:hAnsiTheme="minorEastAsia"/>
                <w:b/>
                <w:kern w:val="0"/>
                <w:sz w:val="24"/>
                <w:szCs w:val="24"/>
              </w:rPr>
            </w:pPr>
          </w:p>
        </w:tc>
        <w:tc>
          <w:tcPr>
            <w:tcW w:w="850" w:type="dxa"/>
            <w:vAlign w:val="center"/>
          </w:tcPr>
          <w:p>
            <w:pPr>
              <w:spacing w:line="38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重大</w:t>
            </w:r>
          </w:p>
        </w:tc>
        <w:tc>
          <w:tcPr>
            <w:tcW w:w="851" w:type="dxa"/>
            <w:vAlign w:val="center"/>
          </w:tcPr>
          <w:p>
            <w:pPr>
              <w:spacing w:line="38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重点</w:t>
            </w:r>
          </w:p>
        </w:tc>
        <w:tc>
          <w:tcPr>
            <w:tcW w:w="850" w:type="dxa"/>
            <w:vAlign w:val="center"/>
          </w:tcPr>
          <w:p>
            <w:pPr>
              <w:spacing w:line="38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1418" w:type="dxa"/>
            <w:vAlign w:val="center"/>
          </w:tcPr>
          <w:p>
            <w:pPr>
              <w:widowControl/>
              <w:spacing w:line="380" w:lineRule="exact"/>
              <w:jc w:val="center"/>
              <w:rPr>
                <w:rFonts w:cs="宋体" w:asciiTheme="minorEastAsia" w:hAnsiTheme="minorEastAsia"/>
                <w:sz w:val="24"/>
                <w:szCs w:val="24"/>
              </w:rPr>
            </w:pPr>
            <w:r>
              <w:rPr>
                <w:rFonts w:hint="eastAsia" w:cs="宋体" w:asciiTheme="minorEastAsia" w:hAnsiTheme="minorEastAsia"/>
                <w:kern w:val="0"/>
                <w:sz w:val="24"/>
                <w:szCs w:val="24"/>
              </w:rPr>
              <w:t>国家级项目</w:t>
            </w:r>
          </w:p>
        </w:tc>
        <w:tc>
          <w:tcPr>
            <w:tcW w:w="4961" w:type="dxa"/>
            <w:vAlign w:val="center"/>
          </w:tcPr>
          <w:p>
            <w:pPr>
              <w:widowControl/>
              <w:spacing w:line="380" w:lineRule="exact"/>
              <w:jc w:val="left"/>
              <w:rPr>
                <w:rFonts w:cs="宋体" w:asciiTheme="minorEastAsia" w:hAnsiTheme="minorEastAsia"/>
                <w:sz w:val="24"/>
                <w:szCs w:val="24"/>
              </w:rPr>
            </w:pPr>
            <w:r>
              <w:rPr>
                <w:rFonts w:hint="eastAsia" w:cs="宋体" w:asciiTheme="minorEastAsia" w:hAnsiTheme="minorEastAsia"/>
                <w:kern w:val="0"/>
                <w:sz w:val="24"/>
                <w:szCs w:val="24"/>
              </w:rPr>
              <w:t>国家社科基金项目、国家自然科学基金项目、教育部人文社会科学研究项目、全国教科规划课题</w:t>
            </w:r>
          </w:p>
        </w:tc>
        <w:tc>
          <w:tcPr>
            <w:tcW w:w="850" w:type="dxa"/>
            <w:vAlign w:val="center"/>
          </w:tcPr>
          <w:p>
            <w:pPr>
              <w:widowControl/>
              <w:spacing w:line="380" w:lineRule="exact"/>
              <w:jc w:val="center"/>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150</w:t>
            </w:r>
          </w:p>
        </w:tc>
        <w:tc>
          <w:tcPr>
            <w:tcW w:w="851" w:type="dxa"/>
            <w:vAlign w:val="center"/>
          </w:tcPr>
          <w:p>
            <w:pPr>
              <w:spacing w:line="380" w:lineRule="exact"/>
              <w:jc w:val="center"/>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120</w:t>
            </w:r>
          </w:p>
        </w:tc>
        <w:tc>
          <w:tcPr>
            <w:tcW w:w="850" w:type="dxa"/>
            <w:vAlign w:val="center"/>
          </w:tcPr>
          <w:p>
            <w:pPr>
              <w:spacing w:line="380" w:lineRule="exact"/>
              <w:jc w:val="center"/>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rPr>
              <w:t>1</w:t>
            </w:r>
            <w:r>
              <w:rPr>
                <w:rFonts w:hint="eastAsia" w:cs="宋体" w:asciiTheme="minorEastAsia" w:hAnsiTheme="minorEastAsia"/>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 w:hRule="atLeast"/>
        </w:trPr>
        <w:tc>
          <w:tcPr>
            <w:tcW w:w="1418" w:type="dxa"/>
            <w:vAlign w:val="center"/>
          </w:tcPr>
          <w:p>
            <w:pPr>
              <w:widowControl/>
              <w:spacing w:line="380" w:lineRule="exact"/>
              <w:jc w:val="center"/>
              <w:rPr>
                <w:rFonts w:cs="宋体" w:asciiTheme="minorEastAsia" w:hAnsiTheme="minorEastAsia"/>
                <w:sz w:val="24"/>
                <w:szCs w:val="24"/>
              </w:rPr>
            </w:pPr>
            <w:r>
              <w:rPr>
                <w:rFonts w:hint="eastAsia" w:cs="宋体" w:asciiTheme="minorEastAsia" w:hAnsiTheme="minorEastAsia"/>
                <w:kern w:val="0"/>
                <w:sz w:val="24"/>
                <w:szCs w:val="24"/>
              </w:rPr>
              <w:t>省部级项目</w:t>
            </w:r>
          </w:p>
        </w:tc>
        <w:tc>
          <w:tcPr>
            <w:tcW w:w="4961" w:type="dxa"/>
            <w:vAlign w:val="center"/>
          </w:tcPr>
          <w:p>
            <w:pPr>
              <w:widowControl/>
              <w:spacing w:line="380" w:lineRule="exact"/>
              <w:jc w:val="left"/>
              <w:rPr>
                <w:rFonts w:cs="宋体" w:asciiTheme="minorEastAsia" w:hAnsiTheme="minorEastAsia"/>
                <w:sz w:val="24"/>
                <w:szCs w:val="24"/>
              </w:rPr>
            </w:pPr>
            <w:r>
              <w:rPr>
                <w:rFonts w:hint="eastAsia" w:cs="宋体" w:asciiTheme="minorEastAsia" w:hAnsiTheme="minorEastAsia"/>
                <w:kern w:val="0"/>
                <w:sz w:val="24"/>
                <w:szCs w:val="24"/>
              </w:rPr>
              <w:t>国家社科基金、国家自然科学基金重大项目的子项目、省社科基金项目、中央党校（国家行政学院）课题、省社科评审委员会课题、省自然科学基金项目、省科技厅相关专项项目、省教科规划课题等</w:t>
            </w:r>
          </w:p>
        </w:tc>
        <w:tc>
          <w:tcPr>
            <w:tcW w:w="850" w:type="dxa"/>
            <w:vAlign w:val="center"/>
          </w:tcPr>
          <w:p>
            <w:pPr>
              <w:widowControl/>
              <w:spacing w:line="380" w:lineRule="exact"/>
              <w:jc w:val="center"/>
              <w:rPr>
                <w:rFonts w:cs="宋体" w:asciiTheme="minorEastAsia" w:hAnsiTheme="minorEastAsia"/>
                <w:sz w:val="24"/>
                <w:szCs w:val="24"/>
              </w:rPr>
            </w:pPr>
            <w:r>
              <w:rPr>
                <w:rFonts w:hint="eastAsia" w:cs="宋体" w:asciiTheme="minorEastAsia" w:hAnsiTheme="minorEastAsia"/>
                <w:sz w:val="24"/>
                <w:szCs w:val="24"/>
              </w:rPr>
              <w:t>100</w:t>
            </w:r>
          </w:p>
        </w:tc>
        <w:tc>
          <w:tcPr>
            <w:tcW w:w="851" w:type="dxa"/>
            <w:vAlign w:val="center"/>
          </w:tcPr>
          <w:p>
            <w:pPr>
              <w:spacing w:line="380" w:lineRule="exact"/>
              <w:jc w:val="center"/>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80</w:t>
            </w:r>
          </w:p>
        </w:tc>
        <w:tc>
          <w:tcPr>
            <w:tcW w:w="850" w:type="dxa"/>
            <w:vAlign w:val="center"/>
          </w:tcPr>
          <w:p>
            <w:pPr>
              <w:spacing w:line="380" w:lineRule="exact"/>
              <w:jc w:val="center"/>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1418" w:type="dxa"/>
            <w:vAlign w:val="center"/>
          </w:tcPr>
          <w:p>
            <w:pPr>
              <w:widowControl/>
              <w:spacing w:line="380" w:lineRule="exact"/>
              <w:jc w:val="center"/>
              <w:rPr>
                <w:rFonts w:cs="宋体" w:asciiTheme="minorEastAsia" w:hAnsiTheme="minorEastAsia"/>
                <w:sz w:val="24"/>
                <w:szCs w:val="24"/>
              </w:rPr>
            </w:pPr>
            <w:r>
              <w:rPr>
                <w:rFonts w:hint="eastAsia" w:cs="宋体" w:asciiTheme="minorEastAsia" w:hAnsiTheme="minorEastAsia"/>
                <w:kern w:val="0"/>
                <w:sz w:val="24"/>
                <w:szCs w:val="24"/>
              </w:rPr>
              <w:t>厅局级项目</w:t>
            </w:r>
          </w:p>
        </w:tc>
        <w:tc>
          <w:tcPr>
            <w:tcW w:w="4961" w:type="dxa"/>
            <w:vAlign w:val="center"/>
          </w:tcPr>
          <w:p>
            <w:pPr>
              <w:widowControl/>
              <w:spacing w:line="380" w:lineRule="exact"/>
              <w:jc w:val="left"/>
              <w:rPr>
                <w:rFonts w:cs="宋体" w:asciiTheme="minorEastAsia" w:hAnsiTheme="minorEastAsia"/>
                <w:sz w:val="24"/>
                <w:szCs w:val="24"/>
              </w:rPr>
            </w:pPr>
            <w:r>
              <w:rPr>
                <w:rFonts w:hint="eastAsia" w:cs="宋体" w:asciiTheme="minorEastAsia" w:hAnsiTheme="minorEastAsia"/>
                <w:kern w:val="0"/>
                <w:sz w:val="24"/>
                <w:szCs w:val="24"/>
              </w:rPr>
              <w:t>校（院）级课题、全省党校（行政学院）系统课题、省委省政府各部门、市州党委政府课题、校（院）学术委员会批准的其他课题等</w:t>
            </w:r>
          </w:p>
        </w:tc>
        <w:tc>
          <w:tcPr>
            <w:tcW w:w="850" w:type="dxa"/>
            <w:vAlign w:val="center"/>
          </w:tcPr>
          <w:p>
            <w:pPr>
              <w:widowControl/>
              <w:spacing w:line="380" w:lineRule="exact"/>
              <w:jc w:val="center"/>
              <w:rPr>
                <w:rFonts w:cs="宋体" w:asciiTheme="minorEastAsia" w:hAnsiTheme="minorEastAsia"/>
                <w:sz w:val="24"/>
                <w:szCs w:val="24"/>
              </w:rPr>
            </w:pPr>
            <w:r>
              <w:rPr>
                <w:rFonts w:hint="eastAsia" w:cs="宋体" w:asciiTheme="minorEastAsia" w:hAnsiTheme="minorEastAsia"/>
                <w:sz w:val="24"/>
                <w:szCs w:val="24"/>
              </w:rPr>
              <w:t>30</w:t>
            </w:r>
          </w:p>
        </w:tc>
        <w:tc>
          <w:tcPr>
            <w:tcW w:w="851" w:type="dxa"/>
            <w:vAlign w:val="center"/>
          </w:tcPr>
          <w:p>
            <w:pPr>
              <w:spacing w:line="380" w:lineRule="exact"/>
              <w:jc w:val="center"/>
              <w:rPr>
                <w:rFonts w:cs="宋体" w:asciiTheme="minorEastAsia" w:hAnsiTheme="minorEastAsia"/>
                <w:sz w:val="24"/>
                <w:szCs w:val="24"/>
              </w:rPr>
            </w:pPr>
            <w:r>
              <w:rPr>
                <w:rFonts w:hint="eastAsia" w:cs="宋体" w:asciiTheme="minorEastAsia" w:hAnsiTheme="minorEastAsia"/>
                <w:sz w:val="24"/>
                <w:szCs w:val="24"/>
              </w:rPr>
              <w:t>25</w:t>
            </w:r>
          </w:p>
        </w:tc>
        <w:tc>
          <w:tcPr>
            <w:tcW w:w="850" w:type="dxa"/>
            <w:vAlign w:val="center"/>
          </w:tcPr>
          <w:p>
            <w:pPr>
              <w:spacing w:line="380" w:lineRule="exact"/>
              <w:jc w:val="center"/>
              <w:rPr>
                <w:rFonts w:cs="宋体" w:asciiTheme="minorEastAsia" w:hAnsiTheme="minorEastAsia"/>
                <w:sz w:val="24"/>
                <w:szCs w:val="24"/>
              </w:rPr>
            </w:pPr>
            <w:r>
              <w:rPr>
                <w:rFonts w:hint="eastAsia" w:cs="宋体" w:asciiTheme="minorEastAsia" w:hAnsiTheme="minorEastAsia"/>
                <w:sz w:val="24"/>
                <w:szCs w:val="24"/>
              </w:rPr>
              <w:t>20</w:t>
            </w:r>
          </w:p>
        </w:tc>
      </w:tr>
    </w:tbl>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备注：</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①国家级项目主持人和第二参与者直接评定为一等奖学金，省部级以上项目的主持人直接评定为一等奖学金。</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②主持人按计分标准计分，第二至第五参与者依次按计分标准的50%、</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0%、</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0%、1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%计分；国家级、省部级、厅局级项目其余参与者分别计10分、5分、1分。</w:t>
      </w:r>
    </w:p>
    <w:p>
      <w:pPr>
        <w:widowControl/>
        <w:shd w:val="clear" w:color="auto" w:fill="FFFFFF"/>
        <w:spacing w:line="380" w:lineRule="exact"/>
        <w:ind w:firstLine="480" w:firstLineChars="200"/>
        <w:jc w:val="left"/>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③</w:t>
      </w:r>
      <w:r>
        <w:rPr>
          <w:rFonts w:hint="eastAsia" w:cs="宋体" w:asciiTheme="minorEastAsia" w:hAnsiTheme="minorEastAsia"/>
          <w:kern w:val="0"/>
          <w:sz w:val="24"/>
          <w:szCs w:val="24"/>
          <w:lang w:eastAsia="zh-CN"/>
        </w:rPr>
        <w:t>其他横向课题主持人加</w:t>
      </w:r>
      <w:r>
        <w:rPr>
          <w:rFonts w:hint="eastAsia" w:cs="宋体" w:asciiTheme="minorEastAsia" w:hAnsiTheme="minorEastAsia"/>
          <w:kern w:val="0"/>
          <w:sz w:val="24"/>
          <w:szCs w:val="24"/>
          <w:lang w:val="en-US" w:eastAsia="zh-CN"/>
        </w:rPr>
        <w:t>3分，参与者加1分。</w:t>
      </w:r>
    </w:p>
    <w:p>
      <w:pPr>
        <w:widowControl/>
        <w:shd w:val="clear" w:color="auto" w:fill="FFFFFF"/>
        <w:spacing w:line="38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fldChar w:fldCharType="begin"/>
      </w:r>
      <w:r>
        <w:rPr>
          <w:rFonts w:hint="eastAsia" w:cs="宋体" w:asciiTheme="minorEastAsia" w:hAnsiTheme="minorEastAsia"/>
          <w:kern w:val="0"/>
          <w:sz w:val="24"/>
          <w:szCs w:val="24"/>
        </w:rPr>
        <w:instrText xml:space="preserve"> = 4 \* GB3 \* MERGEFORMAT </w:instrText>
      </w:r>
      <w:r>
        <w:rPr>
          <w:rFonts w:hint="eastAsia" w:cs="宋体" w:asciiTheme="minorEastAsia" w:hAnsiTheme="minorEastAsia"/>
          <w:kern w:val="0"/>
          <w:sz w:val="24"/>
          <w:szCs w:val="24"/>
        </w:rPr>
        <w:fldChar w:fldCharType="separate"/>
      </w:r>
      <w:r>
        <w:rPr>
          <w:rFonts w:hint="eastAsia" w:cs="宋体" w:asciiTheme="minorEastAsia" w:hAnsiTheme="minorEastAsia"/>
          <w:kern w:val="0"/>
          <w:sz w:val="24"/>
          <w:szCs w:val="24"/>
        </w:rPr>
        <w:t>④</w:t>
      </w:r>
      <w:r>
        <w:rPr>
          <w:rFonts w:hint="eastAsia" w:cs="宋体" w:asciiTheme="minorEastAsia" w:hAnsiTheme="minorEastAsia"/>
          <w:kern w:val="0"/>
          <w:sz w:val="24"/>
          <w:szCs w:val="24"/>
        </w:rPr>
        <w:fldChar w:fldCharType="end"/>
      </w:r>
      <w:r>
        <w:rPr>
          <w:rFonts w:hint="eastAsia" w:cs="宋体" w:asciiTheme="minorEastAsia" w:hAnsiTheme="minorEastAsia"/>
          <w:kern w:val="0"/>
          <w:sz w:val="24"/>
          <w:szCs w:val="24"/>
        </w:rPr>
        <w:t>所有项目均须结项方能计分。</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2.决策咨询成果</w:t>
      </w:r>
    </w:p>
    <w:tbl>
      <w:tblPr>
        <w:tblStyle w:val="6"/>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682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55" w:type="dxa"/>
            <w:gridSpan w:val="2"/>
            <w:vAlign w:val="center"/>
          </w:tcPr>
          <w:p>
            <w:pPr>
              <w:widowControl/>
              <w:spacing w:line="38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成果类别</w:t>
            </w:r>
          </w:p>
        </w:tc>
        <w:tc>
          <w:tcPr>
            <w:tcW w:w="1275" w:type="dxa"/>
            <w:vAlign w:val="center"/>
          </w:tcPr>
          <w:p>
            <w:pPr>
              <w:widowControl/>
              <w:spacing w:line="38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2" w:type="dxa"/>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一类</w:t>
            </w:r>
          </w:p>
        </w:tc>
        <w:tc>
          <w:tcPr>
            <w:tcW w:w="6823" w:type="dxa"/>
            <w:vAlign w:val="center"/>
          </w:tcPr>
          <w:p>
            <w:pPr>
              <w:widowControl/>
              <w:spacing w:line="380" w:lineRule="exact"/>
              <w:jc w:val="left"/>
              <w:rPr>
                <w:rFonts w:cs="宋体" w:asciiTheme="minorEastAsia" w:hAnsiTheme="minorEastAsia"/>
                <w:kern w:val="0"/>
                <w:sz w:val="24"/>
                <w:szCs w:val="24"/>
              </w:rPr>
            </w:pPr>
            <w:r>
              <w:rPr>
                <w:rFonts w:hint="eastAsia" w:asciiTheme="minorEastAsia" w:hAnsiTheme="minorEastAsia"/>
                <w:spacing w:val="-4"/>
                <w:sz w:val="24"/>
                <w:szCs w:val="24"/>
              </w:rPr>
              <w:t>被国家级</w:t>
            </w:r>
            <w:r>
              <w:rPr>
                <w:rFonts w:hint="eastAsia" w:cs="Times New Roman" w:asciiTheme="minorEastAsia" w:hAnsiTheme="minorEastAsia"/>
                <w:spacing w:val="-4"/>
                <w:sz w:val="24"/>
                <w:szCs w:val="24"/>
              </w:rPr>
              <w:t>法规文件采用，或获得</w:t>
            </w:r>
            <w:r>
              <w:rPr>
                <w:rFonts w:hint="eastAsia" w:asciiTheme="minorEastAsia" w:hAnsiTheme="minorEastAsia"/>
                <w:spacing w:val="-4"/>
                <w:sz w:val="24"/>
                <w:szCs w:val="24"/>
              </w:rPr>
              <w:t>国家级</w:t>
            </w:r>
            <w:r>
              <w:rPr>
                <w:rFonts w:hint="eastAsia" w:cs="Times New Roman" w:asciiTheme="minorEastAsia" w:hAnsiTheme="minorEastAsia"/>
                <w:spacing w:val="-4"/>
                <w:sz w:val="24"/>
                <w:szCs w:val="24"/>
              </w:rPr>
              <w:t>领导肯定性批示</w:t>
            </w:r>
          </w:p>
        </w:tc>
        <w:tc>
          <w:tcPr>
            <w:tcW w:w="127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rPr>
        <w:tc>
          <w:tcPr>
            <w:tcW w:w="832" w:type="dxa"/>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二类</w:t>
            </w:r>
          </w:p>
        </w:tc>
        <w:tc>
          <w:tcPr>
            <w:tcW w:w="6823" w:type="dxa"/>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被省部级法规文件采用，或获得省部级以上在职领导肯定性批示</w:t>
            </w:r>
          </w:p>
        </w:tc>
        <w:tc>
          <w:tcPr>
            <w:tcW w:w="1275" w:type="dxa"/>
            <w:vAlign w:val="center"/>
          </w:tcPr>
          <w:p>
            <w:pPr>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rPr>
        <w:tc>
          <w:tcPr>
            <w:tcW w:w="832" w:type="dxa"/>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三类</w:t>
            </w:r>
          </w:p>
        </w:tc>
        <w:tc>
          <w:tcPr>
            <w:tcW w:w="6823" w:type="dxa"/>
            <w:vAlign w:val="center"/>
          </w:tcPr>
          <w:p>
            <w:pPr>
              <w:widowControl/>
              <w:spacing w:line="380" w:lineRule="exact"/>
              <w:jc w:val="left"/>
              <w:rPr>
                <w:rFonts w:cs="宋体" w:asciiTheme="minorEastAsia" w:hAnsiTheme="minorEastAsia"/>
                <w:kern w:val="0"/>
                <w:sz w:val="24"/>
                <w:szCs w:val="24"/>
              </w:rPr>
            </w:pPr>
            <w:r>
              <w:rPr>
                <w:rFonts w:hint="eastAsia" w:asciiTheme="minorEastAsia" w:hAnsiTheme="minorEastAsia"/>
                <w:spacing w:val="-4"/>
                <w:sz w:val="24"/>
                <w:szCs w:val="24"/>
              </w:rPr>
              <w:t>被国家部委办、中央党校的</w:t>
            </w:r>
            <w:r>
              <w:rPr>
                <w:rFonts w:hint="eastAsia" w:cs="Times New Roman" w:asciiTheme="minorEastAsia" w:hAnsiTheme="minorEastAsia"/>
                <w:spacing w:val="-4"/>
                <w:sz w:val="24"/>
                <w:szCs w:val="24"/>
              </w:rPr>
              <w:t>内参</w:t>
            </w:r>
            <w:r>
              <w:rPr>
                <w:rFonts w:hint="eastAsia" w:asciiTheme="minorEastAsia" w:hAnsiTheme="minorEastAsia"/>
                <w:spacing w:val="-4"/>
                <w:sz w:val="24"/>
                <w:szCs w:val="24"/>
              </w:rPr>
              <w:t>、通讯等刊发，或被</w:t>
            </w:r>
            <w:r>
              <w:rPr>
                <w:rFonts w:hint="eastAsia" w:cs="Times New Roman" w:asciiTheme="minorEastAsia" w:hAnsiTheme="minorEastAsia"/>
                <w:spacing w:val="-4"/>
                <w:sz w:val="24"/>
                <w:szCs w:val="24"/>
              </w:rPr>
              <w:t>省委办公厅、省人民政府办公厅的内参、通讯等刊发，或被省委宣传部《决策参考·湖南智库成果专报》</w:t>
            </w:r>
            <w:r>
              <w:rPr>
                <w:rFonts w:hint="eastAsia" w:asciiTheme="minorEastAsia" w:hAnsiTheme="minorEastAsia"/>
                <w:spacing w:val="-4"/>
                <w:sz w:val="24"/>
                <w:szCs w:val="24"/>
              </w:rPr>
              <w:t>等</w:t>
            </w:r>
            <w:r>
              <w:rPr>
                <w:rFonts w:hint="eastAsia" w:cs="Times New Roman" w:asciiTheme="minorEastAsia" w:hAnsiTheme="minorEastAsia"/>
                <w:spacing w:val="-4"/>
                <w:sz w:val="24"/>
                <w:szCs w:val="24"/>
              </w:rPr>
              <w:t>刊发</w:t>
            </w:r>
          </w:p>
        </w:tc>
        <w:tc>
          <w:tcPr>
            <w:tcW w:w="1275" w:type="dxa"/>
            <w:vAlign w:val="center"/>
          </w:tcPr>
          <w:p>
            <w:pPr>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rPr>
        <w:tc>
          <w:tcPr>
            <w:tcW w:w="832" w:type="dxa"/>
            <w:vAlign w:val="center"/>
          </w:tcPr>
          <w:p>
            <w:pPr>
              <w:widowControl/>
              <w:spacing w:line="380" w:lineRule="exact"/>
              <w:jc w:val="left"/>
              <w:rPr>
                <w:rFonts w:asciiTheme="minorEastAsia" w:hAnsiTheme="minorEastAsia"/>
                <w:spacing w:val="-4"/>
                <w:sz w:val="24"/>
                <w:szCs w:val="24"/>
              </w:rPr>
            </w:pPr>
            <w:r>
              <w:rPr>
                <w:rFonts w:hint="eastAsia" w:asciiTheme="minorEastAsia" w:hAnsiTheme="minorEastAsia"/>
                <w:spacing w:val="-4"/>
                <w:sz w:val="24"/>
                <w:szCs w:val="24"/>
              </w:rPr>
              <w:t>四类</w:t>
            </w:r>
          </w:p>
        </w:tc>
        <w:tc>
          <w:tcPr>
            <w:tcW w:w="6823" w:type="dxa"/>
            <w:vAlign w:val="center"/>
          </w:tcPr>
          <w:p>
            <w:pPr>
              <w:widowControl/>
              <w:spacing w:line="380" w:lineRule="exact"/>
              <w:jc w:val="left"/>
              <w:rPr>
                <w:rFonts w:asciiTheme="minorEastAsia" w:hAnsiTheme="minorEastAsia"/>
                <w:spacing w:val="-4"/>
                <w:sz w:val="24"/>
                <w:szCs w:val="24"/>
              </w:rPr>
            </w:pPr>
            <w:r>
              <w:rPr>
                <w:rFonts w:hint="eastAsia" w:cs="Times New Roman" w:asciiTheme="minorEastAsia" w:hAnsiTheme="minorEastAsia"/>
                <w:spacing w:val="-4"/>
                <w:sz w:val="24"/>
                <w:szCs w:val="24"/>
              </w:rPr>
              <w:t>被校（院）《决策咨询要报》、</w:t>
            </w:r>
            <w:r>
              <w:rPr>
                <w:rFonts w:hint="eastAsia" w:asciiTheme="minorEastAsia" w:hAnsiTheme="minorEastAsia"/>
                <w:spacing w:val="-4"/>
                <w:sz w:val="24"/>
                <w:szCs w:val="24"/>
              </w:rPr>
              <w:t>《湖南创新发展报告》、</w:t>
            </w:r>
            <w:r>
              <w:rPr>
                <w:rFonts w:hint="eastAsia" w:cs="Times New Roman" w:asciiTheme="minorEastAsia" w:hAnsiTheme="minorEastAsia"/>
                <w:spacing w:val="-4"/>
                <w:sz w:val="24"/>
                <w:szCs w:val="24"/>
              </w:rPr>
              <w:t>省参事室《建言专报》</w:t>
            </w:r>
            <w:r>
              <w:rPr>
                <w:rFonts w:hint="eastAsia" w:asciiTheme="minorEastAsia" w:hAnsiTheme="minorEastAsia"/>
                <w:spacing w:val="-4"/>
                <w:sz w:val="24"/>
                <w:szCs w:val="24"/>
              </w:rPr>
              <w:t>刊发，或</w:t>
            </w:r>
            <w:r>
              <w:rPr>
                <w:rFonts w:hint="eastAsia" w:cs="宋体" w:asciiTheme="minorEastAsia" w:hAnsiTheme="minorEastAsia"/>
                <w:kern w:val="0"/>
                <w:sz w:val="24"/>
                <w:szCs w:val="24"/>
              </w:rPr>
              <w:t>被厅局级主要领导批示或厅局级部门采用</w:t>
            </w:r>
          </w:p>
        </w:tc>
        <w:tc>
          <w:tcPr>
            <w:tcW w:w="1275" w:type="dxa"/>
            <w:vAlign w:val="center"/>
          </w:tcPr>
          <w:p>
            <w:pPr>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r>
    </w:tbl>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备注：</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hint="eastAsia" w:cs="Times New Roman" w:asciiTheme="minorEastAsia" w:hAnsiTheme="minorEastAsia"/>
          <w:sz w:val="24"/>
          <w:szCs w:val="24"/>
        </w:rPr>
        <w:t>第一类决策咨询成果的第一、二作者和第二类决策咨询成果的第一作者</w:t>
      </w:r>
      <w:r>
        <w:rPr>
          <w:rFonts w:hint="eastAsia" w:cs="宋体" w:asciiTheme="minorEastAsia" w:hAnsiTheme="minorEastAsia"/>
          <w:kern w:val="0"/>
          <w:sz w:val="24"/>
          <w:szCs w:val="24"/>
        </w:rPr>
        <w:t>直接评定为一等奖学金。</w:t>
      </w:r>
    </w:p>
    <w:p>
      <w:pPr>
        <w:widowControl/>
        <w:shd w:val="clear" w:color="auto" w:fill="FFFFFF"/>
        <w:spacing w:line="380" w:lineRule="exact"/>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②集体成果，</w:t>
      </w:r>
      <w:r>
        <w:rPr>
          <w:rFonts w:hint="eastAsia" w:cs="宋体" w:asciiTheme="minorEastAsia" w:hAnsiTheme="minorEastAsia"/>
          <w:kern w:val="0"/>
          <w:sz w:val="24"/>
          <w:szCs w:val="24"/>
        </w:rPr>
        <w:t>第一作者按计分标准计分，第二至第五</w:t>
      </w:r>
      <w:r>
        <w:rPr>
          <w:rFonts w:hint="eastAsia" w:cs="宋体" w:asciiTheme="minorEastAsia" w:hAnsiTheme="minorEastAsia"/>
          <w:kern w:val="0"/>
          <w:sz w:val="24"/>
          <w:szCs w:val="24"/>
          <w:lang w:eastAsia="zh-CN"/>
        </w:rPr>
        <w:t>作者</w:t>
      </w:r>
      <w:r>
        <w:rPr>
          <w:rFonts w:hint="eastAsia" w:cs="宋体" w:asciiTheme="minorEastAsia" w:hAnsiTheme="minorEastAsia"/>
          <w:kern w:val="0"/>
          <w:sz w:val="24"/>
          <w:szCs w:val="24"/>
        </w:rPr>
        <w:t>依次按计分标准的50%、30%、20%、10%计分；</w:t>
      </w:r>
      <w:r>
        <w:rPr>
          <w:rFonts w:hint="eastAsia" w:cs="Times New Roman" w:asciiTheme="minorEastAsia" w:hAnsiTheme="minorEastAsia"/>
          <w:sz w:val="24"/>
          <w:szCs w:val="24"/>
        </w:rPr>
        <w:t>第一类决策咨询成果的</w:t>
      </w:r>
      <w:r>
        <w:rPr>
          <w:rFonts w:hint="eastAsia" w:cs="宋体" w:asciiTheme="minorEastAsia" w:hAnsiTheme="minorEastAsia"/>
          <w:kern w:val="0"/>
          <w:sz w:val="24"/>
          <w:szCs w:val="24"/>
        </w:rPr>
        <w:t>其余参与者计8分，</w:t>
      </w:r>
      <w:r>
        <w:rPr>
          <w:rFonts w:hint="eastAsia" w:cs="Times New Roman" w:asciiTheme="minorEastAsia" w:hAnsiTheme="minorEastAsia"/>
          <w:sz w:val="24"/>
          <w:szCs w:val="24"/>
        </w:rPr>
        <w:t>第二类决策咨询成果的</w:t>
      </w:r>
      <w:r>
        <w:rPr>
          <w:rFonts w:hint="eastAsia" w:cs="宋体" w:asciiTheme="minorEastAsia" w:hAnsiTheme="minorEastAsia"/>
          <w:kern w:val="0"/>
          <w:sz w:val="24"/>
          <w:szCs w:val="24"/>
        </w:rPr>
        <w:t>其余参与者计3分。</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Times New Roman" w:asciiTheme="minorEastAsia" w:hAnsiTheme="minorEastAsia"/>
          <w:sz w:val="24"/>
          <w:szCs w:val="24"/>
        </w:rPr>
        <w:t>③同一成果获多次批示、采用或刊发的，只计最高分，不重复计分。</w:t>
      </w:r>
    </w:p>
    <w:p>
      <w:pPr>
        <w:widowControl/>
        <w:shd w:val="clear" w:color="auto" w:fill="FFFFFF"/>
        <w:spacing w:line="380" w:lineRule="exact"/>
        <w:ind w:firstLine="480" w:firstLineChars="200"/>
        <w:jc w:val="left"/>
        <w:rPr>
          <w:rFonts w:cs="宋体" w:asciiTheme="minorEastAsia" w:hAnsiTheme="minorEastAsia"/>
          <w:kern w:val="0"/>
          <w:sz w:val="24"/>
          <w:szCs w:val="24"/>
        </w:rPr>
      </w:pP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3.著作</w:t>
      </w:r>
    </w:p>
    <w:tbl>
      <w:tblPr>
        <w:tblStyle w:val="6"/>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670"/>
        <w:gridCol w:w="850"/>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 w:hRule="atLeast"/>
        </w:trPr>
        <w:tc>
          <w:tcPr>
            <w:tcW w:w="6521" w:type="dxa"/>
            <w:gridSpan w:val="2"/>
            <w:vMerge w:val="restart"/>
            <w:vAlign w:val="center"/>
          </w:tcPr>
          <w:p>
            <w:pPr>
              <w:widowControl/>
              <w:spacing w:line="380" w:lineRule="exact"/>
              <w:jc w:val="center"/>
              <w:rPr>
                <w:rFonts w:cs="宋体" w:asciiTheme="minorEastAsia" w:hAnsiTheme="minorEastAsia"/>
                <w:b/>
                <w:kern w:val="0"/>
                <w:sz w:val="24"/>
                <w:szCs w:val="24"/>
              </w:rPr>
            </w:pPr>
            <w:r>
              <w:rPr>
                <w:rFonts w:hint="eastAsia" w:cs="宋体" w:asciiTheme="minorEastAsia" w:hAnsiTheme="minorEastAsia"/>
                <w:b/>
                <w:bCs/>
                <w:kern w:val="0"/>
                <w:sz w:val="24"/>
                <w:szCs w:val="24"/>
              </w:rPr>
              <w:t>出版社类别</w:t>
            </w:r>
          </w:p>
        </w:tc>
        <w:tc>
          <w:tcPr>
            <w:tcW w:w="2409" w:type="dxa"/>
            <w:gridSpan w:val="3"/>
            <w:vAlign w:val="center"/>
          </w:tcPr>
          <w:p>
            <w:pPr>
              <w:widowControl/>
              <w:spacing w:line="380" w:lineRule="exact"/>
              <w:jc w:val="center"/>
              <w:rPr>
                <w:rFonts w:cs="宋体" w:asciiTheme="minorEastAsia" w:hAnsiTheme="minorEastAsia"/>
                <w:b/>
                <w:kern w:val="0"/>
                <w:sz w:val="24"/>
                <w:szCs w:val="24"/>
              </w:rPr>
            </w:pPr>
            <w:r>
              <w:rPr>
                <w:rFonts w:hint="eastAsia" w:cs="宋体" w:asciiTheme="minorEastAsia" w:hAnsiTheme="minorEastAsia"/>
                <w:b/>
                <w:bCs/>
                <w:kern w:val="0"/>
                <w:sz w:val="24"/>
                <w:szCs w:val="24"/>
              </w:rPr>
              <w:t>著作类别与赋分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6521" w:type="dxa"/>
            <w:gridSpan w:val="2"/>
            <w:vMerge w:val="continue"/>
            <w:vAlign w:val="center"/>
          </w:tcPr>
          <w:p>
            <w:pPr>
              <w:widowControl/>
              <w:spacing w:line="380" w:lineRule="exact"/>
              <w:jc w:val="center"/>
              <w:rPr>
                <w:rFonts w:cs="宋体" w:asciiTheme="minorEastAsia" w:hAnsiTheme="minorEastAsia"/>
                <w:b/>
                <w:bCs/>
                <w:kern w:val="0"/>
                <w:sz w:val="24"/>
                <w:szCs w:val="24"/>
              </w:rPr>
            </w:pPr>
          </w:p>
        </w:tc>
        <w:tc>
          <w:tcPr>
            <w:tcW w:w="850" w:type="dxa"/>
            <w:vAlign w:val="center"/>
          </w:tcPr>
          <w:p>
            <w:pPr>
              <w:spacing w:line="38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专著</w:t>
            </w:r>
          </w:p>
        </w:tc>
        <w:tc>
          <w:tcPr>
            <w:tcW w:w="709" w:type="dxa"/>
            <w:vAlign w:val="center"/>
          </w:tcPr>
          <w:p>
            <w:pPr>
              <w:spacing w:line="38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编著</w:t>
            </w:r>
          </w:p>
        </w:tc>
        <w:tc>
          <w:tcPr>
            <w:tcW w:w="850" w:type="dxa"/>
            <w:vAlign w:val="center"/>
          </w:tcPr>
          <w:p>
            <w:pPr>
              <w:spacing w:line="38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1"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一类</w:t>
            </w:r>
          </w:p>
        </w:tc>
        <w:tc>
          <w:tcPr>
            <w:tcW w:w="5670"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sz w:val="24"/>
                <w:szCs w:val="24"/>
              </w:rPr>
              <w:t>人民出版社、商务印书馆、生活·读书·新知三联书店、中国社会科学出版社、中华书局</w:t>
            </w:r>
          </w:p>
        </w:tc>
        <w:tc>
          <w:tcPr>
            <w:tcW w:w="850"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150</w:t>
            </w:r>
          </w:p>
        </w:tc>
        <w:tc>
          <w:tcPr>
            <w:tcW w:w="709"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120</w:t>
            </w:r>
          </w:p>
        </w:tc>
        <w:tc>
          <w:tcPr>
            <w:tcW w:w="850"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851" w:type="dxa"/>
            <w:vAlign w:val="center"/>
          </w:tcPr>
          <w:p>
            <w:pPr>
              <w:widowControl/>
              <w:spacing w:line="380" w:lineRule="exact"/>
              <w:jc w:val="center"/>
              <w:rPr>
                <w:rFonts w:cs="宋体" w:asciiTheme="minorEastAsia" w:hAnsiTheme="minorEastAsia"/>
                <w:sz w:val="24"/>
                <w:szCs w:val="24"/>
              </w:rPr>
            </w:pPr>
            <w:r>
              <w:rPr>
                <w:rFonts w:hint="eastAsia" w:cs="宋体" w:asciiTheme="minorEastAsia" w:hAnsiTheme="minorEastAsia"/>
                <w:sz w:val="24"/>
                <w:szCs w:val="24"/>
              </w:rPr>
              <w:t>二类</w:t>
            </w:r>
          </w:p>
        </w:tc>
        <w:tc>
          <w:tcPr>
            <w:tcW w:w="5670" w:type="dxa"/>
            <w:vAlign w:val="center"/>
          </w:tcPr>
          <w:p>
            <w:pPr>
              <w:widowControl/>
              <w:spacing w:line="380" w:lineRule="exact"/>
              <w:jc w:val="center"/>
              <w:rPr>
                <w:rFonts w:cs="宋体" w:asciiTheme="minorEastAsia" w:hAnsiTheme="minorEastAsia"/>
                <w:sz w:val="24"/>
                <w:szCs w:val="24"/>
              </w:rPr>
            </w:pPr>
            <w:r>
              <w:rPr>
                <w:rFonts w:hint="eastAsia" w:cs="宋体" w:asciiTheme="minorEastAsia" w:hAnsiTheme="minorEastAsia"/>
                <w:sz w:val="24"/>
                <w:szCs w:val="24"/>
              </w:rPr>
              <w:t>中央党校（国家行政学院）出版社、各部委直属的出版社、各省人民出版社</w:t>
            </w:r>
          </w:p>
        </w:tc>
        <w:tc>
          <w:tcPr>
            <w:tcW w:w="850"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100</w:t>
            </w:r>
          </w:p>
        </w:tc>
        <w:tc>
          <w:tcPr>
            <w:tcW w:w="709"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90</w:t>
            </w:r>
          </w:p>
        </w:tc>
        <w:tc>
          <w:tcPr>
            <w:tcW w:w="850"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851" w:type="dxa"/>
            <w:vAlign w:val="center"/>
          </w:tcPr>
          <w:p>
            <w:pPr>
              <w:widowControl/>
              <w:spacing w:line="380" w:lineRule="exact"/>
              <w:jc w:val="center"/>
              <w:rPr>
                <w:rFonts w:cs="宋体" w:asciiTheme="minorEastAsia" w:hAnsiTheme="minorEastAsia"/>
                <w:sz w:val="24"/>
                <w:szCs w:val="24"/>
              </w:rPr>
            </w:pPr>
            <w:r>
              <w:rPr>
                <w:rFonts w:hint="eastAsia" w:cs="宋体" w:asciiTheme="minorEastAsia" w:hAnsiTheme="minorEastAsia"/>
                <w:sz w:val="24"/>
                <w:szCs w:val="24"/>
              </w:rPr>
              <w:t>三类</w:t>
            </w:r>
          </w:p>
        </w:tc>
        <w:tc>
          <w:tcPr>
            <w:tcW w:w="5670" w:type="dxa"/>
            <w:vAlign w:val="center"/>
          </w:tcPr>
          <w:p>
            <w:pPr>
              <w:spacing w:line="380" w:lineRule="exact"/>
              <w:jc w:val="center"/>
              <w:rPr>
                <w:rFonts w:cs="宋体" w:asciiTheme="minorEastAsia" w:hAnsiTheme="minorEastAsia"/>
                <w:sz w:val="24"/>
                <w:szCs w:val="24"/>
              </w:rPr>
            </w:pPr>
            <w:r>
              <w:rPr>
                <w:rFonts w:hint="eastAsia" w:cs="宋体" w:asciiTheme="minorEastAsia" w:hAnsiTheme="minorEastAsia"/>
                <w:sz w:val="24"/>
                <w:szCs w:val="24"/>
              </w:rPr>
              <w:t>普通高等院校出版社</w:t>
            </w:r>
          </w:p>
        </w:tc>
        <w:tc>
          <w:tcPr>
            <w:tcW w:w="850"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90</w:t>
            </w:r>
          </w:p>
        </w:tc>
        <w:tc>
          <w:tcPr>
            <w:tcW w:w="709"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80</w:t>
            </w:r>
          </w:p>
        </w:tc>
        <w:tc>
          <w:tcPr>
            <w:tcW w:w="850"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851"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四类</w:t>
            </w:r>
          </w:p>
        </w:tc>
        <w:tc>
          <w:tcPr>
            <w:tcW w:w="5670" w:type="dxa"/>
            <w:vAlign w:val="center"/>
          </w:tcPr>
          <w:p>
            <w:pPr>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其他出版社</w:t>
            </w:r>
          </w:p>
        </w:tc>
        <w:tc>
          <w:tcPr>
            <w:tcW w:w="850"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80</w:t>
            </w:r>
          </w:p>
        </w:tc>
        <w:tc>
          <w:tcPr>
            <w:tcW w:w="709"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70</w:t>
            </w:r>
          </w:p>
        </w:tc>
        <w:tc>
          <w:tcPr>
            <w:tcW w:w="850"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60</w:t>
            </w:r>
          </w:p>
        </w:tc>
      </w:tr>
    </w:tbl>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备注：</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①专著的第一、二作者和著作、教材的主编，直接评定为一等奖学金。</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②专著的第三作者按标准分值的50%计分，其余作者均按30%计分；编著和教材的副主编按标准分值的50%计分，有多个副主编的，均按30%计分。</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③参与编著或教材的撰写，计分方法为：撰写字数</w:t>
      </w:r>
      <w:r>
        <w:rPr>
          <w:rFonts w:hint="eastAsia" w:cs="宋体" w:asciiTheme="minorEastAsia" w:hAnsiTheme="minorEastAsia"/>
          <w:kern w:val="0"/>
          <w:sz w:val="24"/>
          <w:szCs w:val="24"/>
        </w:rPr>
        <w:sym w:font="Symbol" w:char="F0B4"/>
      </w:r>
      <w:r>
        <w:rPr>
          <w:rFonts w:hint="eastAsia" w:cs="宋体" w:asciiTheme="minorEastAsia" w:hAnsiTheme="minorEastAsia"/>
          <w:kern w:val="0"/>
          <w:sz w:val="24"/>
          <w:szCs w:val="24"/>
        </w:rPr>
        <w:t>（标准分值/著作总字数），字数均以千字为单位。</w:t>
      </w:r>
    </w:p>
    <w:p>
      <w:pPr>
        <w:widowControl/>
        <w:shd w:val="clear" w:color="auto" w:fill="FFFFFF"/>
        <w:spacing w:line="380" w:lineRule="exact"/>
        <w:ind w:firstLine="480" w:firstLineChars="200"/>
        <w:jc w:val="left"/>
        <w:rPr>
          <w:rFonts w:cs="宋体" w:asciiTheme="minorEastAsia" w:hAnsiTheme="minorEastAsia"/>
          <w:kern w:val="0"/>
          <w:sz w:val="24"/>
          <w:szCs w:val="24"/>
        </w:rPr>
      </w:pP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4.论文</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722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gridSpan w:val="2"/>
            <w:vAlign w:val="center"/>
          </w:tcPr>
          <w:p>
            <w:pPr>
              <w:widowControl/>
              <w:spacing w:line="380" w:lineRule="exact"/>
              <w:jc w:val="center"/>
              <w:rPr>
                <w:rFonts w:cs="宋体" w:asciiTheme="minorEastAsia" w:hAnsiTheme="minorEastAsia"/>
                <w:b/>
                <w:kern w:val="0"/>
                <w:sz w:val="24"/>
                <w:szCs w:val="24"/>
              </w:rPr>
            </w:pPr>
            <w:r>
              <w:rPr>
                <w:rFonts w:hint="eastAsia" w:cs="宋体" w:asciiTheme="minorEastAsia" w:hAnsiTheme="minorEastAsia"/>
                <w:b/>
                <w:bCs/>
                <w:kern w:val="0"/>
                <w:sz w:val="24"/>
                <w:szCs w:val="24"/>
              </w:rPr>
              <w:t>成果类别</w:t>
            </w:r>
          </w:p>
        </w:tc>
        <w:tc>
          <w:tcPr>
            <w:tcW w:w="844" w:type="dxa"/>
            <w:vAlign w:val="center"/>
          </w:tcPr>
          <w:p>
            <w:pPr>
              <w:widowControl/>
              <w:spacing w:line="380" w:lineRule="exact"/>
              <w:jc w:val="center"/>
              <w:rPr>
                <w:rFonts w:cs="宋体" w:asciiTheme="minorEastAsia" w:hAnsiTheme="minorEastAsia"/>
                <w:b/>
                <w:kern w:val="0"/>
                <w:sz w:val="24"/>
                <w:szCs w:val="24"/>
              </w:rPr>
            </w:pPr>
            <w:r>
              <w:rPr>
                <w:rFonts w:hint="eastAsia" w:cs="宋体" w:asciiTheme="minorEastAsia" w:hAnsiTheme="minorEastAsia"/>
                <w:b/>
                <w:bCs/>
                <w:kern w:val="0"/>
                <w:sz w:val="24"/>
                <w:szCs w:val="24"/>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pPr>
              <w:widowControl/>
              <w:spacing w:line="38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一类</w:t>
            </w:r>
          </w:p>
        </w:tc>
        <w:tc>
          <w:tcPr>
            <w:tcW w:w="7229" w:type="dxa"/>
            <w:vAlign w:val="center"/>
          </w:tcPr>
          <w:p>
            <w:pPr>
              <w:widowControl/>
              <w:spacing w:line="380" w:lineRule="exact"/>
              <w:jc w:val="left"/>
              <w:rPr>
                <w:rFonts w:cs="宋体" w:asciiTheme="minorEastAsia" w:hAnsiTheme="minorEastAsia"/>
                <w:bCs/>
                <w:kern w:val="0"/>
                <w:sz w:val="24"/>
                <w:szCs w:val="24"/>
              </w:rPr>
            </w:pPr>
            <w:r>
              <w:rPr>
                <w:rFonts w:hint="eastAsia" w:cs="宋体" w:asciiTheme="minorEastAsia" w:hAnsiTheme="minorEastAsia"/>
                <w:bCs/>
                <w:kern w:val="0"/>
                <w:sz w:val="24"/>
                <w:szCs w:val="24"/>
              </w:rPr>
              <w:t>中国社会科学</w:t>
            </w:r>
          </w:p>
        </w:tc>
        <w:tc>
          <w:tcPr>
            <w:tcW w:w="844"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pPr>
              <w:widowControl/>
              <w:spacing w:line="38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二类</w:t>
            </w:r>
          </w:p>
        </w:tc>
        <w:tc>
          <w:tcPr>
            <w:tcW w:w="7229" w:type="dxa"/>
            <w:vAlign w:val="center"/>
          </w:tcPr>
          <w:p>
            <w:pPr>
              <w:widowControl/>
              <w:spacing w:line="380" w:lineRule="exact"/>
              <w:jc w:val="left"/>
              <w:rPr>
                <w:rFonts w:cs="宋体" w:asciiTheme="minorEastAsia" w:hAnsiTheme="minorEastAsia"/>
                <w:bCs/>
                <w:kern w:val="0"/>
                <w:sz w:val="24"/>
                <w:szCs w:val="24"/>
              </w:rPr>
            </w:pPr>
            <w:r>
              <w:rPr>
                <w:rFonts w:hint="eastAsia" w:cs="宋体" w:asciiTheme="minorEastAsia" w:hAnsiTheme="minorEastAsia"/>
                <w:bCs/>
                <w:kern w:val="0"/>
                <w:sz w:val="24"/>
                <w:szCs w:val="24"/>
              </w:rPr>
              <w:t>求是、新华文摘（全文转载）、人民日报（理论版）、光明日报（理论版）、经济日报（理论版）、解放军报（理论版）</w:t>
            </w:r>
          </w:p>
        </w:tc>
        <w:tc>
          <w:tcPr>
            <w:tcW w:w="844"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pPr>
              <w:widowControl/>
              <w:spacing w:line="38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三类</w:t>
            </w:r>
          </w:p>
        </w:tc>
        <w:tc>
          <w:tcPr>
            <w:tcW w:w="7229" w:type="dxa"/>
            <w:vAlign w:val="center"/>
          </w:tcPr>
          <w:p>
            <w:pPr>
              <w:widowControl/>
              <w:spacing w:line="380" w:lineRule="exact"/>
              <w:jc w:val="left"/>
              <w:rPr>
                <w:rFonts w:cs="宋体" w:asciiTheme="minorEastAsia" w:hAnsiTheme="minorEastAsia"/>
                <w:bCs/>
                <w:kern w:val="0"/>
                <w:sz w:val="24"/>
                <w:szCs w:val="24"/>
              </w:rPr>
            </w:pPr>
            <w:r>
              <w:rPr>
                <w:rFonts w:hint="eastAsia" w:asciiTheme="minorEastAsia" w:hAnsiTheme="minorEastAsia"/>
                <w:sz w:val="24"/>
                <w:szCs w:val="24"/>
              </w:rPr>
              <w:t>马克思主义与现实、马克思主义研究、哲学研究、经济研究、社会学研究、民族研究、政治学研究、管理世界、中国行政管理、法学研究、中共党史研究、党建研究、历史研究、教育研究、当代世界与社会主义、外交评论、新闻与传播研究、文学评论、文艺研究、中国语文、中国翻译、世界经济与政治、中国图书馆学报、人口研究、自然辩证法研究、青年研究、妇女研究论丛、计算机研究与发展</w:t>
            </w:r>
          </w:p>
        </w:tc>
        <w:tc>
          <w:tcPr>
            <w:tcW w:w="844"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0" w:hRule="atLeast"/>
        </w:trPr>
        <w:tc>
          <w:tcPr>
            <w:tcW w:w="851"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四类</w:t>
            </w:r>
          </w:p>
        </w:tc>
        <w:tc>
          <w:tcPr>
            <w:tcW w:w="7229" w:type="dxa"/>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中文社会科学引文索引来源期刊（CSSCI）、中国科学引文数据库来源期刊（CSCD）、全国中文核心期刊、高等学校文科学术文摘（全文转载）、人大复印报刊资料（全文转载）、红旗文摘（全文转载）、红旗文稿（全文转载）</w:t>
            </w:r>
          </w:p>
        </w:tc>
        <w:tc>
          <w:tcPr>
            <w:tcW w:w="844"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五类</w:t>
            </w:r>
          </w:p>
        </w:tc>
        <w:tc>
          <w:tcPr>
            <w:tcW w:w="7229" w:type="dxa"/>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中文社会科学引文索引来源期刊扩展版（CSSCI扩展版）、中国科学引文数据库来源期刊扩展版（CSCD扩展版）、新湘评论</w:t>
            </w:r>
          </w:p>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中央党校（国家行政学院）、中国社科院、中国井冈山干部学院、中国延安干部学院、中国浦东干部学院主办的未进入以上四类报刊目录的期刊和报纸</w:t>
            </w:r>
          </w:p>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全国人大、全国政协、各民主党派中央、各人民团体、最高人民法院、最高人民检察院、党中央国务院各部门主办的机关报、各省级党委机关报</w:t>
            </w:r>
          </w:p>
        </w:tc>
        <w:tc>
          <w:tcPr>
            <w:tcW w:w="844"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六类</w:t>
            </w:r>
          </w:p>
        </w:tc>
        <w:tc>
          <w:tcPr>
            <w:tcW w:w="7229" w:type="dxa"/>
            <w:vAlign w:val="center"/>
          </w:tcPr>
          <w:p>
            <w:pPr>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其他公开刊物（刊物须知网收录）</w:t>
            </w:r>
          </w:p>
        </w:tc>
        <w:tc>
          <w:tcPr>
            <w:tcW w:w="844"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r>
    </w:tbl>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备注：</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hint="eastAsia" w:cs="Times New Roman" w:asciiTheme="minorEastAsia" w:hAnsiTheme="minorEastAsia"/>
          <w:sz w:val="24"/>
          <w:szCs w:val="24"/>
        </w:rPr>
        <w:t>第一类论文的第一、二、三作者，第二类论文的第一、二作者，以及第三类论文的第一作者</w:t>
      </w:r>
      <w:r>
        <w:rPr>
          <w:rFonts w:hint="eastAsia" w:cs="宋体" w:asciiTheme="minorEastAsia" w:hAnsiTheme="minorEastAsia"/>
          <w:kern w:val="0"/>
          <w:sz w:val="24"/>
          <w:szCs w:val="24"/>
        </w:rPr>
        <w:t>直接评定为一等奖学金。</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②集体成果，第一作者按计分标准计分，第二至第五</w:t>
      </w:r>
      <w:r>
        <w:rPr>
          <w:rFonts w:hint="eastAsia" w:cs="宋体" w:asciiTheme="minorEastAsia" w:hAnsiTheme="minorEastAsia"/>
          <w:kern w:val="0"/>
          <w:sz w:val="24"/>
          <w:szCs w:val="24"/>
          <w:lang w:eastAsia="zh-CN"/>
        </w:rPr>
        <w:t>作者</w:t>
      </w:r>
      <w:r>
        <w:rPr>
          <w:rFonts w:hint="eastAsia" w:cs="宋体" w:asciiTheme="minorEastAsia" w:hAnsiTheme="minorEastAsia"/>
          <w:kern w:val="0"/>
          <w:sz w:val="24"/>
          <w:szCs w:val="24"/>
        </w:rPr>
        <w:t>依次按计分标准的50%、30%、20%、10%计分。</w:t>
      </w:r>
      <w:r>
        <w:rPr>
          <w:rFonts w:hint="eastAsia" w:cs="宋体" w:asciiTheme="minorEastAsia" w:hAnsiTheme="minorEastAsia"/>
          <w:bCs/>
          <w:kern w:val="0"/>
          <w:sz w:val="24"/>
          <w:szCs w:val="24"/>
        </w:rPr>
        <w:t>导师参与署名时不计入作者排名。</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③同一篇论文参加学术会议、公开发表只记最高分，如被转载可以累加计分。</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5.科研成果获奖及会议论文</w:t>
      </w:r>
    </w:p>
    <w:tbl>
      <w:tblPr>
        <w:tblStyle w:val="6"/>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4536"/>
        <w:gridCol w:w="99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trPr>
        <w:tc>
          <w:tcPr>
            <w:tcW w:w="1418" w:type="dxa"/>
            <w:vMerge w:val="restart"/>
            <w:vAlign w:val="center"/>
          </w:tcPr>
          <w:p>
            <w:pPr>
              <w:widowControl/>
              <w:spacing w:line="380" w:lineRule="exact"/>
              <w:jc w:val="center"/>
              <w:rPr>
                <w:rFonts w:cs="宋体" w:asciiTheme="minorEastAsia" w:hAnsiTheme="minorEastAsia"/>
                <w:b/>
                <w:kern w:val="0"/>
                <w:sz w:val="24"/>
                <w:szCs w:val="24"/>
              </w:rPr>
            </w:pPr>
            <w:r>
              <w:rPr>
                <w:rFonts w:hint="eastAsia" w:cs="宋体" w:asciiTheme="minorEastAsia" w:hAnsiTheme="minorEastAsia"/>
                <w:b/>
                <w:bCs/>
                <w:kern w:val="0"/>
                <w:sz w:val="24"/>
                <w:szCs w:val="24"/>
              </w:rPr>
              <w:t>奖励级别</w:t>
            </w:r>
          </w:p>
        </w:tc>
        <w:tc>
          <w:tcPr>
            <w:tcW w:w="4536" w:type="dxa"/>
            <w:vMerge w:val="restart"/>
            <w:vAlign w:val="center"/>
          </w:tcPr>
          <w:p>
            <w:pPr>
              <w:widowControl/>
              <w:spacing w:line="38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奖励项目</w:t>
            </w:r>
          </w:p>
        </w:tc>
        <w:tc>
          <w:tcPr>
            <w:tcW w:w="2976" w:type="dxa"/>
            <w:gridSpan w:val="3"/>
            <w:vAlign w:val="center"/>
          </w:tcPr>
          <w:p>
            <w:pPr>
              <w:widowControl/>
              <w:spacing w:line="380" w:lineRule="exact"/>
              <w:jc w:val="center"/>
              <w:rPr>
                <w:rFonts w:cs="宋体" w:asciiTheme="minorEastAsia" w:hAnsiTheme="minorEastAsia"/>
                <w:b/>
                <w:kern w:val="0"/>
                <w:sz w:val="24"/>
                <w:szCs w:val="24"/>
              </w:rPr>
            </w:pPr>
            <w:r>
              <w:rPr>
                <w:rFonts w:hint="eastAsia" w:cs="宋体" w:asciiTheme="minorEastAsia" w:hAnsiTheme="minorEastAsia"/>
                <w:b/>
                <w:bCs/>
                <w:kern w:val="0"/>
                <w:sz w:val="24"/>
                <w:szCs w:val="24"/>
              </w:rPr>
              <w:t>奖励等级与赋分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418" w:type="dxa"/>
            <w:vMerge w:val="continue"/>
            <w:vAlign w:val="center"/>
          </w:tcPr>
          <w:p>
            <w:pPr>
              <w:widowControl/>
              <w:spacing w:line="380" w:lineRule="exact"/>
              <w:jc w:val="center"/>
              <w:rPr>
                <w:rFonts w:cs="宋体" w:asciiTheme="minorEastAsia" w:hAnsiTheme="minorEastAsia"/>
                <w:b/>
                <w:bCs/>
                <w:kern w:val="0"/>
                <w:sz w:val="24"/>
                <w:szCs w:val="24"/>
              </w:rPr>
            </w:pPr>
          </w:p>
        </w:tc>
        <w:tc>
          <w:tcPr>
            <w:tcW w:w="4536" w:type="dxa"/>
            <w:vMerge w:val="continue"/>
            <w:vAlign w:val="center"/>
          </w:tcPr>
          <w:p>
            <w:pPr>
              <w:widowControl/>
              <w:spacing w:line="380" w:lineRule="exact"/>
              <w:jc w:val="center"/>
              <w:rPr>
                <w:rFonts w:cs="宋体" w:asciiTheme="minorEastAsia" w:hAnsiTheme="minorEastAsia"/>
                <w:b/>
                <w:kern w:val="0"/>
                <w:sz w:val="24"/>
                <w:szCs w:val="24"/>
              </w:rPr>
            </w:pPr>
          </w:p>
        </w:tc>
        <w:tc>
          <w:tcPr>
            <w:tcW w:w="992" w:type="dxa"/>
            <w:vAlign w:val="center"/>
          </w:tcPr>
          <w:p>
            <w:pPr>
              <w:spacing w:line="38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一等奖</w:t>
            </w:r>
          </w:p>
        </w:tc>
        <w:tc>
          <w:tcPr>
            <w:tcW w:w="992" w:type="dxa"/>
            <w:vAlign w:val="center"/>
          </w:tcPr>
          <w:p>
            <w:pPr>
              <w:spacing w:line="38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二等奖</w:t>
            </w:r>
          </w:p>
        </w:tc>
        <w:tc>
          <w:tcPr>
            <w:tcW w:w="992" w:type="dxa"/>
            <w:vAlign w:val="center"/>
          </w:tcPr>
          <w:p>
            <w:pPr>
              <w:spacing w:line="38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418" w:type="dxa"/>
            <w:vAlign w:val="center"/>
          </w:tcPr>
          <w:p>
            <w:pPr>
              <w:widowControl/>
              <w:spacing w:line="38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国家级</w:t>
            </w:r>
          </w:p>
        </w:tc>
        <w:tc>
          <w:tcPr>
            <w:tcW w:w="4536" w:type="dxa"/>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sz w:val="24"/>
                <w:szCs w:val="24"/>
              </w:rPr>
              <w:t>获得中国出版政府图书奖、入选国家哲学社会科学基金成果文库、入选</w:t>
            </w:r>
            <w:r>
              <w:rPr>
                <w:rFonts w:hint="eastAsia" w:cs="宋体" w:asciiTheme="minorEastAsia" w:hAnsiTheme="minorEastAsia"/>
                <w:kern w:val="0"/>
                <w:sz w:val="24"/>
                <w:szCs w:val="24"/>
              </w:rPr>
              <w:t>中央举办的全国性理论研讨会等</w:t>
            </w:r>
          </w:p>
        </w:tc>
        <w:tc>
          <w:tcPr>
            <w:tcW w:w="992" w:type="dxa"/>
            <w:vAlign w:val="center"/>
          </w:tcPr>
          <w:p>
            <w:pPr>
              <w:spacing w:line="380" w:lineRule="exact"/>
              <w:jc w:val="center"/>
              <w:rPr>
                <w:rFonts w:cs="宋体" w:asciiTheme="minorEastAsia" w:hAnsiTheme="minorEastAsia"/>
                <w:bCs/>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0</w:t>
            </w:r>
          </w:p>
        </w:tc>
        <w:tc>
          <w:tcPr>
            <w:tcW w:w="992" w:type="dxa"/>
            <w:vAlign w:val="center"/>
          </w:tcPr>
          <w:p>
            <w:pPr>
              <w:spacing w:line="380" w:lineRule="exact"/>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kern w:val="0"/>
                <w:sz w:val="24"/>
                <w:szCs w:val="24"/>
                <w:lang w:val="en-US" w:eastAsia="zh-CN"/>
              </w:rPr>
              <w:t>120</w:t>
            </w:r>
          </w:p>
        </w:tc>
        <w:tc>
          <w:tcPr>
            <w:tcW w:w="992" w:type="dxa"/>
            <w:vAlign w:val="center"/>
          </w:tcPr>
          <w:p>
            <w:pPr>
              <w:spacing w:line="380" w:lineRule="exact"/>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2" w:hRule="atLeast"/>
        </w:trPr>
        <w:tc>
          <w:tcPr>
            <w:tcW w:w="1418"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省部级</w:t>
            </w:r>
          </w:p>
        </w:tc>
        <w:tc>
          <w:tcPr>
            <w:tcW w:w="4536" w:type="dxa"/>
            <w:vAlign w:val="center"/>
          </w:tcPr>
          <w:p>
            <w:pPr>
              <w:widowControl/>
              <w:spacing w:line="380" w:lineRule="exact"/>
              <w:jc w:val="left"/>
              <w:rPr>
                <w:rFonts w:cs="宋体" w:asciiTheme="minorEastAsia" w:hAnsiTheme="minorEastAsia"/>
                <w:sz w:val="24"/>
                <w:szCs w:val="24"/>
              </w:rPr>
            </w:pPr>
            <w:r>
              <w:rPr>
                <w:rFonts w:hint="eastAsia" w:cs="宋体" w:asciiTheme="minorEastAsia" w:hAnsiTheme="minorEastAsia"/>
                <w:sz w:val="24"/>
                <w:szCs w:val="24"/>
              </w:rPr>
              <w:t>国家部委、中央党校（国家行政学院）等召开的全国性学术会议、省哲学社会科学优秀成果奖、全国“五个一”工程奖、入选省哲学社会科学基金成果文库、一级学科的全国性专业学会主办的全国性学术会议入选论文、以省委、省政府等四大班子名义举办的全省大型学术会议入选论文</w:t>
            </w:r>
          </w:p>
        </w:tc>
        <w:tc>
          <w:tcPr>
            <w:tcW w:w="992" w:type="dxa"/>
            <w:vAlign w:val="center"/>
          </w:tcPr>
          <w:p>
            <w:pPr>
              <w:spacing w:line="38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80</w:t>
            </w:r>
          </w:p>
        </w:tc>
        <w:tc>
          <w:tcPr>
            <w:tcW w:w="992" w:type="dxa"/>
            <w:vAlign w:val="center"/>
          </w:tcPr>
          <w:p>
            <w:pPr>
              <w:spacing w:line="38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60</w:t>
            </w:r>
          </w:p>
        </w:tc>
        <w:tc>
          <w:tcPr>
            <w:tcW w:w="992" w:type="dxa"/>
            <w:vAlign w:val="center"/>
          </w:tcPr>
          <w:p>
            <w:pPr>
              <w:spacing w:line="38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 w:hRule="atLeast"/>
        </w:trPr>
        <w:tc>
          <w:tcPr>
            <w:tcW w:w="1418"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厅局级</w:t>
            </w:r>
          </w:p>
        </w:tc>
        <w:tc>
          <w:tcPr>
            <w:tcW w:w="4536" w:type="dxa"/>
            <w:vAlign w:val="center"/>
          </w:tcPr>
          <w:p>
            <w:pPr>
              <w:widowControl/>
              <w:spacing w:line="380" w:lineRule="exact"/>
              <w:jc w:val="left"/>
              <w:rPr>
                <w:rFonts w:cs="宋体" w:asciiTheme="minorEastAsia" w:hAnsiTheme="minorEastAsia"/>
                <w:sz w:val="24"/>
                <w:szCs w:val="24"/>
              </w:rPr>
            </w:pPr>
            <w:r>
              <w:rPr>
                <w:rFonts w:hint="eastAsia" w:cs="宋体" w:asciiTheme="minorEastAsia" w:hAnsiTheme="minorEastAsia"/>
                <w:sz w:val="24"/>
                <w:szCs w:val="24"/>
              </w:rPr>
              <w:t>校（院）优秀科研成果奖、优秀决策咨询成果奖的科研成果、中央党校（国家行政学院）各教研部门举办的全国党校行政学院系统理论研讨会入选论文、全省党校行政学院系统理论研讨会一、二、三等奖的论文</w:t>
            </w:r>
          </w:p>
        </w:tc>
        <w:tc>
          <w:tcPr>
            <w:tcW w:w="992" w:type="dxa"/>
            <w:vAlign w:val="center"/>
          </w:tcPr>
          <w:p>
            <w:pPr>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15</w:t>
            </w:r>
          </w:p>
        </w:tc>
        <w:tc>
          <w:tcPr>
            <w:tcW w:w="992" w:type="dxa"/>
            <w:vAlign w:val="center"/>
          </w:tcPr>
          <w:p>
            <w:pPr>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c>
          <w:tcPr>
            <w:tcW w:w="992" w:type="dxa"/>
            <w:vAlign w:val="center"/>
          </w:tcPr>
          <w:p>
            <w:pPr>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 w:hRule="atLeast"/>
        </w:trPr>
        <w:tc>
          <w:tcPr>
            <w:tcW w:w="1418"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其他</w:t>
            </w:r>
          </w:p>
        </w:tc>
        <w:tc>
          <w:tcPr>
            <w:tcW w:w="4536" w:type="dxa"/>
            <w:vAlign w:val="center"/>
          </w:tcPr>
          <w:p>
            <w:pPr>
              <w:widowControl/>
              <w:spacing w:line="380" w:lineRule="exact"/>
              <w:jc w:val="left"/>
              <w:rPr>
                <w:rFonts w:cs="宋体" w:asciiTheme="minorEastAsia" w:hAnsiTheme="minorEastAsia"/>
                <w:sz w:val="24"/>
                <w:szCs w:val="24"/>
              </w:rPr>
            </w:pPr>
            <w:r>
              <w:rPr>
                <w:rFonts w:hint="eastAsia" w:cs="宋体" w:asciiTheme="minorEastAsia" w:hAnsiTheme="minorEastAsia"/>
                <w:sz w:val="24"/>
                <w:szCs w:val="24"/>
              </w:rPr>
              <w:t>其他研讨会获奖论文</w:t>
            </w:r>
          </w:p>
        </w:tc>
        <w:tc>
          <w:tcPr>
            <w:tcW w:w="992" w:type="dxa"/>
            <w:vAlign w:val="center"/>
          </w:tcPr>
          <w:p>
            <w:pPr>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992" w:type="dxa"/>
            <w:vAlign w:val="center"/>
          </w:tcPr>
          <w:p>
            <w:pPr>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992" w:type="dxa"/>
            <w:vAlign w:val="center"/>
          </w:tcPr>
          <w:p>
            <w:pPr>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bl>
    <w:p>
      <w:pPr>
        <w:widowControl/>
        <w:shd w:val="clear" w:color="auto" w:fill="FFFFFF"/>
        <w:spacing w:line="380" w:lineRule="exact"/>
        <w:ind w:firstLine="480" w:firstLineChars="200"/>
        <w:jc w:val="left"/>
        <w:rPr>
          <w:rFonts w:cs="宋体" w:asciiTheme="minorEastAsia" w:hAnsiTheme="minorEastAsia"/>
          <w:bCs/>
          <w:kern w:val="0"/>
          <w:sz w:val="24"/>
          <w:szCs w:val="24"/>
        </w:rPr>
      </w:pPr>
    </w:p>
    <w:p>
      <w:pPr>
        <w:widowControl/>
        <w:shd w:val="clear" w:color="auto" w:fill="FFFFFF"/>
        <w:spacing w:line="380" w:lineRule="exact"/>
        <w:ind w:firstLine="480" w:firstLineChars="200"/>
        <w:jc w:val="left"/>
        <w:rPr>
          <w:rFonts w:cs="宋体" w:asciiTheme="minorEastAsia" w:hAnsiTheme="minorEastAsia"/>
          <w:bCs/>
          <w:kern w:val="0"/>
          <w:sz w:val="24"/>
          <w:szCs w:val="24"/>
        </w:rPr>
      </w:pPr>
    </w:p>
    <w:p>
      <w:pPr>
        <w:widowControl/>
        <w:shd w:val="clear" w:color="auto" w:fill="FFFFFF"/>
        <w:spacing w:line="380" w:lineRule="exact"/>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备注：</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bCs/>
          <w:kern w:val="0"/>
          <w:sz w:val="24"/>
          <w:szCs w:val="24"/>
        </w:rPr>
        <w:t>①</w:t>
      </w:r>
      <w:r>
        <w:rPr>
          <w:rFonts w:hint="eastAsia" w:cs="宋体" w:asciiTheme="minorEastAsia" w:hAnsiTheme="minorEastAsia"/>
          <w:kern w:val="0"/>
          <w:sz w:val="24"/>
          <w:szCs w:val="24"/>
        </w:rPr>
        <w:t>国家级奖项的第一、二作者和省部级以上奖项的第一作者直接评定为一等奖学金。</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②集体成果，第一作者按计分标准计分，第二至第五作者依次按计分标准的50%、30%、20%、10%计分；国家级奖项其余参与者计8分，省部级奖项其余参与者计3分。</w:t>
      </w:r>
      <w:r>
        <w:rPr>
          <w:rFonts w:hint="eastAsia" w:cs="宋体" w:asciiTheme="minorEastAsia" w:hAnsiTheme="minorEastAsia"/>
          <w:bCs/>
          <w:kern w:val="0"/>
          <w:sz w:val="24"/>
          <w:szCs w:val="24"/>
        </w:rPr>
        <w:t>导师参与署名时不计入作者排名。</w:t>
      </w:r>
    </w:p>
    <w:p>
      <w:pPr>
        <w:widowControl/>
        <w:shd w:val="clear" w:color="auto" w:fill="FFFFFF"/>
        <w:spacing w:line="380" w:lineRule="exact"/>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③三等奖以上才能计分，不设奖励等级的按二等奖标准计分，会议论文只收录摘要的不计分。</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（四）综合素质与现实表现（C）</w:t>
      </w:r>
    </w:p>
    <w:p>
      <w:pPr>
        <w:widowControl/>
        <w:shd w:val="clear" w:color="auto" w:fill="FFFFFF"/>
        <w:spacing w:line="380" w:lineRule="exact"/>
        <w:ind w:firstLine="480" w:firstLineChars="200"/>
        <w:jc w:val="left"/>
        <w:rPr>
          <w:rFonts w:cs="Times New Roman" w:asciiTheme="minorEastAsia" w:hAnsiTheme="minorEastAsia"/>
          <w:kern w:val="0"/>
          <w:sz w:val="24"/>
          <w:szCs w:val="24"/>
        </w:rPr>
      </w:pPr>
      <w:r>
        <w:rPr>
          <w:rFonts w:hint="eastAsia" w:cs="宋体" w:asciiTheme="minorEastAsia" w:hAnsiTheme="minorEastAsia"/>
          <w:bCs/>
          <w:kern w:val="0"/>
          <w:sz w:val="24"/>
          <w:szCs w:val="24"/>
        </w:rPr>
        <w:t>综合素质与现实表现（C）</w:t>
      </w:r>
      <w:r>
        <w:rPr>
          <w:rFonts w:cs="Times New Roman" w:asciiTheme="minorEastAsia" w:hAnsiTheme="minorEastAsia"/>
          <w:bCs/>
          <w:kern w:val="0"/>
          <w:sz w:val="24"/>
          <w:szCs w:val="24"/>
        </w:rPr>
        <w:t>=∑</w:t>
      </w:r>
      <w:r>
        <w:rPr>
          <w:rFonts w:hint="eastAsia" w:cs="宋体" w:asciiTheme="minorEastAsia" w:hAnsiTheme="minorEastAsia"/>
          <w:bCs/>
          <w:kern w:val="0"/>
          <w:sz w:val="24"/>
          <w:szCs w:val="24"/>
        </w:rPr>
        <w:t>各综合素质与现实表现项目赋分</w:t>
      </w:r>
    </w:p>
    <w:p>
      <w:pPr>
        <w:widowControl/>
        <w:shd w:val="clear" w:color="auto" w:fill="FFFFFF"/>
        <w:spacing w:line="380" w:lineRule="exact"/>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1.考勤</w:t>
      </w:r>
    </w:p>
    <w:p>
      <w:pPr>
        <w:widowControl/>
        <w:shd w:val="clear" w:color="auto" w:fill="FFFFFF"/>
        <w:spacing w:line="380" w:lineRule="exact"/>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考勤采取减分制，考勤范围为培养计划内的开学典礼、上课、实习等教学活动,学校、研究生部组织的集体活动或学术报告等。</w:t>
      </w:r>
    </w:p>
    <w:p>
      <w:pPr>
        <w:widowControl/>
        <w:shd w:val="clear" w:color="auto" w:fill="FFFFFF"/>
        <w:spacing w:line="380" w:lineRule="exact"/>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①请假：事假每半天减0.5分，每天减1分；迟到、早退每次减0.2分；病假每天减0.2分（须提供就诊或治疗证明）。</w:t>
      </w:r>
    </w:p>
    <w:p>
      <w:pPr>
        <w:widowControl/>
        <w:shd w:val="clear" w:color="auto" w:fill="FFFFFF"/>
        <w:spacing w:line="380" w:lineRule="exact"/>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②旷课：每半天减1分，每天减2分，减分超过10分，取消当年参评资格。</w:t>
      </w:r>
    </w:p>
    <w:p>
      <w:pPr>
        <w:widowControl/>
        <w:shd w:val="clear" w:color="auto" w:fill="FFFFFF"/>
        <w:spacing w:line="380" w:lineRule="exact"/>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③由于学生个人原因未按时提交中期筛选、开题报告等材料的，按工作日计算迟交5天以内减1分，迟交10天以内减5分，超过10天减20分，超过20天取消当年参评资格。</w:t>
      </w:r>
    </w:p>
    <w:p>
      <w:pPr>
        <w:widowControl/>
        <w:shd w:val="clear" w:color="auto" w:fill="FFFFFF"/>
        <w:spacing w:line="380" w:lineRule="exact"/>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2.社会实践活动</w:t>
      </w:r>
    </w:p>
    <w:p>
      <w:pPr>
        <w:widowControl/>
        <w:shd w:val="clear" w:color="auto" w:fill="FFFFFF"/>
        <w:spacing w:line="380" w:lineRule="exact"/>
        <w:ind w:firstLine="480" w:firstLineChars="200"/>
        <w:jc w:val="left"/>
        <w:rPr>
          <w:rFonts w:cs="宋体" w:asciiTheme="minorEastAsia" w:hAnsiTheme="minorEastAsia"/>
          <w:bCs/>
          <w:kern w:val="0"/>
          <w:sz w:val="24"/>
          <w:szCs w:val="24"/>
        </w:rPr>
      </w:pPr>
      <w:r>
        <w:rPr>
          <w:rFonts w:hint="eastAsia" w:cs="宋体" w:asciiTheme="minorEastAsia" w:hAnsiTheme="minorEastAsia"/>
          <w:kern w:val="0"/>
          <w:sz w:val="24"/>
          <w:szCs w:val="24"/>
        </w:rPr>
        <w:t>在社会实践或参与各类竞赛性活动中有突出表现，获得相关荣誉称号与奖励的适当加分（不含科研类奖项）。</w:t>
      </w:r>
      <w:r>
        <w:rPr>
          <w:rFonts w:hint="eastAsia" w:ascii="宋体" w:hAnsi="宋体" w:eastAsia="宋体" w:cs="宋体"/>
          <w:kern w:val="0"/>
          <w:sz w:val="24"/>
        </w:rPr>
        <w:t>同一项目获得多个奖项只加一次最高分。</w:t>
      </w: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796"/>
        <w:gridCol w:w="796"/>
        <w:gridCol w:w="795"/>
        <w:gridCol w:w="795"/>
        <w:gridCol w:w="795"/>
        <w:gridCol w:w="795"/>
        <w:gridCol w:w="795"/>
        <w:gridCol w:w="795"/>
        <w:gridCol w:w="79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restart"/>
            <w:vAlign w:val="center"/>
          </w:tcPr>
          <w:p>
            <w:pPr>
              <w:widowControl/>
              <w:spacing w:line="38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奖</w:t>
            </w:r>
          </w:p>
          <w:p>
            <w:pPr>
              <w:widowControl/>
              <w:spacing w:line="38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励</w:t>
            </w:r>
          </w:p>
          <w:p>
            <w:pPr>
              <w:widowControl/>
              <w:spacing w:line="38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级</w:t>
            </w:r>
          </w:p>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b/>
                <w:bCs/>
                <w:kern w:val="0"/>
                <w:sz w:val="24"/>
                <w:szCs w:val="24"/>
              </w:rPr>
              <w:t>别</w:t>
            </w:r>
          </w:p>
        </w:tc>
        <w:tc>
          <w:tcPr>
            <w:tcW w:w="7952" w:type="dxa"/>
            <w:gridSpan w:val="10"/>
            <w:vAlign w:val="center"/>
          </w:tcPr>
          <w:p>
            <w:pPr>
              <w:widowControl/>
              <w:spacing w:line="38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奖励等级与赋分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vAlign w:val="center"/>
          </w:tcPr>
          <w:p>
            <w:pPr>
              <w:widowControl/>
              <w:spacing w:line="380" w:lineRule="exact"/>
              <w:jc w:val="center"/>
              <w:rPr>
                <w:rFonts w:cs="宋体" w:asciiTheme="minorEastAsia" w:hAnsiTheme="minorEastAsia"/>
                <w:kern w:val="0"/>
                <w:sz w:val="24"/>
                <w:szCs w:val="24"/>
              </w:rPr>
            </w:pPr>
          </w:p>
        </w:tc>
        <w:tc>
          <w:tcPr>
            <w:tcW w:w="3977" w:type="dxa"/>
            <w:gridSpan w:val="5"/>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个人奖励</w:t>
            </w:r>
          </w:p>
        </w:tc>
        <w:tc>
          <w:tcPr>
            <w:tcW w:w="3975" w:type="dxa"/>
            <w:gridSpan w:val="5"/>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集体奖励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5" w:type="dxa"/>
            <w:vMerge w:val="continue"/>
            <w:vAlign w:val="center"/>
          </w:tcPr>
          <w:p>
            <w:pPr>
              <w:widowControl/>
              <w:spacing w:line="380" w:lineRule="exact"/>
              <w:jc w:val="center"/>
              <w:rPr>
                <w:rFonts w:cs="宋体" w:asciiTheme="minorEastAsia" w:hAnsiTheme="minorEastAsia"/>
                <w:kern w:val="0"/>
                <w:sz w:val="24"/>
                <w:szCs w:val="24"/>
              </w:rPr>
            </w:pPr>
          </w:p>
        </w:tc>
        <w:tc>
          <w:tcPr>
            <w:tcW w:w="796"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荣誉</w:t>
            </w:r>
          </w:p>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称号</w:t>
            </w:r>
          </w:p>
        </w:tc>
        <w:tc>
          <w:tcPr>
            <w:tcW w:w="796"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一等奖</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二等奖</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三等奖</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优胜奖</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荣誉</w:t>
            </w:r>
          </w:p>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称号</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一等奖</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二等奖</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三等奖</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优胜奖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21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国家级</w:t>
            </w:r>
          </w:p>
        </w:tc>
        <w:tc>
          <w:tcPr>
            <w:tcW w:w="796" w:type="dxa"/>
            <w:vAlign w:val="center"/>
          </w:tcPr>
          <w:p>
            <w:pPr>
              <w:widowControl/>
              <w:spacing w:line="38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一等奖学金</w:t>
            </w:r>
          </w:p>
        </w:tc>
        <w:tc>
          <w:tcPr>
            <w:tcW w:w="796" w:type="dxa"/>
            <w:vAlign w:val="center"/>
          </w:tcPr>
          <w:p>
            <w:pPr>
              <w:widowControl/>
              <w:spacing w:line="38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一等奖学金</w:t>
            </w:r>
          </w:p>
        </w:tc>
        <w:tc>
          <w:tcPr>
            <w:tcW w:w="795" w:type="dxa"/>
            <w:vAlign w:val="center"/>
          </w:tcPr>
          <w:p>
            <w:pPr>
              <w:widowControl/>
              <w:spacing w:line="38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一等奖学金</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80</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40</w:t>
            </w:r>
          </w:p>
        </w:tc>
        <w:tc>
          <w:tcPr>
            <w:tcW w:w="795" w:type="dxa"/>
            <w:vAlign w:val="center"/>
          </w:tcPr>
          <w:p>
            <w:pPr>
              <w:widowControl/>
              <w:spacing w:line="38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一等奖学金</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80</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60</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40</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21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省部级</w:t>
            </w:r>
          </w:p>
        </w:tc>
        <w:tc>
          <w:tcPr>
            <w:tcW w:w="796" w:type="dxa"/>
            <w:vAlign w:val="center"/>
          </w:tcPr>
          <w:p>
            <w:pPr>
              <w:widowControl/>
              <w:spacing w:line="38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一等奖学金</w:t>
            </w:r>
          </w:p>
        </w:tc>
        <w:tc>
          <w:tcPr>
            <w:tcW w:w="796" w:type="dxa"/>
            <w:vAlign w:val="center"/>
          </w:tcPr>
          <w:p>
            <w:pPr>
              <w:widowControl/>
              <w:spacing w:line="38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一等奖学金</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50</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30</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15</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60</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50</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30</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20</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21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校级、</w:t>
            </w:r>
          </w:p>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厅局级</w:t>
            </w:r>
          </w:p>
        </w:tc>
        <w:tc>
          <w:tcPr>
            <w:tcW w:w="796"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796"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795"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r>
    </w:tbl>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备注：</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bCs/>
          <w:kern w:val="0"/>
          <w:sz w:val="24"/>
          <w:szCs w:val="24"/>
        </w:rPr>
        <w:t>①</w:t>
      </w:r>
      <w:r>
        <w:rPr>
          <w:rFonts w:hint="eastAsia" w:cs="宋体" w:asciiTheme="minorEastAsia" w:hAnsiTheme="minorEastAsia"/>
          <w:kern w:val="0"/>
          <w:sz w:val="24"/>
          <w:szCs w:val="24"/>
        </w:rPr>
        <w:t>在社会实践中有突出表现，获得县（市、区）党委政府专门表彰的，凭表彰文件计10分；获得乡镇党委政府专门表彰的，凭表彰文件计4分。</w:t>
      </w:r>
    </w:p>
    <w:p>
      <w:pPr>
        <w:widowControl/>
        <w:shd w:val="clear" w:color="auto" w:fill="FFFFFF"/>
        <w:spacing w:line="380" w:lineRule="exact"/>
        <w:ind w:firstLine="480" w:firstLineChars="200"/>
        <w:jc w:val="left"/>
        <w:rPr>
          <w:rFonts w:hint="eastAsia" w:ascii="宋体" w:hAnsi="宋体" w:eastAsia="宋体" w:cs="宋体"/>
          <w:kern w:val="0"/>
          <w:sz w:val="24"/>
        </w:rPr>
      </w:pPr>
      <w:r>
        <w:rPr>
          <w:rFonts w:hint="eastAsia" w:cs="宋体" w:asciiTheme="minorEastAsia" w:hAnsiTheme="minorEastAsia"/>
          <w:kern w:val="0"/>
          <w:sz w:val="24"/>
          <w:szCs w:val="24"/>
        </w:rPr>
        <w:t>②在校（厅局）级比赛中</w:t>
      </w:r>
      <w:r>
        <w:rPr>
          <w:rFonts w:hint="eastAsia" w:ascii="宋体" w:hAnsi="宋体" w:eastAsia="宋体" w:cs="宋体"/>
          <w:kern w:val="0"/>
          <w:sz w:val="24"/>
        </w:rPr>
        <w:t>获“最佳”称号的,额外加2分。</w:t>
      </w:r>
    </w:p>
    <w:p>
      <w:pPr>
        <w:widowControl/>
        <w:shd w:val="clear" w:color="auto" w:fill="FFFFFF"/>
        <w:spacing w:line="380" w:lineRule="exact"/>
        <w:ind w:firstLine="480" w:firstLineChars="200"/>
        <w:jc w:val="left"/>
        <w:rPr>
          <w:rFonts w:hint="default" w:ascii="宋体" w:hAnsi="宋体" w:cs="宋体" w:eastAsiaTheme="minorEastAsia"/>
          <w:kern w:val="0"/>
          <w:sz w:val="24"/>
          <w:lang w:val="en-US" w:eastAsia="zh-CN"/>
        </w:rPr>
      </w:pPr>
      <w:r>
        <w:rPr>
          <w:rFonts w:hint="eastAsia" w:cs="宋体" w:asciiTheme="minorEastAsia" w:hAnsiTheme="minorEastAsia"/>
          <w:bCs/>
          <w:kern w:val="0"/>
          <w:sz w:val="24"/>
          <w:szCs w:val="24"/>
        </w:rPr>
        <w:t>③</w:t>
      </w:r>
      <w:r>
        <w:rPr>
          <w:rFonts w:hint="eastAsia" w:cs="宋体" w:asciiTheme="minorEastAsia" w:hAnsiTheme="minorEastAsia"/>
          <w:bCs/>
          <w:kern w:val="0"/>
          <w:sz w:val="24"/>
          <w:szCs w:val="24"/>
          <w:lang w:eastAsia="zh-CN"/>
        </w:rPr>
        <w:t>其他一般社会实践活动加</w:t>
      </w:r>
      <w:r>
        <w:rPr>
          <w:rFonts w:hint="eastAsia" w:cs="宋体" w:asciiTheme="minorEastAsia" w:hAnsiTheme="minorEastAsia"/>
          <w:bCs/>
          <w:kern w:val="0"/>
          <w:sz w:val="24"/>
          <w:szCs w:val="24"/>
          <w:lang w:val="en-US" w:eastAsia="zh-CN"/>
        </w:rPr>
        <w:t>1分。</w:t>
      </w:r>
    </w:p>
    <w:p>
      <w:pPr>
        <w:widowControl/>
        <w:shd w:val="clear" w:color="auto" w:fill="FFFFFF"/>
        <w:spacing w:line="380" w:lineRule="exact"/>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3.学生服务工作</w:t>
      </w:r>
    </w:p>
    <w:p>
      <w:pPr>
        <w:widowControl/>
        <w:shd w:val="clear" w:color="auto" w:fill="FFFFFF"/>
        <w:spacing w:line="380" w:lineRule="exact"/>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学生服务工作需任职至少一届，每个评审年度只记一次，不累积加分。</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vAlign w:val="center"/>
          </w:tcPr>
          <w:p>
            <w:pPr>
              <w:widowControl/>
              <w:spacing w:line="38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学生服务工作任职</w:t>
            </w:r>
          </w:p>
        </w:tc>
        <w:tc>
          <w:tcPr>
            <w:tcW w:w="2410" w:type="dxa"/>
            <w:vAlign w:val="center"/>
          </w:tcPr>
          <w:p>
            <w:pPr>
              <w:widowControl/>
              <w:spacing w:line="380" w:lineRule="exact"/>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校研究生会主席、各班班长、党支部书记</w:t>
            </w:r>
          </w:p>
        </w:tc>
        <w:tc>
          <w:tcPr>
            <w:tcW w:w="2410"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校研究生会副主席、各部部长，各班副班长、</w:t>
            </w:r>
          </w:p>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党支部副书记、团支部书记</w:t>
            </w:r>
          </w:p>
        </w:tc>
        <w:tc>
          <w:tcPr>
            <w:tcW w:w="2410"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校研究生会其他成员、各班其他班委及党团干部</w:t>
            </w:r>
          </w:p>
        </w:tc>
        <w:tc>
          <w:tcPr>
            <w:tcW w:w="2410" w:type="dxa"/>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r>
    </w:tbl>
    <w:p>
      <w:pPr>
        <w:widowControl/>
        <w:shd w:val="clear" w:color="auto" w:fill="FFFFFF"/>
        <w:spacing w:line="380" w:lineRule="exact"/>
        <w:ind w:firstLine="480" w:firstLineChars="200"/>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4.其他</w:t>
      </w:r>
    </w:p>
    <w:p>
      <w:pPr>
        <w:widowControl/>
        <w:shd w:val="clear" w:color="auto" w:fill="FFFFFF"/>
        <w:spacing w:line="380" w:lineRule="exact"/>
        <w:ind w:firstLine="480" w:firstLineChars="200"/>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法律硕士获得法律职业资格证书A证，计10分；获得B证和C证，计5分。此项计分只限法律专业硕士计分，且只计算一次。</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（五）导师评价（T）</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导师评价分值最高为10分，由导师根据学生的全面表现进行打分评价。</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（六）家庭经济状况（F）</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cs="Arial" w:asciiTheme="minorEastAsia" w:hAnsiTheme="minorEastAsia"/>
          <w:sz w:val="24"/>
          <w:szCs w:val="24"/>
          <w:shd w:val="clear" w:color="auto" w:fill="FFFFFF"/>
        </w:rPr>
        <w:t>有建档立卡贫困户证明</w:t>
      </w:r>
      <w:r>
        <w:rPr>
          <w:rFonts w:hint="eastAsia" w:cs="Arial" w:asciiTheme="minorEastAsia" w:hAnsiTheme="minorEastAsia"/>
          <w:sz w:val="24"/>
          <w:szCs w:val="24"/>
          <w:shd w:val="clear" w:color="auto" w:fill="FFFFFF"/>
        </w:rPr>
        <w:t>、</w:t>
      </w:r>
      <w:r>
        <w:rPr>
          <w:rFonts w:cs="Arial" w:asciiTheme="minorEastAsia" w:hAnsiTheme="minorEastAsia"/>
          <w:sz w:val="24"/>
          <w:szCs w:val="24"/>
          <w:shd w:val="clear" w:color="auto" w:fill="FFFFFF"/>
        </w:rPr>
        <w:t>低保户证</w:t>
      </w:r>
      <w:r>
        <w:rPr>
          <w:rFonts w:hint="eastAsia" w:cs="Arial" w:asciiTheme="minorEastAsia" w:hAnsiTheme="minorEastAsia"/>
          <w:sz w:val="24"/>
          <w:szCs w:val="24"/>
          <w:shd w:val="clear" w:color="auto" w:fill="FFFFFF"/>
        </w:rPr>
        <w:t>的学生，统一按6分计分。</w:t>
      </w:r>
    </w:p>
    <w:p>
      <w:pPr>
        <w:widowControl/>
        <w:shd w:val="clear" w:color="auto" w:fill="FFFFFF"/>
        <w:spacing w:line="380" w:lineRule="exact"/>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四、评审程序</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（一）学生填报学业奖学金申报表，并提供相关证明材料；在评审过程中，如发现申请人有弄虚作假、恶意欺瞒等行为，将取消其学年内奖学金的评选资格。</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（二）各学业奖学金评审委员会组织初评，核查相关材料，并将结果在各培养单位和研究生班公示，公示期不少于5个工作日；</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（三）研究生部审核，并将结果在全校范围内公示，公示期不少于5个工作日；</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（四）校硕士研究生奖学金评审领导小组审核。</w:t>
      </w:r>
    </w:p>
    <w:p>
      <w:pPr>
        <w:widowControl/>
        <w:shd w:val="clear" w:color="auto" w:fill="FFFFFF"/>
        <w:spacing w:line="380" w:lineRule="exact"/>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五、其他</w:t>
      </w:r>
    </w:p>
    <w:p>
      <w:pPr>
        <w:widowControl/>
        <w:shd w:val="clear" w:color="auto" w:fill="FFFFFF"/>
        <w:spacing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bCs/>
          <w:kern w:val="0"/>
          <w:sz w:val="24"/>
          <w:szCs w:val="24"/>
        </w:rPr>
        <w:t>（一）所有科研成果的界定以学校科研管理相关文件为准，本细则有列举未尽情况的，参照学校科研管理相关文件执行。如仍有疑义，由校</w:t>
      </w:r>
      <w:r>
        <w:rPr>
          <w:rFonts w:hint="eastAsia" w:cs="宋体" w:asciiTheme="minorEastAsia" w:hAnsiTheme="minorEastAsia"/>
          <w:kern w:val="0"/>
          <w:sz w:val="24"/>
          <w:szCs w:val="24"/>
          <w:shd w:val="clear" w:color="auto" w:fill="FFFFFF"/>
        </w:rPr>
        <w:t>硕士研究生奖学金评审领导小组办公室协商科研部认定并解释</w:t>
      </w:r>
      <w:r>
        <w:rPr>
          <w:rFonts w:hint="eastAsia" w:cs="宋体" w:asciiTheme="minorEastAsia" w:hAnsiTheme="minorEastAsia"/>
          <w:bCs/>
          <w:kern w:val="0"/>
          <w:sz w:val="24"/>
          <w:szCs w:val="24"/>
        </w:rPr>
        <w:t>。</w:t>
      </w:r>
    </w:p>
    <w:p>
      <w:pPr>
        <w:widowControl/>
        <w:shd w:val="clear" w:color="auto" w:fill="FFFFFF"/>
        <w:spacing w:line="380" w:lineRule="exact"/>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（二）本评审细则自公布之日起施行，由研究生部负责解释。</w:t>
      </w:r>
    </w:p>
    <w:sectPr>
      <w:pgSz w:w="11906" w:h="16838"/>
      <w:pgMar w:top="1440"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BiYjMxYjVjNzllYjliOWU3OWNlOTI3M2I4ZmQzOWUifQ=="/>
  </w:docVars>
  <w:rsids>
    <w:rsidRoot w:val="006E21C7"/>
    <w:rsid w:val="00002BE2"/>
    <w:rsid w:val="0000509B"/>
    <w:rsid w:val="000125CF"/>
    <w:rsid w:val="0001742A"/>
    <w:rsid w:val="00024194"/>
    <w:rsid w:val="00034DCC"/>
    <w:rsid w:val="00040412"/>
    <w:rsid w:val="0004306C"/>
    <w:rsid w:val="00050001"/>
    <w:rsid w:val="000624D4"/>
    <w:rsid w:val="00062919"/>
    <w:rsid w:val="00062E80"/>
    <w:rsid w:val="00065CEC"/>
    <w:rsid w:val="00065E5E"/>
    <w:rsid w:val="0008255C"/>
    <w:rsid w:val="000901BC"/>
    <w:rsid w:val="00094893"/>
    <w:rsid w:val="000A172A"/>
    <w:rsid w:val="000C3948"/>
    <w:rsid w:val="000C63F7"/>
    <w:rsid w:val="000D0547"/>
    <w:rsid w:val="000E7A87"/>
    <w:rsid w:val="000F79B9"/>
    <w:rsid w:val="00103EDC"/>
    <w:rsid w:val="0011687F"/>
    <w:rsid w:val="0013640D"/>
    <w:rsid w:val="00137B59"/>
    <w:rsid w:val="00150C80"/>
    <w:rsid w:val="0016467C"/>
    <w:rsid w:val="00173C67"/>
    <w:rsid w:val="00195321"/>
    <w:rsid w:val="001A0A03"/>
    <w:rsid w:val="001C0F8E"/>
    <w:rsid w:val="001D0958"/>
    <w:rsid w:val="001D59C5"/>
    <w:rsid w:val="001F110C"/>
    <w:rsid w:val="001F5883"/>
    <w:rsid w:val="00224F8F"/>
    <w:rsid w:val="00227E4D"/>
    <w:rsid w:val="00230091"/>
    <w:rsid w:val="00241D0B"/>
    <w:rsid w:val="002433E2"/>
    <w:rsid w:val="00255DF2"/>
    <w:rsid w:val="00261E85"/>
    <w:rsid w:val="0028107F"/>
    <w:rsid w:val="00292139"/>
    <w:rsid w:val="00292AF6"/>
    <w:rsid w:val="0029748B"/>
    <w:rsid w:val="00297E93"/>
    <w:rsid w:val="002A7578"/>
    <w:rsid w:val="002C77FC"/>
    <w:rsid w:val="002D5A65"/>
    <w:rsid w:val="002E7B8E"/>
    <w:rsid w:val="002F4D61"/>
    <w:rsid w:val="002F5F43"/>
    <w:rsid w:val="0031364D"/>
    <w:rsid w:val="0032654F"/>
    <w:rsid w:val="00333494"/>
    <w:rsid w:val="00336839"/>
    <w:rsid w:val="00384AE7"/>
    <w:rsid w:val="003E69DE"/>
    <w:rsid w:val="003E6A54"/>
    <w:rsid w:val="003F25E5"/>
    <w:rsid w:val="00402829"/>
    <w:rsid w:val="00424168"/>
    <w:rsid w:val="00425670"/>
    <w:rsid w:val="00426346"/>
    <w:rsid w:val="004418E4"/>
    <w:rsid w:val="00442166"/>
    <w:rsid w:val="00447C37"/>
    <w:rsid w:val="00461BEA"/>
    <w:rsid w:val="00465CC4"/>
    <w:rsid w:val="004740F3"/>
    <w:rsid w:val="004753DF"/>
    <w:rsid w:val="004902EB"/>
    <w:rsid w:val="00493213"/>
    <w:rsid w:val="00494675"/>
    <w:rsid w:val="004B3038"/>
    <w:rsid w:val="004B533D"/>
    <w:rsid w:val="004B6123"/>
    <w:rsid w:val="004C42FF"/>
    <w:rsid w:val="004D29E4"/>
    <w:rsid w:val="00504D20"/>
    <w:rsid w:val="00505607"/>
    <w:rsid w:val="00511B22"/>
    <w:rsid w:val="0052454A"/>
    <w:rsid w:val="00525E60"/>
    <w:rsid w:val="005278FA"/>
    <w:rsid w:val="00531E3C"/>
    <w:rsid w:val="00533CEE"/>
    <w:rsid w:val="00536E4F"/>
    <w:rsid w:val="00540D2F"/>
    <w:rsid w:val="005510EA"/>
    <w:rsid w:val="005511E2"/>
    <w:rsid w:val="00575F9E"/>
    <w:rsid w:val="00580C0F"/>
    <w:rsid w:val="005A0B2E"/>
    <w:rsid w:val="005B0CCB"/>
    <w:rsid w:val="005C52BB"/>
    <w:rsid w:val="005D5E61"/>
    <w:rsid w:val="005D6B09"/>
    <w:rsid w:val="005D75E0"/>
    <w:rsid w:val="006048F0"/>
    <w:rsid w:val="0061385A"/>
    <w:rsid w:val="00614405"/>
    <w:rsid w:val="00634F77"/>
    <w:rsid w:val="00641747"/>
    <w:rsid w:val="00646351"/>
    <w:rsid w:val="00650FC0"/>
    <w:rsid w:val="00655FE1"/>
    <w:rsid w:val="00674292"/>
    <w:rsid w:val="00687035"/>
    <w:rsid w:val="00693AD5"/>
    <w:rsid w:val="00695647"/>
    <w:rsid w:val="00695653"/>
    <w:rsid w:val="006A30F2"/>
    <w:rsid w:val="006A3BC4"/>
    <w:rsid w:val="006C032B"/>
    <w:rsid w:val="006D306B"/>
    <w:rsid w:val="006E1400"/>
    <w:rsid w:val="006E21C7"/>
    <w:rsid w:val="006E25E6"/>
    <w:rsid w:val="006E4B55"/>
    <w:rsid w:val="006E4D4F"/>
    <w:rsid w:val="006E6348"/>
    <w:rsid w:val="006F43AD"/>
    <w:rsid w:val="006F53DE"/>
    <w:rsid w:val="006F5A19"/>
    <w:rsid w:val="00705E62"/>
    <w:rsid w:val="0070725A"/>
    <w:rsid w:val="00707897"/>
    <w:rsid w:val="0071160D"/>
    <w:rsid w:val="00714F66"/>
    <w:rsid w:val="007161C4"/>
    <w:rsid w:val="00724BB8"/>
    <w:rsid w:val="007374A6"/>
    <w:rsid w:val="00742254"/>
    <w:rsid w:val="00742603"/>
    <w:rsid w:val="0076065D"/>
    <w:rsid w:val="007660ED"/>
    <w:rsid w:val="00776BD1"/>
    <w:rsid w:val="00796819"/>
    <w:rsid w:val="00797A00"/>
    <w:rsid w:val="007A4B8B"/>
    <w:rsid w:val="007B55E1"/>
    <w:rsid w:val="007B7850"/>
    <w:rsid w:val="007C6B6E"/>
    <w:rsid w:val="007C7A14"/>
    <w:rsid w:val="007D047E"/>
    <w:rsid w:val="007E1522"/>
    <w:rsid w:val="007F25E3"/>
    <w:rsid w:val="007F41B7"/>
    <w:rsid w:val="00800C47"/>
    <w:rsid w:val="00805E32"/>
    <w:rsid w:val="00812940"/>
    <w:rsid w:val="00813FF2"/>
    <w:rsid w:val="008145DB"/>
    <w:rsid w:val="0081462A"/>
    <w:rsid w:val="00816878"/>
    <w:rsid w:val="00821A8B"/>
    <w:rsid w:val="008231AE"/>
    <w:rsid w:val="008257B6"/>
    <w:rsid w:val="00833649"/>
    <w:rsid w:val="00836556"/>
    <w:rsid w:val="00845E87"/>
    <w:rsid w:val="00850808"/>
    <w:rsid w:val="008557A9"/>
    <w:rsid w:val="00865F90"/>
    <w:rsid w:val="008664FA"/>
    <w:rsid w:val="00870F5F"/>
    <w:rsid w:val="0088035C"/>
    <w:rsid w:val="00886EFE"/>
    <w:rsid w:val="008E3347"/>
    <w:rsid w:val="008F4B03"/>
    <w:rsid w:val="009159DE"/>
    <w:rsid w:val="00920054"/>
    <w:rsid w:val="00935DBA"/>
    <w:rsid w:val="00956120"/>
    <w:rsid w:val="009606CA"/>
    <w:rsid w:val="00972A02"/>
    <w:rsid w:val="009757F7"/>
    <w:rsid w:val="00986EEA"/>
    <w:rsid w:val="00990125"/>
    <w:rsid w:val="009B46C0"/>
    <w:rsid w:val="009B5309"/>
    <w:rsid w:val="009C6089"/>
    <w:rsid w:val="009D0B10"/>
    <w:rsid w:val="009D462F"/>
    <w:rsid w:val="009E0681"/>
    <w:rsid w:val="009F5D4A"/>
    <w:rsid w:val="00A04456"/>
    <w:rsid w:val="00A06277"/>
    <w:rsid w:val="00A13146"/>
    <w:rsid w:val="00A2105D"/>
    <w:rsid w:val="00A35840"/>
    <w:rsid w:val="00A50863"/>
    <w:rsid w:val="00A57A04"/>
    <w:rsid w:val="00A7557B"/>
    <w:rsid w:val="00AC3A20"/>
    <w:rsid w:val="00AE1877"/>
    <w:rsid w:val="00AE3690"/>
    <w:rsid w:val="00AF07E9"/>
    <w:rsid w:val="00AF09EF"/>
    <w:rsid w:val="00B04DB9"/>
    <w:rsid w:val="00B15EB1"/>
    <w:rsid w:val="00B22C34"/>
    <w:rsid w:val="00B319B1"/>
    <w:rsid w:val="00B40D96"/>
    <w:rsid w:val="00B419A7"/>
    <w:rsid w:val="00B73F66"/>
    <w:rsid w:val="00B744B0"/>
    <w:rsid w:val="00B86B82"/>
    <w:rsid w:val="00B93029"/>
    <w:rsid w:val="00B9610C"/>
    <w:rsid w:val="00BA4617"/>
    <w:rsid w:val="00BA5C8D"/>
    <w:rsid w:val="00BB73A0"/>
    <w:rsid w:val="00BC0094"/>
    <w:rsid w:val="00BC1539"/>
    <w:rsid w:val="00BD329F"/>
    <w:rsid w:val="00BE06A0"/>
    <w:rsid w:val="00BE7A93"/>
    <w:rsid w:val="00BF5E26"/>
    <w:rsid w:val="00C34529"/>
    <w:rsid w:val="00C6177F"/>
    <w:rsid w:val="00C70CFD"/>
    <w:rsid w:val="00C72E48"/>
    <w:rsid w:val="00C75896"/>
    <w:rsid w:val="00C814F5"/>
    <w:rsid w:val="00C82DC7"/>
    <w:rsid w:val="00C83F94"/>
    <w:rsid w:val="00C91F4C"/>
    <w:rsid w:val="00C93E52"/>
    <w:rsid w:val="00C96EF7"/>
    <w:rsid w:val="00CE09B6"/>
    <w:rsid w:val="00CE17B4"/>
    <w:rsid w:val="00D05181"/>
    <w:rsid w:val="00D10A87"/>
    <w:rsid w:val="00D25BF1"/>
    <w:rsid w:val="00D341FD"/>
    <w:rsid w:val="00D4102C"/>
    <w:rsid w:val="00D67494"/>
    <w:rsid w:val="00DC039B"/>
    <w:rsid w:val="00DD561E"/>
    <w:rsid w:val="00DE129A"/>
    <w:rsid w:val="00DE3AB0"/>
    <w:rsid w:val="00E1073E"/>
    <w:rsid w:val="00E14CCF"/>
    <w:rsid w:val="00E43BDA"/>
    <w:rsid w:val="00E6554F"/>
    <w:rsid w:val="00E72A25"/>
    <w:rsid w:val="00E72F75"/>
    <w:rsid w:val="00E90F56"/>
    <w:rsid w:val="00E91532"/>
    <w:rsid w:val="00E94D45"/>
    <w:rsid w:val="00ED1335"/>
    <w:rsid w:val="00ED3134"/>
    <w:rsid w:val="00ED4D49"/>
    <w:rsid w:val="00F1397A"/>
    <w:rsid w:val="00F1617F"/>
    <w:rsid w:val="00F302B2"/>
    <w:rsid w:val="00F34F65"/>
    <w:rsid w:val="00F42B5D"/>
    <w:rsid w:val="00F5358F"/>
    <w:rsid w:val="00F54CD7"/>
    <w:rsid w:val="00F62E4A"/>
    <w:rsid w:val="00F779F2"/>
    <w:rsid w:val="00F81616"/>
    <w:rsid w:val="00F829BE"/>
    <w:rsid w:val="00F86E34"/>
    <w:rsid w:val="00F95E20"/>
    <w:rsid w:val="00FA17CF"/>
    <w:rsid w:val="00FB122F"/>
    <w:rsid w:val="00FC5BE2"/>
    <w:rsid w:val="00FD076A"/>
    <w:rsid w:val="00FD424F"/>
    <w:rsid w:val="00FE6770"/>
    <w:rsid w:val="09B851A5"/>
    <w:rsid w:val="10E85A49"/>
    <w:rsid w:val="13C30884"/>
    <w:rsid w:val="24354DCE"/>
    <w:rsid w:val="27E27C5A"/>
    <w:rsid w:val="3E5C5818"/>
    <w:rsid w:val="4E1169B6"/>
    <w:rsid w:val="58FC3680"/>
    <w:rsid w:val="60AE6409"/>
    <w:rsid w:val="7688062D"/>
    <w:rsid w:val="7725074F"/>
    <w:rsid w:val="788B4F3D"/>
    <w:rsid w:val="78972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B708C-3645-46CE-ABF1-F68C51198C1A}">
  <ds:schemaRefs/>
</ds:datastoreItem>
</file>

<file path=docProps/app.xml><?xml version="1.0" encoding="utf-8"?>
<Properties xmlns="http://schemas.openxmlformats.org/officeDocument/2006/extended-properties" xmlns:vt="http://schemas.openxmlformats.org/officeDocument/2006/docPropsVTypes">
  <Template>Normal.dotm</Template>
  <Company>shendu</Company>
  <Pages>6</Pages>
  <Words>4199</Words>
  <Characters>4379</Characters>
  <Lines>33</Lines>
  <Paragraphs>9</Paragraphs>
  <TotalTime>23</TotalTime>
  <ScaleCrop>false</ScaleCrop>
  <LinksUpToDate>false</LinksUpToDate>
  <CharactersWithSpaces>4383</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2020-09-14T06:15:00Z</dcterms:created>
  <dc:creator>User</dc:creator>
  <cp:lastModifiedBy>Administrator</cp:lastModifiedBy>
  <cp:lastPrinted>2022-09-08T02:03:49Z</cp:lastPrinted>
  <dcterms:modified xsi:type="dcterms:W3CDTF">2022-09-09T03:36:18Z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A486A07591EE4555BFA83AD97CBEDF28</vt:lpwstr>
  </property>
</Properties>
</file>