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80" w:after="290" w:line="376" w:lineRule="atLeast"/>
        <w:jc w:val="center"/>
        <w:outlineLvl w:val="3"/>
        <w:rPr>
          <w:rFonts w:ascii="Times New Roman" w:hAnsi="Times New Roman" w:eastAsia="方正正粗黑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正粗黑简体" w:cs="Times New Roman"/>
          <w:b/>
          <w:bCs/>
          <w:sz w:val="36"/>
          <w:szCs w:val="36"/>
        </w:rPr>
        <w:t>附件2：</w:t>
      </w:r>
      <w:r>
        <w:rPr>
          <w:rFonts w:ascii="Times New Roman" w:hAnsi="Times New Roman" w:eastAsia="方正正粗黑简体" w:cs="Times New Roman"/>
          <w:b/>
          <w:bCs/>
          <w:sz w:val="36"/>
          <w:szCs w:val="36"/>
        </w:rPr>
        <w:t>项目合作方</w:t>
      </w:r>
      <w:r>
        <w:rPr>
          <w:rFonts w:hint="eastAsia" w:ascii="Times New Roman" w:hAnsi="Times New Roman" w:eastAsia="方正正粗黑简体" w:cs="Times New Roman"/>
          <w:b/>
          <w:bCs/>
          <w:sz w:val="36"/>
          <w:szCs w:val="36"/>
        </w:rPr>
        <w:t>对项目核心条款响应情况表</w:t>
      </w:r>
    </w:p>
    <w:tbl>
      <w:tblPr>
        <w:tblStyle w:val="3"/>
        <w:tblW w:w="14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050"/>
        <w:gridCol w:w="7371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测试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Hans"/>
              </w:rPr>
              <w:t>内容</w:t>
            </w:r>
          </w:p>
        </w:tc>
        <w:tc>
          <w:tcPr>
            <w:tcW w:w="73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响应情况</w:t>
            </w:r>
          </w:p>
        </w:tc>
        <w:tc>
          <w:tcPr>
            <w:tcW w:w="26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（“部分响应”请明确响应的内容）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截止到开标时间社会资本向项目公司提交采购竞争保函，金额为不超过估算总投资的2%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，在社会资本递交建设履约保函后予以退还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ab/>
            </w:r>
          </w:p>
        </w:tc>
        <w:tc>
          <w:tcPr>
            <w:tcW w:w="7371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EPC＋O合同签署后15日内社会资本向项目公司提交建设期履约保函，金额为估算总投资的10%，在社会资本递交运营维护保函后予以退还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项目进入运营期前15日内社会资本向项目公司提交运营期履约保函，金额为正常运营年份项目运营成本的200%，社会资本递交移交保函后予以退还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项目合作期满前15日内社会资本向项目公司提交移交期履约保函，金额为估算总投资的2%，在项目移交完成后12个月期满予以退还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工程款支付条款要求：</w:t>
            </w:r>
            <w:bookmarkStart w:id="0" w:name="_Hlk112579271"/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本项目没有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项目预付款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每月度实际完成量经发包人审定后，按照实际完成产值金额80%计算，再扣减预付款（如有）和累计已付人工费予以支付。项目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质保金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为3%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</w:t>
            </w:r>
            <w:bookmarkEnd w:id="0"/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运营期结束前6个月内至运营期结束一个月前，完成一次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恢复性大修，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并运转良好一个月，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确保项目关键设施设备的整体完好率达到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single"/>
                <w:lang w:val="en-US" w:bidi="ar-SA"/>
              </w:rPr>
              <w:t>95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%、其它设施设备的整体完好率达到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single"/>
                <w:lang w:val="en-US" w:bidi="ar-SA"/>
              </w:rPr>
              <w:t>95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%、项目内建（构）筑物不存在重大破损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项目于2024年12月31日点火，运营合作期12年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承诺取得生物质发电补贴电价至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每吨0.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5元/kWh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（含省补0.1元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/kWh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），国补0.1元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bidi="ar-SA"/>
              </w:rPr>
              <w:t>/kWh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可做为重点加分项。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采取委托运营模式或者是托管运营模式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委托运营主要回报来源于EPC工程费和委托运营服务费，委托运营服务费约为110元/吨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5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托管运营，项目垃圾处理补贴需经项目公司绩效考核后并扣减托管运营承包费（首年2100万/年）支付至合作方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建设期绩效考核：建设期绩效考核采用年度考核方式。考核内容主要包括项目管理、资金控制、质量控制、进度控制等。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运营期绩效考核：运营期绩效考核以垃圾处理服务费为考核基数，与运营过程中是否存在扣款、罚款等无关，即并不因扣款、罚款等而降低运营考核基数。另对上网电量进行考核，上网的电量为重要考核指标。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移交期绩效考核：项目经营期满后，社会资本须将所管理的项目全部资产无偿移交给项目公司，保证项目资产符合移交方案的要求，保证主要设施、设备可用性。若未能达到合格指标，项目公司有权提取移交保函约定的相应金额。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在政府实现每年提供350吨及以上垃圾保有量前提下，吨垃圾上网电量达到：320度/吨以上。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项目主要设备能否达到要求：包括但不限于焚烧炉、余热锅炉、发电机组等，其中焚烧炉设备为光大顺推焚烧炉、康恒焚烧炉、三峰焚烧炉、光大逆推焚烧炉、新世纪焚烧炉、天楹焚烧炉等品牌；发电机组设备为三菱重工、东方汽轮机、哈尔滨汽轮机、上海汽轮机等品牌（各设备详细要求见附件3）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在设备均正常运行前提下，全年平均厂用电率为15%以下。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在设备均正常运行前提下，项目年运行小时数达到8150h以上</w:t>
            </w: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□全部响应；□部分响应；□不响应</w:t>
            </w:r>
          </w:p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建议：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371" w:type="dxa"/>
          </w:tcPr>
          <w:p>
            <w:pPr>
              <w:spacing w:line="400" w:lineRule="exact"/>
              <w:ind w:firstLine="86" w:firstLineChars="31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其他建议</w:t>
            </w:r>
          </w:p>
        </w:tc>
        <w:tc>
          <w:tcPr>
            <w:tcW w:w="269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284"/>
        <w:sectPr>
          <w:pgSz w:w="16838" w:h="11906" w:orient="landscape"/>
          <w:pgMar w:top="1701" w:right="1440" w:bottom="1558" w:left="993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bookmarkStart w:id="1" w:name="_GoBack"/>
      <w:bookmarkEnd w:id="1"/>
    </w:p>
    <w:sectPr>
      <w:pgSz w:w="11906" w:h="16838"/>
      <w:pgMar w:top="1440" w:right="1558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479D89A-E34B-4714-B86A-8A562EDB7E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CB4A1C4-9575-4537-A567-B89479F5DF82}"/>
  </w:font>
  <w:font w:name="方正正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FB78B21E-A80F-4DA1-ADE2-B2071097DCC1}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</w:docVars>
  <w:rsids>
    <w:rsidRoot w:val="003D7324"/>
    <w:rsid w:val="00101ECA"/>
    <w:rsid w:val="002446A4"/>
    <w:rsid w:val="00340BE4"/>
    <w:rsid w:val="003D3E1D"/>
    <w:rsid w:val="003D7324"/>
    <w:rsid w:val="004168EA"/>
    <w:rsid w:val="004C5357"/>
    <w:rsid w:val="004C7ED2"/>
    <w:rsid w:val="006D782F"/>
    <w:rsid w:val="007231E6"/>
    <w:rsid w:val="007A2FE8"/>
    <w:rsid w:val="007C744F"/>
    <w:rsid w:val="007D1CF7"/>
    <w:rsid w:val="007E61E7"/>
    <w:rsid w:val="00860FC9"/>
    <w:rsid w:val="00901FBE"/>
    <w:rsid w:val="00921700"/>
    <w:rsid w:val="009864A0"/>
    <w:rsid w:val="00A11445"/>
    <w:rsid w:val="00AB56AF"/>
    <w:rsid w:val="00B5742D"/>
    <w:rsid w:val="00BA4C74"/>
    <w:rsid w:val="00BC3313"/>
    <w:rsid w:val="00C66264"/>
    <w:rsid w:val="00D53E96"/>
    <w:rsid w:val="00DB64C3"/>
    <w:rsid w:val="00E478BE"/>
    <w:rsid w:val="00EE323D"/>
    <w:rsid w:val="00F45854"/>
    <w:rsid w:val="01FA72D0"/>
    <w:rsid w:val="0E310799"/>
    <w:rsid w:val="10E37B31"/>
    <w:rsid w:val="147608FD"/>
    <w:rsid w:val="152E12F5"/>
    <w:rsid w:val="1ECE3BE7"/>
    <w:rsid w:val="218852A3"/>
    <w:rsid w:val="26763011"/>
    <w:rsid w:val="26A46CF7"/>
    <w:rsid w:val="2DDF76CF"/>
    <w:rsid w:val="30223447"/>
    <w:rsid w:val="3148438F"/>
    <w:rsid w:val="336E657A"/>
    <w:rsid w:val="360F7331"/>
    <w:rsid w:val="3AA07725"/>
    <w:rsid w:val="460D4FEB"/>
    <w:rsid w:val="4DD531E7"/>
    <w:rsid w:val="53120B89"/>
    <w:rsid w:val="574A422B"/>
    <w:rsid w:val="57F42EEF"/>
    <w:rsid w:val="63B96028"/>
    <w:rsid w:val="67A24CD7"/>
    <w:rsid w:val="695C434F"/>
    <w:rsid w:val="6AB93AEA"/>
    <w:rsid w:val="6B470443"/>
    <w:rsid w:val="71EA1565"/>
    <w:rsid w:val="78A722C5"/>
    <w:rsid w:val="79A22A74"/>
    <w:rsid w:val="7D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0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</Words>
  <Characters>878</Characters>
  <Lines>7</Lines>
  <Paragraphs>2</Paragraphs>
  <TotalTime>3</TotalTime>
  <ScaleCrop>false</ScaleCrop>
  <LinksUpToDate>false</LinksUpToDate>
  <CharactersWithSpaces>1029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2022-09-14T07:54:00Z</dcterms:created>
  <dc:creator>Ray Guo</dc:creator>
  <cp:lastModifiedBy>夏</cp:lastModifiedBy>
  <dcterms:modified xsi:type="dcterms:W3CDTF">2023-09-30T02:29:20Z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E57DAA95780244CD9C5C719CDA5748DA_13</vt:lpwstr>
  </property>
</Properties>
</file>