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黑体" w:cs="Times New Roman"/>
          <w:color w:val="auto"/>
          <w:kern w:val="0"/>
          <w:sz w:val="32"/>
          <w:szCs w:val="32"/>
          <w:highlight w:val="none"/>
        </w:rPr>
      </w:pPr>
      <w:bookmarkStart w:id="1" w:name="_GoBack"/>
      <w:bookmarkEnd w:id="1"/>
    </w:p>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黑体" w:cs="Times New Roman"/>
          <w:color w:val="auto"/>
          <w:kern w:val="0"/>
          <w:sz w:val="32"/>
          <w:szCs w:val="32"/>
          <w:highlight w:val="none"/>
        </w:rPr>
      </w:pPr>
    </w:p>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黑体" w:cs="Times New Roman"/>
          <w:color w:val="auto"/>
          <w:kern w:val="0"/>
          <w:sz w:val="32"/>
          <w:szCs w:val="32"/>
          <w:highlight w:val="none"/>
        </w:rPr>
      </w:pPr>
    </w:p>
    <w:p>
      <w:pPr>
        <w:keepNext w:val="0"/>
        <w:keepLines w:val="0"/>
        <w:pageBreakBefore w:val="0"/>
        <w:kinsoku/>
        <w:wordWrap/>
        <w:overflowPunct/>
        <w:topLinePunct w:val="0"/>
        <w:autoSpaceDE/>
        <w:autoSpaceDN/>
        <w:bidi w:val="0"/>
        <w:spacing w:line="560" w:lineRule="exact"/>
        <w:textAlignment w:val="auto"/>
        <w:rPr>
          <w:rFonts w:ascii="Times New Roman" w:hAnsi="Times New Roman" w:eastAsia="黑体" w:cs="Times New Roman"/>
          <w:color w:val="auto"/>
          <w:kern w:val="0"/>
          <w:sz w:val="32"/>
          <w:szCs w:val="32"/>
          <w:highlight w:val="none"/>
        </w:rPr>
      </w:pPr>
    </w:p>
    <w:p>
      <w:pPr>
        <w:jc w:val="center"/>
        <w:rPr>
          <w:rFonts w:hint="eastAsia" w:ascii="Times New Roman" w:hAnsi="Times New Roman" w:eastAsia="方正小标宋_GBK" w:cs="Times New Roman"/>
          <w:sz w:val="52"/>
          <w:szCs w:val="52"/>
          <w:lang w:eastAsia="zh-CN"/>
        </w:rPr>
      </w:pPr>
      <w:bookmarkStart w:id="0" w:name="OLE_LINK1"/>
      <w:r>
        <w:rPr>
          <w:rFonts w:hint="default" w:ascii="Times New Roman" w:hAnsi="Times New Roman" w:eastAsia="方正小标宋_GBK" w:cs="Times New Roman"/>
          <w:sz w:val="52"/>
          <w:szCs w:val="52"/>
        </w:rPr>
        <w:t>202</w:t>
      </w:r>
      <w:r>
        <w:rPr>
          <w:rFonts w:hint="default" w:ascii="Times New Roman" w:hAnsi="Times New Roman" w:eastAsia="方正小标宋_GBK" w:cs="Times New Roman"/>
          <w:sz w:val="52"/>
          <w:szCs w:val="52"/>
          <w:lang w:val="en-US" w:eastAsia="zh-CN"/>
        </w:rPr>
        <w:t>2</w:t>
      </w:r>
      <w:r>
        <w:rPr>
          <w:rFonts w:hint="default" w:ascii="Times New Roman" w:hAnsi="Times New Roman" w:eastAsia="方正小标宋_GBK" w:cs="Times New Roman"/>
          <w:sz w:val="52"/>
          <w:szCs w:val="52"/>
        </w:rPr>
        <w:t>年度</w:t>
      </w:r>
      <w:r>
        <w:rPr>
          <w:rFonts w:hint="eastAsia" w:ascii="Times New Roman" w:hAnsi="Times New Roman" w:eastAsia="方正小标宋_GBK" w:cs="Times New Roman"/>
          <w:sz w:val="52"/>
          <w:szCs w:val="52"/>
          <w:lang w:eastAsia="zh-CN"/>
        </w:rPr>
        <w:t>湖南建设投资集团有限</w:t>
      </w:r>
    </w:p>
    <w:p>
      <w:pPr>
        <w:jc w:val="center"/>
        <w:rPr>
          <w:rFonts w:hint="default" w:ascii="Times New Roman" w:hAnsi="Times New Roman" w:eastAsia="方正小标宋_GBK" w:cs="Times New Roman"/>
          <w:sz w:val="52"/>
          <w:szCs w:val="52"/>
        </w:rPr>
      </w:pPr>
      <w:r>
        <w:rPr>
          <w:rFonts w:hint="eastAsia" w:ascii="Times New Roman" w:hAnsi="Times New Roman" w:eastAsia="方正小标宋_GBK" w:cs="Times New Roman"/>
          <w:sz w:val="52"/>
          <w:szCs w:val="52"/>
          <w:lang w:eastAsia="zh-CN"/>
        </w:rPr>
        <w:t>责任公司（湖南建工集团有限公司）</w:t>
      </w:r>
      <w:r>
        <w:rPr>
          <w:rFonts w:hint="default" w:ascii="Times New Roman" w:hAnsi="Times New Roman" w:eastAsia="方正小标宋_GBK" w:cs="Times New Roman"/>
          <w:sz w:val="52"/>
          <w:szCs w:val="52"/>
        </w:rPr>
        <w:t>整体支出绩效自评报告</w:t>
      </w:r>
    </w:p>
    <w:p>
      <w:pPr>
        <w:keepNext w:val="0"/>
        <w:keepLines w:val="0"/>
        <w:pageBreakBefore w:val="0"/>
        <w:kinsoku/>
        <w:wordWrap/>
        <w:overflowPunct/>
        <w:topLinePunct w:val="0"/>
        <w:autoSpaceDE/>
        <w:autoSpaceDN/>
        <w:bidi w:val="0"/>
        <w:spacing w:line="560" w:lineRule="exact"/>
        <w:jc w:val="center"/>
        <w:textAlignment w:val="auto"/>
        <w:rPr>
          <w:rFonts w:ascii="方正小标宋_GBK" w:hAnsi="Times New Roman" w:eastAsia="方正小标宋_GBK" w:cs="Times New Roman"/>
          <w:color w:val="auto"/>
          <w:sz w:val="52"/>
          <w:szCs w:val="52"/>
          <w:highlight w:val="none"/>
        </w:rPr>
      </w:pPr>
    </w:p>
    <w:bookmarkEnd w:id="0"/>
    <w:p>
      <w:pPr>
        <w:keepNext w:val="0"/>
        <w:keepLines w:val="0"/>
        <w:pageBreakBefore w:val="0"/>
        <w:kinsoku/>
        <w:wordWrap/>
        <w:overflowPunct/>
        <w:topLinePunct w:val="0"/>
        <w:autoSpaceDE/>
        <w:autoSpaceDN/>
        <w:bidi w:val="0"/>
        <w:spacing w:line="560" w:lineRule="exact"/>
        <w:jc w:val="both"/>
        <w:textAlignment w:val="auto"/>
        <w:rPr>
          <w:rFonts w:ascii="Times New Roman" w:hAnsi="Times New Roman" w:eastAsia="楷体_GB2312" w:cs="Times New Roman"/>
          <w:b/>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keepNext w:val="0"/>
        <w:keepLines w:val="0"/>
        <w:pageBreakBefore w:val="0"/>
        <w:kinsoku/>
        <w:wordWrap/>
        <w:overflowPunct/>
        <w:topLinePunct w:val="0"/>
        <w:autoSpaceDE/>
        <w:autoSpaceDN/>
        <w:bidi w:val="0"/>
        <w:spacing w:line="560" w:lineRule="exact"/>
        <w:jc w:val="center"/>
        <w:textAlignment w:val="auto"/>
        <w:rPr>
          <w:rFonts w:hint="eastAsia" w:ascii="Times New Roman" w:hAnsi="Times New Roman" w:eastAsia="仿宋_GB2312" w:cs="Times New Roman"/>
          <w:color w:val="auto"/>
          <w:sz w:val="32"/>
          <w:szCs w:val="32"/>
          <w:highlight w:val="none"/>
          <w:u w:val="single"/>
          <w:lang w:eastAsia="zh-CN"/>
        </w:rPr>
      </w:pPr>
      <w:r>
        <w:rPr>
          <w:rFonts w:ascii="Times New Roman" w:hAnsi="Times New Roman" w:eastAsia="仿宋_GB2312" w:cs="Times New Roman"/>
          <w:color w:val="auto"/>
          <w:sz w:val="32"/>
          <w:szCs w:val="32"/>
          <w:highlight w:val="none"/>
        </w:rPr>
        <w:t>单位名称：</w:t>
      </w:r>
      <w:r>
        <w:rPr>
          <w:rFonts w:hint="eastAsia" w:ascii="Times New Roman" w:hAnsi="Times New Roman" w:eastAsia="仿宋_GB2312" w:cs="Times New Roman"/>
          <w:color w:val="auto"/>
          <w:sz w:val="32"/>
          <w:szCs w:val="32"/>
          <w:highlight w:val="none"/>
          <w:u w:val="single"/>
          <w:lang w:eastAsia="zh-CN"/>
        </w:rPr>
        <w:t>湖南建设投资集团有限责任公司</w:t>
      </w: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仿宋_GB2312" w:cs="Times New Roman"/>
          <w:color w:val="auto"/>
          <w:sz w:val="32"/>
          <w:szCs w:val="32"/>
          <w:highlight w:val="none"/>
          <w:u w:val="single"/>
        </w:rPr>
      </w:pPr>
      <w:r>
        <w:rPr>
          <w:rFonts w:hint="eastAsia" w:ascii="Times New Roman" w:hAnsi="Times New Roman" w:eastAsia="仿宋_GB2312" w:cs="Times New Roman"/>
          <w:color w:val="auto"/>
          <w:sz w:val="32"/>
          <w:szCs w:val="32"/>
          <w:highlight w:val="none"/>
          <w:u w:val="single"/>
          <w:lang w:eastAsia="zh-CN"/>
        </w:rPr>
        <w:t>（湖南建工集团有限公司）</w:t>
      </w: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楷体_GB2312" w:cs="Times New Roman"/>
          <w:color w:val="auto"/>
          <w:sz w:val="32"/>
          <w:szCs w:val="32"/>
          <w:highlight w:val="none"/>
        </w:rPr>
      </w:pPr>
      <w:r>
        <w:rPr>
          <w:rFonts w:hint="eastAsia" w:ascii="Times New Roman" w:hAnsi="Times New Roman" w:eastAsia="仿宋_GB2312" w:cs="Times New Roman"/>
          <w:color w:val="auto"/>
          <w:sz w:val="32"/>
          <w:szCs w:val="32"/>
          <w:highlight w:val="none"/>
          <w:u w:val="none"/>
          <w:lang w:val="en-US" w:eastAsia="zh-CN"/>
        </w:rPr>
        <w:t>202</w:t>
      </w:r>
      <w:r>
        <w:rPr>
          <w:rFonts w:hint="eastAsia" w:eastAsia="仿宋_GB2312" w:cs="Times New Roman"/>
          <w:color w:val="auto"/>
          <w:sz w:val="32"/>
          <w:szCs w:val="32"/>
          <w:highlight w:val="none"/>
          <w:u w:val="none"/>
          <w:lang w:val="en-US" w:eastAsia="zh-CN"/>
        </w:rPr>
        <w:t>3</w:t>
      </w:r>
      <w:r>
        <w:rPr>
          <w:rFonts w:ascii="Times New Roman" w:hAnsi="Times New Roman" w:eastAsia="楷体_GB2312" w:cs="Times New Roman"/>
          <w:color w:val="auto"/>
          <w:sz w:val="32"/>
          <w:szCs w:val="32"/>
          <w:highlight w:val="none"/>
        </w:rPr>
        <w:t>年</w:t>
      </w:r>
      <w:r>
        <w:rPr>
          <w:rFonts w:hint="eastAsia" w:ascii="Times New Roman" w:hAnsi="Times New Roman" w:eastAsia="楷体_GB2312" w:cs="Times New Roman"/>
          <w:color w:val="auto"/>
          <w:sz w:val="32"/>
          <w:szCs w:val="32"/>
          <w:highlight w:val="none"/>
          <w:lang w:val="en-US" w:eastAsia="zh-CN"/>
        </w:rPr>
        <w:t>5</w:t>
      </w:r>
      <w:r>
        <w:rPr>
          <w:rFonts w:ascii="Times New Roman" w:hAnsi="Times New Roman" w:eastAsia="楷体_GB2312" w:cs="Times New Roman"/>
          <w:color w:val="auto"/>
          <w:sz w:val="32"/>
          <w:szCs w:val="32"/>
          <w:highlight w:val="none"/>
        </w:rPr>
        <w:t>月</w:t>
      </w:r>
      <w:r>
        <w:rPr>
          <w:rFonts w:hint="eastAsia" w:ascii="Times New Roman" w:hAnsi="Times New Roman" w:eastAsia="楷体_GB2312" w:cs="Times New Roman"/>
          <w:color w:val="auto"/>
          <w:sz w:val="32"/>
          <w:szCs w:val="32"/>
          <w:highlight w:val="none"/>
          <w:lang w:val="en-US" w:eastAsia="zh-CN"/>
        </w:rPr>
        <w:t>27</w:t>
      </w:r>
      <w:r>
        <w:rPr>
          <w:rFonts w:ascii="Times New Roman" w:hAnsi="Times New Roman" w:eastAsia="楷体_GB2312" w:cs="Times New Roman"/>
          <w:color w:val="auto"/>
          <w:sz w:val="32"/>
          <w:szCs w:val="32"/>
          <w:highlight w:val="none"/>
        </w:rPr>
        <w:t>日</w:t>
      </w:r>
    </w:p>
    <w:p>
      <w:pPr>
        <w:keepNext w:val="0"/>
        <w:keepLines w:val="0"/>
        <w:pageBreakBefore w:val="0"/>
        <w:kinsoku/>
        <w:wordWrap/>
        <w:overflowPunct/>
        <w:topLinePunct w:val="0"/>
        <w:autoSpaceDE/>
        <w:autoSpaceDN/>
        <w:bidi w:val="0"/>
        <w:spacing w:line="560" w:lineRule="exact"/>
        <w:jc w:val="center"/>
        <w:textAlignment w:val="auto"/>
        <w:rPr>
          <w:rFonts w:ascii="Times New Roman" w:hAnsi="Times New Roman" w:eastAsia="黑体" w:cs="Times New Roman"/>
          <w:color w:val="auto"/>
          <w:sz w:val="32"/>
          <w:szCs w:val="32"/>
          <w:highlight w:val="none"/>
        </w:rPr>
      </w:pPr>
    </w:p>
    <w:p>
      <w:pPr>
        <w:pStyle w:val="2"/>
        <w:keepNext w:val="0"/>
        <w:keepLines w:val="0"/>
        <w:pageBreakBefore w:val="0"/>
        <w:kinsoku/>
        <w:wordWrap/>
        <w:overflowPunct/>
        <w:topLinePunct w:val="0"/>
        <w:autoSpaceDE/>
        <w:autoSpaceDN/>
        <w:bidi w:val="0"/>
        <w:spacing w:line="560" w:lineRule="exact"/>
        <w:textAlignment w:val="auto"/>
        <w:rPr>
          <w:rFonts w:ascii="Times New Roman" w:hAnsi="Times New Roman" w:eastAsia="仿宋_GB2312" w:cs="Times New Roman"/>
          <w:color w:val="auto"/>
          <w:sz w:val="32"/>
          <w:szCs w:val="32"/>
          <w:highlight w:val="none"/>
        </w:rPr>
      </w:pPr>
    </w:p>
    <w:p>
      <w:pPr>
        <w:pStyle w:val="2"/>
        <w:keepNext w:val="0"/>
        <w:keepLines w:val="0"/>
        <w:pageBreakBefore w:val="0"/>
        <w:kinsoku/>
        <w:wordWrap/>
        <w:overflowPunct/>
        <w:topLinePunct w:val="0"/>
        <w:autoSpaceDE/>
        <w:autoSpaceDN/>
        <w:bidi w:val="0"/>
        <w:spacing w:line="560" w:lineRule="exact"/>
        <w:textAlignment w:val="auto"/>
        <w:rPr>
          <w:rFonts w:ascii="Times New Roman" w:hAnsi="Times New Roman" w:eastAsia="仿宋_GB2312" w:cs="Times New Roman"/>
          <w:color w:val="auto"/>
          <w:sz w:val="32"/>
          <w:szCs w:val="32"/>
          <w:highlight w:val="none"/>
        </w:rPr>
      </w:pPr>
    </w:p>
    <w:p>
      <w:pPr>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黑体" w:hAnsi="Times New Roman" w:eastAsia="黑体" w:cs="Times New Roman"/>
          <w:color w:val="auto"/>
          <w:sz w:val="32"/>
          <w:szCs w:val="32"/>
          <w:highlight w:val="none"/>
        </w:rPr>
      </w:pPr>
      <w:r>
        <w:rPr>
          <w:rFonts w:hint="eastAsia" w:ascii="黑体" w:eastAsia="黑体" w:cs="Times New Roman"/>
          <w:color w:val="auto"/>
          <w:sz w:val="32"/>
          <w:szCs w:val="32"/>
          <w:highlight w:val="none"/>
          <w:lang w:eastAsia="zh-CN"/>
        </w:rPr>
        <w:t>一、</w:t>
      </w:r>
      <w:r>
        <w:rPr>
          <w:rFonts w:hint="eastAsia" w:ascii="黑体" w:hAnsi="Times New Roman" w:eastAsia="黑体" w:cs="Times New Roman"/>
          <w:color w:val="auto"/>
          <w:sz w:val="32"/>
          <w:szCs w:val="32"/>
          <w:highlight w:val="none"/>
        </w:rPr>
        <w:t>部门（单位）基本情况</w:t>
      </w:r>
    </w:p>
    <w:p>
      <w:pPr>
        <w:pStyle w:val="2"/>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cs="Times New Roman"/>
          <w:color w:val="auto"/>
          <w:kern w:val="2"/>
          <w:sz w:val="32"/>
          <w:szCs w:val="32"/>
          <w:highlight w:val="none"/>
          <w:lang w:val="en-US" w:eastAsia="zh-CN" w:bidi="ar-SA"/>
        </w:rPr>
      </w:pPr>
      <w:r>
        <w:rPr>
          <w:rFonts w:hint="eastAsia" w:cs="Times New Roman"/>
          <w:color w:val="auto"/>
          <w:kern w:val="2"/>
          <w:sz w:val="32"/>
          <w:szCs w:val="32"/>
          <w:highlight w:val="none"/>
          <w:lang w:val="en-US" w:eastAsia="zh-CN" w:bidi="ar-SA"/>
        </w:rPr>
        <w:t>原</w:t>
      </w:r>
      <w:r>
        <w:rPr>
          <w:rFonts w:hint="eastAsia" w:ascii="Times New Roman" w:hAnsi="Times New Roman" w:eastAsia="仿宋_GB2312" w:cs="Times New Roman"/>
          <w:color w:val="auto"/>
          <w:kern w:val="2"/>
          <w:sz w:val="32"/>
          <w:szCs w:val="32"/>
          <w:highlight w:val="none"/>
          <w:lang w:val="en-US" w:eastAsia="zh-CN" w:bidi="ar-SA"/>
        </w:rPr>
        <w:t>湖南建工集团</w:t>
      </w:r>
      <w:r>
        <w:rPr>
          <w:rFonts w:hint="eastAsia" w:cs="Times New Roman"/>
          <w:color w:val="auto"/>
          <w:kern w:val="2"/>
          <w:sz w:val="32"/>
          <w:szCs w:val="32"/>
          <w:highlight w:val="none"/>
          <w:lang w:val="en-US" w:eastAsia="zh-CN" w:bidi="ar-SA"/>
        </w:rPr>
        <w:t>有限公司</w:t>
      </w:r>
      <w:r>
        <w:rPr>
          <w:rFonts w:hint="eastAsia" w:ascii="Times New Roman" w:hAnsi="Times New Roman" w:eastAsia="仿宋_GB2312" w:cs="Times New Roman"/>
          <w:color w:val="auto"/>
          <w:kern w:val="2"/>
          <w:sz w:val="32"/>
          <w:szCs w:val="32"/>
          <w:highlight w:val="none"/>
          <w:lang w:val="en-US" w:eastAsia="zh-CN" w:bidi="ar-SA"/>
        </w:rPr>
        <w:t>成立于1952年，前身为湖南建工局，1985年经湖南省人民政府批准，由政府机构转体为国有企业，1992年与所属企事业单位组建成立湖南省建筑工程集团总公司，2017年6月改制更名为湖南建工集团有限公司。</w:t>
      </w:r>
      <w:r>
        <w:rPr>
          <w:rFonts w:hint="eastAsia" w:cs="Times New Roman"/>
          <w:color w:val="auto"/>
          <w:kern w:val="2"/>
          <w:sz w:val="32"/>
          <w:szCs w:val="32"/>
          <w:highlight w:val="none"/>
          <w:lang w:val="en-US" w:eastAsia="zh-CN" w:bidi="ar-SA"/>
        </w:rPr>
        <w:t>2022年7月，原湖南建工集团有限公司与原湖南省交通水利建设集团有限公司合并组建湖南建设投资集团有限责任公司</w:t>
      </w:r>
      <w:r>
        <w:rPr>
          <w:rFonts w:hint="eastAsia" w:ascii="仿宋" w:hAnsi="仿宋" w:eastAsia="仿宋" w:cs="仿宋"/>
          <w:bCs/>
          <w:sz w:val="32"/>
          <w:szCs w:val="32"/>
          <w:lang w:val="en-US" w:eastAsia="zh-CN"/>
        </w:rPr>
        <w:t>（以下简称“</w:t>
      </w:r>
      <w:r>
        <w:rPr>
          <w:rFonts w:hint="eastAsia" w:ascii="仿宋_GB2312" w:eastAsia="仿宋_GB2312"/>
          <w:b w:val="0"/>
          <w:bCs w:val="0"/>
          <w:sz w:val="32"/>
          <w:szCs w:val="32"/>
        </w:rPr>
        <w:t>湖南建设投资集团</w:t>
      </w:r>
      <w:r>
        <w:rPr>
          <w:rFonts w:hint="eastAsia" w:ascii="仿宋" w:hAnsi="仿宋" w:eastAsia="仿宋" w:cs="仿宋"/>
          <w:bCs/>
          <w:sz w:val="32"/>
          <w:szCs w:val="32"/>
          <w:lang w:val="en-US" w:eastAsia="zh-CN"/>
        </w:rPr>
        <w:t>”）</w:t>
      </w:r>
      <w:r>
        <w:rPr>
          <w:rFonts w:hint="eastAsia" w:cs="Times New Roman"/>
          <w:color w:val="auto"/>
          <w:kern w:val="2"/>
          <w:sz w:val="32"/>
          <w:szCs w:val="32"/>
          <w:highlight w:val="none"/>
          <w:lang w:val="en-US" w:eastAsia="zh-CN" w:bidi="ar-SA"/>
        </w:rPr>
        <w:t>，是一家以房屋建筑施工、路桥市政建设施工、水利水运港口码头建设施工，能源环保基础设施建设施工，工程建筑勘察设计咨询和智慧建筑，房地产，服务自身的产业投资及金融业务为主业的大型千亿级国有企业集团，主体信用等级AAA，为湖南省第一家获评“省长质量奖”的省属建筑企业，并荣获“全国五一劳动奖章”“全国脱贫攻坚先进集体”等荣誉。</w:t>
      </w:r>
    </w:p>
    <w:p>
      <w:pPr>
        <w:pStyle w:val="2"/>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仿宋" w:hAnsi="仿宋" w:eastAsia="仿宋" w:cs="仿宋"/>
          <w:bCs/>
          <w:sz w:val="32"/>
          <w:szCs w:val="32"/>
          <w:lang w:val="en-US" w:eastAsia="zh-CN"/>
        </w:rPr>
        <w:t>建投集团</w:t>
      </w:r>
      <w:r>
        <w:rPr>
          <w:rFonts w:hint="eastAsia" w:ascii="仿宋" w:hAnsi="仿宋" w:eastAsia="仿宋" w:cs="仿宋"/>
          <w:color w:val="auto"/>
          <w:sz w:val="32"/>
          <w:szCs w:val="32"/>
          <w:highlight w:val="none"/>
        </w:rPr>
        <w:t>注册资本400亿元，年生产(施工)能力3000亿元以上，总资产约2200亿元，净资产约660亿元。目前，拥有7家特级、多家一级总承包资质子公司</w:t>
      </w:r>
      <w:r>
        <w:rPr>
          <w:rStyle w:val="14"/>
          <w:rFonts w:hint="eastAsia" w:ascii="仿宋" w:hAnsi="仿宋" w:eastAsia="仿宋" w:cs="仿宋"/>
          <w:b w:val="0"/>
          <w:color w:val="auto"/>
          <w:sz w:val="32"/>
          <w:szCs w:val="32"/>
        </w:rPr>
        <w:t>，湖南城建职业技术学院</w:t>
      </w:r>
      <w:r>
        <w:rPr>
          <w:rStyle w:val="14"/>
          <w:rFonts w:hint="eastAsia" w:ascii="仿宋" w:hAnsi="仿宋" w:eastAsia="仿宋" w:cs="仿宋"/>
          <w:b w:val="0"/>
          <w:color w:val="auto"/>
          <w:sz w:val="32"/>
          <w:szCs w:val="32"/>
          <w:lang w:eastAsia="zh-CN"/>
        </w:rPr>
        <w:t>、</w:t>
      </w:r>
      <w:r>
        <w:rPr>
          <w:rStyle w:val="14"/>
          <w:rFonts w:hint="eastAsia" w:ascii="仿宋" w:hAnsi="仿宋" w:eastAsia="仿宋" w:cs="仿宋"/>
          <w:b w:val="0"/>
          <w:color w:val="auto"/>
          <w:sz w:val="32"/>
          <w:szCs w:val="32"/>
        </w:rPr>
        <w:t>湖南建筑高级技工学校</w:t>
      </w:r>
      <w:r>
        <w:rPr>
          <w:rStyle w:val="14"/>
          <w:rFonts w:hint="eastAsia" w:ascii="仿宋" w:hAnsi="仿宋" w:eastAsia="仿宋" w:cs="仿宋"/>
          <w:b w:val="0"/>
          <w:color w:val="auto"/>
          <w:sz w:val="32"/>
          <w:szCs w:val="32"/>
          <w:lang w:val="en-US" w:eastAsia="zh-CN"/>
        </w:rPr>
        <w:t>2</w:t>
      </w:r>
      <w:r>
        <w:rPr>
          <w:rStyle w:val="14"/>
          <w:rFonts w:hint="eastAsia" w:ascii="仿宋" w:hAnsi="仿宋" w:eastAsia="仿宋" w:cs="仿宋"/>
          <w:b w:val="0"/>
          <w:color w:val="auto"/>
          <w:sz w:val="32"/>
          <w:szCs w:val="32"/>
        </w:rPr>
        <w:t>所</w:t>
      </w:r>
      <w:r>
        <w:rPr>
          <w:rStyle w:val="14"/>
          <w:rFonts w:hint="eastAsia" w:ascii="仿宋" w:hAnsi="仿宋" w:eastAsia="仿宋" w:cs="仿宋"/>
          <w:b w:val="0"/>
          <w:color w:val="auto"/>
          <w:sz w:val="32"/>
          <w:szCs w:val="32"/>
          <w:lang w:val="en-US" w:eastAsia="zh-CN"/>
        </w:rPr>
        <w:t>学校</w:t>
      </w:r>
      <w:r>
        <w:rPr>
          <w:rFonts w:hint="eastAsia" w:ascii="仿宋" w:hAnsi="仿宋" w:eastAsia="仿宋" w:cs="仿宋"/>
          <w:color w:val="auto"/>
          <w:sz w:val="32"/>
          <w:szCs w:val="32"/>
        </w:rPr>
        <w:t>。</w:t>
      </w:r>
      <w:r>
        <w:rPr>
          <w:rFonts w:hint="eastAsia" w:ascii="Times New Roman" w:hAnsi="Times New Roman" w:eastAsia="仿宋_GB2312" w:cs="Times New Roman"/>
          <w:color w:val="auto"/>
          <w:kern w:val="2"/>
          <w:sz w:val="32"/>
          <w:szCs w:val="32"/>
          <w:highlight w:val="none"/>
          <w:lang w:val="en-US" w:eastAsia="zh-CN" w:bidi="ar-SA"/>
        </w:rPr>
        <w:t>纳入部门预算的单位有三家，即集团本部和两所学校，基本情况如下：</w:t>
      </w:r>
    </w:p>
    <w:p>
      <w:pPr>
        <w:pStyle w:val="2"/>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eastAsia"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eastAsia="仿宋_GB2312" w:cs="Times New Roman"/>
          <w:color w:val="auto"/>
          <w:kern w:val="2"/>
          <w:sz w:val="32"/>
          <w:szCs w:val="32"/>
          <w:highlight w:val="none"/>
          <w:lang w:val="en-US" w:eastAsia="zh-CN" w:bidi="ar-SA"/>
        </w:rPr>
        <w:t xml:space="preserve">    1</w:t>
      </w:r>
      <w:r>
        <w:rPr>
          <w:rFonts w:hint="eastAsia" w:cs="Times New Roman"/>
          <w:color w:val="auto"/>
          <w:kern w:val="2"/>
          <w:sz w:val="32"/>
          <w:szCs w:val="32"/>
          <w:highlight w:val="none"/>
          <w:lang w:val="en-US" w:eastAsia="zh-CN" w:bidi="ar-SA"/>
        </w:rPr>
        <w:t>.</w:t>
      </w:r>
      <w:r>
        <w:rPr>
          <w:rFonts w:hint="eastAsia" w:ascii="Times New Roman" w:hAnsi="Times New Roman" w:eastAsia="仿宋_GB2312" w:cs="Times New Roman"/>
          <w:b/>
          <w:bCs/>
          <w:color w:val="auto"/>
          <w:kern w:val="2"/>
          <w:sz w:val="32"/>
          <w:szCs w:val="32"/>
          <w:highlight w:val="none"/>
          <w:lang w:val="en-US" w:eastAsia="zh-CN" w:bidi="ar-SA"/>
        </w:rPr>
        <w:t>湖南建工集团有限公司本部</w:t>
      </w:r>
      <w:r>
        <w:rPr>
          <w:rFonts w:hint="eastAsia" w:ascii="Times New Roman" w:hAnsi="Times New Roman" w:eastAsia="仿宋_GB2312" w:cs="Times New Roman"/>
          <w:color w:val="auto"/>
          <w:kern w:val="2"/>
          <w:sz w:val="32"/>
          <w:szCs w:val="32"/>
          <w:highlight w:val="none"/>
          <w:lang w:val="en-US" w:eastAsia="zh-CN" w:bidi="ar-SA"/>
        </w:rPr>
        <w:t>属企业性质，为湖南省首家房屋建筑工程总承包特级企业，具有勘察设计、工程投资、施工运营、建筑科学研究、高等职业教育、建筑安装、路桥施工、水利水电施工、新能源建设、工程设备制造、房地产开发、对外工程承包、劳务合作、进出口贸易、城市综合运营等综合实力。因前身是湖南建工局，部分离退休人员为原建工局公务员身份离退休，20</w:t>
      </w:r>
      <w:r>
        <w:rPr>
          <w:rFonts w:hint="eastAsia" w:cs="Times New Roman"/>
          <w:color w:val="auto"/>
          <w:kern w:val="2"/>
          <w:sz w:val="32"/>
          <w:szCs w:val="32"/>
          <w:highlight w:val="none"/>
          <w:lang w:val="en-US" w:eastAsia="zh-CN" w:bidi="ar-SA"/>
        </w:rPr>
        <w:t>22</w:t>
      </w:r>
      <w:r>
        <w:rPr>
          <w:rFonts w:hint="eastAsia" w:ascii="Times New Roman" w:hAnsi="Times New Roman" w:eastAsia="仿宋_GB2312" w:cs="Times New Roman"/>
          <w:color w:val="auto"/>
          <w:kern w:val="2"/>
          <w:sz w:val="32"/>
          <w:szCs w:val="32"/>
          <w:highlight w:val="none"/>
          <w:lang w:val="en-US" w:eastAsia="zh-CN" w:bidi="ar-SA"/>
        </w:rPr>
        <w:t>年共有符合条件的财政供养人员</w:t>
      </w:r>
      <w:r>
        <w:rPr>
          <w:rFonts w:hint="eastAsia" w:cs="Times New Roman"/>
          <w:color w:val="auto"/>
          <w:kern w:val="2"/>
          <w:sz w:val="32"/>
          <w:szCs w:val="32"/>
          <w:highlight w:val="none"/>
          <w:lang w:val="en-US" w:eastAsia="zh-CN" w:bidi="ar-SA"/>
        </w:rPr>
        <w:t>68</w:t>
      </w:r>
      <w:r>
        <w:rPr>
          <w:rFonts w:hint="eastAsia" w:ascii="Times New Roman" w:hAnsi="Times New Roman" w:eastAsia="仿宋_GB2312" w:cs="Times New Roman"/>
          <w:color w:val="auto"/>
          <w:kern w:val="2"/>
          <w:sz w:val="32"/>
          <w:szCs w:val="32"/>
          <w:highlight w:val="none"/>
          <w:lang w:val="en-US" w:eastAsia="zh-CN" w:bidi="ar-SA"/>
        </w:rPr>
        <w:t>人，其中离休人员</w:t>
      </w:r>
      <w:r>
        <w:rPr>
          <w:rFonts w:hint="eastAsia" w:cs="Times New Roman"/>
          <w:color w:val="auto"/>
          <w:kern w:val="2"/>
          <w:sz w:val="32"/>
          <w:szCs w:val="32"/>
          <w:highlight w:val="none"/>
          <w:lang w:val="en-US" w:eastAsia="zh-CN" w:bidi="ar-SA"/>
        </w:rPr>
        <w:t>6</w:t>
      </w:r>
      <w:r>
        <w:rPr>
          <w:rFonts w:hint="eastAsia" w:ascii="Times New Roman" w:hAnsi="Times New Roman" w:eastAsia="仿宋_GB2312" w:cs="Times New Roman"/>
          <w:color w:val="auto"/>
          <w:kern w:val="2"/>
          <w:sz w:val="32"/>
          <w:szCs w:val="32"/>
          <w:highlight w:val="none"/>
          <w:lang w:val="en-US" w:eastAsia="zh-CN" w:bidi="ar-SA"/>
        </w:rPr>
        <w:t>人，退休人员</w:t>
      </w:r>
      <w:r>
        <w:rPr>
          <w:rFonts w:hint="eastAsia" w:cs="Times New Roman"/>
          <w:color w:val="auto"/>
          <w:kern w:val="2"/>
          <w:sz w:val="32"/>
          <w:szCs w:val="32"/>
          <w:highlight w:val="none"/>
          <w:lang w:val="en-US" w:eastAsia="zh-CN" w:bidi="ar-SA"/>
        </w:rPr>
        <w:t>62</w:t>
      </w:r>
      <w:r>
        <w:rPr>
          <w:rFonts w:hint="eastAsia" w:ascii="Times New Roman" w:hAnsi="Times New Roman" w:eastAsia="仿宋_GB2312" w:cs="Times New Roman"/>
          <w:color w:val="auto"/>
          <w:kern w:val="2"/>
          <w:sz w:val="32"/>
          <w:szCs w:val="32"/>
          <w:highlight w:val="none"/>
          <w:lang w:val="en-US" w:eastAsia="zh-CN" w:bidi="ar-SA"/>
        </w:rPr>
        <w:t>人。</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 w:hAnsi="仿宋" w:eastAsia="仿宋" w:cs="仿宋"/>
          <w:bCs/>
          <w:sz w:val="32"/>
          <w:szCs w:val="32"/>
          <w:lang w:val="en-US" w:eastAsia="zh-CN"/>
        </w:rPr>
      </w:pPr>
      <w:r>
        <w:rPr>
          <w:rFonts w:hint="eastAsia" w:cs="Times New Roman"/>
          <w:color w:val="auto"/>
          <w:kern w:val="2"/>
          <w:sz w:val="32"/>
          <w:szCs w:val="32"/>
          <w:highlight w:val="none"/>
          <w:lang w:val="en-US" w:eastAsia="zh-CN" w:bidi="ar-SA"/>
        </w:rPr>
        <w:t>2.</w:t>
      </w:r>
      <w:r>
        <w:rPr>
          <w:rFonts w:hint="eastAsia" w:ascii="仿宋" w:hAnsi="仿宋" w:eastAsia="仿宋" w:cs="仿宋"/>
          <w:b/>
          <w:bCs w:val="0"/>
          <w:sz w:val="32"/>
          <w:szCs w:val="32"/>
          <w:lang w:val="en-US" w:eastAsia="zh-CN"/>
        </w:rPr>
        <w:t>湖南城建职业技术学院</w:t>
      </w:r>
      <w:r>
        <w:rPr>
          <w:rFonts w:hint="eastAsia" w:ascii="仿宋" w:hAnsi="仿宋" w:eastAsia="仿宋" w:cs="仿宋"/>
          <w:bCs/>
          <w:sz w:val="32"/>
          <w:szCs w:val="32"/>
          <w:lang w:val="en-US" w:eastAsia="zh-CN"/>
        </w:rPr>
        <w:t>是由湖南省人民政府举办、</w:t>
      </w:r>
      <w:r>
        <w:rPr>
          <w:rFonts w:hint="eastAsia" w:ascii="仿宋_GB2312" w:eastAsia="仿宋_GB2312"/>
          <w:b w:val="0"/>
          <w:bCs w:val="0"/>
          <w:sz w:val="32"/>
          <w:szCs w:val="32"/>
        </w:rPr>
        <w:t>湖南建设投资集团</w:t>
      </w:r>
      <w:r>
        <w:rPr>
          <w:rFonts w:hint="eastAsia" w:ascii="仿宋" w:hAnsi="仿宋" w:eastAsia="仿宋" w:cs="仿宋"/>
          <w:bCs/>
          <w:sz w:val="32"/>
          <w:szCs w:val="32"/>
          <w:lang w:val="en-US" w:eastAsia="zh-CN"/>
        </w:rPr>
        <w:t>主管的国有公办高等职业院校。学院前身是始建于1958年成立的湖南省土木建筑学校（1972年更名为湖南省建筑学校）。2003年，由原湖南省建筑学校与原湖南省建材工业学校合并组建湖南城建职业技术学院。2008年，原长沙职工大学并入学院。2011年成为湖南省示范性高职院校，2018年立项湖南省卓越高职院校建设单位。在60多年办学历程中，学院筚路蓝缕、栉风沐雨、励精图治、奋勇开拓，为社会培养了十二万多名高素质技术技能人才，培训了数万名企业经理、项目经理和建筑业专业技术人员，被誉为湖南建设人才的摇篮和百万建筑湘军的“黄埔军校”。</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学院构建了覆盖建筑业全产业链的“建筑设计技术、建筑工程技术、建筑工程管理、建筑设备安装技术、市政与交通土建技术”五大专业群，形成了由26个品牌专业组成的特色专业体系。建筑工程技术专业群、建筑设计技术专业群、建筑工程管理专业群为湖南省一流特色专业群，以建筑工程技术专业为核心的建筑工程施工与管理专业群为省级示范性特色专业群；工程造价、建筑设计技术专业为省级特色专业和省级精品专业；学院为湖南省职业教育示范性虚拟仿真实训基地建设单位，建筑工程技术实习实训基地为中央财政支持的职教实训基地、湖南省职教重点实习实训基地，“智能建造”虚拟仿真实训基地为教育部职业教育示范性虚拟仿真实训基地培育项目，建筑设备工程技术专业为省级生产性实习实训（教师认证培训）基地项目，工程造价专业为省级校企合作生产性实习实训基地项目；工程智能检测及监测平台为省级教师技艺技能传承创新平台。学院拥有国家级职业教育教师教学创新团队1个，国家级课程思政教学团队1个、课程思政教学名师8名，省级优秀教学团队2个，省级专业教学团队3个，省级专业带头人3名。学院牵头组建的湖南建筑职业教育集团为首批国家示范性职业教育集团培育单位、省级示范性职教集团。</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学院是湖南建筑职业教育集团理事长单位、湖南省建设人力资源协会职业院校委员会主任单位、湖南省职业教育与成人教育学会高职土木建筑类专业委员会主任单位、全国装配式建筑科技创新基地（湖南省装配式建筑技术培训中心）、中国建筑工业出版社中南地区职业教育教材出版研发基地、全国建设行业技能型紧缺人才培养培训基地、全国建材工业人才培训基地、湖南省建筑业特种工培训基地、湖南省建筑业企业专业技术管理人员培训基地、湖南省企业高技能人才培训省直定点机构、湖南省一级建造师继续教育定点培训机构、湖南省建筑业农民工继续教育培训基地、湖南建工集团技能型人才培养培训基地、湖南建工产业研发中心、湖南建工教育培训中心，是全国首批“建筑信息模型（BIM）”1＋X证书制度试点院校、湖南省1＋X证书教学研究中心（建筑信息模型（BIM）证书）、湖南省虚拟仿真实训中心、湖南省课程思政教学研究示范中心，荣获全国五四红旗团委、湖南省文明校园、湖南省文明高等学校、湖南省文明卫生单位、湖南省职业教育与成人教育先进单位、湖南省职业教育先进单位、湖南省高校毕业生就业工作先进单位、湖南省高职高专招生就业工作先进单位、湖南省高校毕业生就业创业工作“一把手工程”优秀学校等称号。</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 w:hAnsi="仿宋" w:eastAsia="仿宋" w:cs="仿宋"/>
          <w:bCs/>
          <w:color w:val="auto"/>
          <w:kern w:val="2"/>
          <w:sz w:val="32"/>
          <w:szCs w:val="32"/>
          <w:highlight w:val="none"/>
          <w:lang w:val="en-US" w:eastAsia="zh-CN" w:bidi="ar-SA"/>
        </w:rPr>
      </w:pPr>
      <w:r>
        <w:rPr>
          <w:rFonts w:hint="eastAsia" w:ascii="仿宋" w:hAnsi="仿宋" w:eastAsia="仿宋" w:cs="仿宋"/>
          <w:bCs/>
          <w:sz w:val="32"/>
          <w:szCs w:val="32"/>
          <w:lang w:val="en-US" w:eastAsia="zh-CN"/>
        </w:rPr>
        <w:t>学院现占地607亩，建筑面积344260㎡。学院现有全日制高职学生12010人，非全日制学生1069人。2022年底有教职工606人，其中教师394人，博士学位4人，硕士学位331人（博士在读4人），正高职称25人，副高职称155人。学院现有管理服务机构15个，设有建筑系、建筑工程系、管理工程系、建筑设备工程系、市政与路桥工程系、马克思主义学院、公共基础课教学部等教学机构7个，教辅机构7个，党群团组织13个，直属单位1个。</w:t>
      </w:r>
    </w:p>
    <w:p>
      <w:pPr>
        <w:keepNext w:val="0"/>
        <w:keepLines w:val="0"/>
        <w:pageBreakBefore w:val="0"/>
        <w:widowControl/>
        <w:kinsoku/>
        <w:wordWrap/>
        <w:overflowPunct/>
        <w:topLinePunct w:val="0"/>
        <w:autoSpaceDE/>
        <w:autoSpaceDN/>
        <w:bidi w:val="0"/>
        <w:snapToGrid w:val="0"/>
        <w:spacing w:line="560" w:lineRule="exact"/>
        <w:ind w:firstLine="624"/>
        <w:textAlignment w:val="auto"/>
        <w:rPr>
          <w:rFonts w:hint="eastAsia" w:ascii="仿宋_GB2312" w:hAnsi="Times New Roman" w:eastAsia="仿宋_GB2312" w:cs="Times New Roman"/>
          <w:b w:val="0"/>
          <w:bCs w:val="0"/>
          <w:color w:val="auto"/>
          <w:kern w:val="2"/>
          <w:sz w:val="32"/>
          <w:szCs w:val="32"/>
          <w:highlight w:val="none"/>
          <w:lang w:val="en-US" w:eastAsia="zh-CN" w:bidi="ar-SA"/>
        </w:rPr>
      </w:pPr>
      <w:r>
        <w:rPr>
          <w:rFonts w:hint="eastAsia" w:cs="Times New Roman"/>
          <w:color w:val="auto"/>
          <w:kern w:val="2"/>
          <w:sz w:val="32"/>
          <w:szCs w:val="32"/>
          <w:highlight w:val="none"/>
          <w:lang w:val="en-US" w:eastAsia="zh-CN" w:bidi="ar-SA"/>
        </w:rPr>
        <w:t>3</w:t>
      </w:r>
      <w:r>
        <w:rPr>
          <w:rFonts w:hint="eastAsia" w:cs="Times New Roman"/>
          <w:b/>
          <w:bCs/>
          <w:color w:val="auto"/>
          <w:kern w:val="2"/>
          <w:sz w:val="32"/>
          <w:szCs w:val="32"/>
          <w:highlight w:val="none"/>
          <w:lang w:val="en-US" w:eastAsia="zh-CN" w:bidi="ar-SA"/>
        </w:rPr>
        <w:t>.</w:t>
      </w:r>
      <w:r>
        <w:rPr>
          <w:rFonts w:hint="eastAsia" w:ascii="仿宋_GB2312" w:hAnsi="Verdana" w:eastAsia="仿宋_GB2312" w:cs="宋体"/>
          <w:b/>
          <w:bCs/>
          <w:kern w:val="0"/>
          <w:sz w:val="32"/>
          <w:szCs w:val="32"/>
        </w:rPr>
        <w:t>湖南建筑高级技工学校</w:t>
      </w:r>
      <w:r>
        <w:rPr>
          <w:rFonts w:hint="eastAsia" w:ascii="仿宋_GB2312" w:eastAsia="仿宋_GB2312"/>
          <w:b w:val="0"/>
          <w:bCs w:val="0"/>
          <w:sz w:val="32"/>
          <w:szCs w:val="32"/>
        </w:rPr>
        <w:t>是由湖南省人力资源和社会保障厅主管，湖南建设投资集团主办，省内唯一一所全日制重点建筑类高级技工学校，为公益二类事业单位，主要从事中职、技工教育，执行《政府会计制度》。学校内设7个党政管理机构，7个教学教辅机构，3个群团、纪检机构。年末实有人数334人，其中在编职工196人，经费自理9人，退休人员129人，年末实有人数较上年增加1人，人才引进9人。现有在校学生3794人，校舍建筑面积5万余平方米。自1979年恢复办学以来，我校充分发挥行业特色和服务社会的理念，针对社会企业开展电焊、管道、测量放线、装饰装修、工程电气设备调试、机械设备安装、钳工、砌筑、抹灰等近20个工种进行考核鉴定，为湖南省建设行业和地方建设培养了数以万计的优质实用的技能人才。学校先后被授予湖南省示范技工学校、湖南省高技能人才培训基地、全国建设类技能型紧缺人才培训基地、全国职工教育培训优秀示范点等荣誉称号。</w:t>
      </w:r>
    </w:p>
    <w:p>
      <w:pPr>
        <w:keepNext w:val="0"/>
        <w:keepLines w:val="0"/>
        <w:pageBreakBefore w:val="0"/>
        <w:widowControl/>
        <w:kinsoku/>
        <w:wordWrap/>
        <w:overflowPunct/>
        <w:topLinePunct w:val="0"/>
        <w:autoSpaceDE/>
        <w:autoSpaceDN/>
        <w:bidi w:val="0"/>
        <w:spacing w:line="560" w:lineRule="exact"/>
        <w:ind w:firstLine="640" w:firstLineChars="200"/>
        <w:textAlignment w:val="auto"/>
        <w:rPr>
          <w:rFonts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rPr>
        <w:t>二、</w:t>
      </w:r>
      <w:r>
        <w:rPr>
          <w:rFonts w:ascii="Times New Roman" w:hAnsi="Times New Roman" w:eastAsia="黑体" w:cs="Times New Roman"/>
          <w:color w:val="auto"/>
          <w:sz w:val="32"/>
          <w:szCs w:val="32"/>
          <w:highlight w:val="none"/>
        </w:rPr>
        <w:t>一般公共预算支出情况</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hint="eastAsia" w:ascii="楷体_GB2312" w:hAnsi="Times New Roman" w:eastAsia="楷体_GB2312" w:cs="Times New Roman"/>
          <w:b/>
          <w:color w:val="auto"/>
          <w:sz w:val="32"/>
          <w:szCs w:val="32"/>
          <w:highlight w:val="none"/>
        </w:rPr>
      </w:pPr>
      <w:r>
        <w:rPr>
          <w:rFonts w:hint="eastAsia" w:ascii="楷体_GB2312" w:hAnsi="Times New Roman" w:eastAsia="楷体_GB2312" w:cs="Times New Roman"/>
          <w:b/>
          <w:color w:val="auto"/>
          <w:sz w:val="32"/>
          <w:szCs w:val="32"/>
          <w:highlight w:val="none"/>
        </w:rPr>
        <w:t>（一）基本支出情况</w:t>
      </w:r>
    </w:p>
    <w:p>
      <w:pPr>
        <w:pStyle w:val="2"/>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2022年度部门</w:t>
      </w:r>
      <w:r>
        <w:rPr>
          <w:rFonts w:hint="eastAsia" w:ascii="仿宋" w:hAnsi="仿宋" w:eastAsia="仿宋" w:cs="仿宋"/>
          <w:color w:val="auto"/>
          <w:sz w:val="32"/>
          <w:szCs w:val="32"/>
          <w:highlight w:val="none"/>
        </w:rPr>
        <w:t>基本支出总额</w:t>
      </w:r>
      <w:r>
        <w:rPr>
          <w:rFonts w:hint="eastAsia" w:ascii="仿宋" w:hAnsi="仿宋" w:eastAsia="仿宋" w:cs="仿宋"/>
          <w:color w:val="auto"/>
          <w:sz w:val="32"/>
          <w:szCs w:val="32"/>
          <w:highlight w:val="none"/>
          <w:lang w:val="en-US" w:eastAsia="zh-CN"/>
        </w:rPr>
        <w:t>22068.66</w:t>
      </w:r>
      <w:r>
        <w:rPr>
          <w:rFonts w:hint="eastAsia" w:ascii="仿宋" w:hAnsi="仿宋" w:eastAsia="仿宋" w:cs="仿宋"/>
          <w:color w:val="auto"/>
          <w:sz w:val="32"/>
          <w:szCs w:val="32"/>
          <w:highlight w:val="none"/>
        </w:rPr>
        <w:t>万元，其中：工资福利支出</w:t>
      </w:r>
      <w:r>
        <w:rPr>
          <w:rFonts w:hint="eastAsia" w:ascii="仿宋" w:hAnsi="仿宋" w:eastAsia="仿宋" w:cs="仿宋"/>
          <w:sz w:val="32"/>
          <w:szCs w:val="32"/>
          <w:lang w:val="en-US" w:eastAsia="zh-CN"/>
        </w:rPr>
        <w:t>15278.91</w:t>
      </w:r>
      <w:r>
        <w:rPr>
          <w:rFonts w:hint="eastAsia" w:ascii="仿宋" w:hAnsi="仿宋" w:eastAsia="仿宋" w:cs="仿宋"/>
          <w:color w:val="auto"/>
          <w:sz w:val="32"/>
          <w:szCs w:val="32"/>
          <w:highlight w:val="none"/>
        </w:rPr>
        <w:t>万元，占总基本支出的</w:t>
      </w:r>
      <w:r>
        <w:rPr>
          <w:rFonts w:hint="eastAsia" w:ascii="仿宋" w:hAnsi="仿宋" w:eastAsia="仿宋" w:cs="仿宋"/>
          <w:color w:val="auto"/>
          <w:sz w:val="32"/>
          <w:szCs w:val="32"/>
          <w:highlight w:val="none"/>
          <w:lang w:val="en-US" w:eastAsia="zh-CN"/>
        </w:rPr>
        <w:t>69.23</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商品和服务支出</w:t>
      </w:r>
      <w:r>
        <w:rPr>
          <w:rFonts w:hint="eastAsia" w:ascii="仿宋" w:hAnsi="仿宋" w:eastAsia="仿宋" w:cs="仿宋"/>
          <w:color w:val="auto"/>
          <w:sz w:val="32"/>
          <w:szCs w:val="32"/>
          <w:highlight w:val="none"/>
          <w:lang w:val="en-US" w:eastAsia="zh-CN"/>
        </w:rPr>
        <w:t>5143.86</w:t>
      </w:r>
      <w:r>
        <w:rPr>
          <w:rFonts w:hint="eastAsia" w:ascii="仿宋" w:hAnsi="仿宋" w:eastAsia="仿宋" w:cs="仿宋"/>
          <w:color w:val="auto"/>
          <w:sz w:val="32"/>
          <w:szCs w:val="32"/>
          <w:highlight w:val="none"/>
        </w:rPr>
        <w:t>万元，占总基本支出的</w:t>
      </w:r>
      <w:r>
        <w:rPr>
          <w:rFonts w:hint="eastAsia" w:ascii="仿宋" w:hAnsi="仿宋" w:eastAsia="仿宋" w:cs="仿宋"/>
          <w:color w:val="auto"/>
          <w:sz w:val="32"/>
          <w:szCs w:val="32"/>
          <w:highlight w:val="none"/>
          <w:lang w:val="en-US" w:eastAsia="zh-CN"/>
        </w:rPr>
        <w:t>23.31</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对个人和家庭补助支出</w:t>
      </w:r>
      <w:r>
        <w:rPr>
          <w:rFonts w:hint="eastAsia" w:ascii="仿宋" w:hAnsi="仿宋" w:eastAsia="仿宋" w:cs="仿宋"/>
          <w:color w:val="auto"/>
          <w:sz w:val="32"/>
          <w:szCs w:val="32"/>
          <w:highlight w:val="none"/>
          <w:lang w:val="en-US" w:eastAsia="zh-CN"/>
        </w:rPr>
        <w:t>1645.89</w:t>
      </w:r>
      <w:r>
        <w:rPr>
          <w:rFonts w:hint="eastAsia" w:ascii="仿宋" w:hAnsi="仿宋" w:eastAsia="仿宋" w:cs="仿宋"/>
          <w:color w:val="auto"/>
          <w:sz w:val="32"/>
          <w:szCs w:val="32"/>
          <w:highlight w:val="none"/>
        </w:rPr>
        <w:t>万元，占总基本支出的</w:t>
      </w:r>
      <w:r>
        <w:rPr>
          <w:rFonts w:hint="eastAsia" w:ascii="仿宋" w:hAnsi="仿宋" w:eastAsia="仿宋" w:cs="仿宋"/>
          <w:color w:val="auto"/>
          <w:sz w:val="32"/>
          <w:szCs w:val="32"/>
          <w:highlight w:val="none"/>
          <w:lang w:val="en-US" w:eastAsia="zh-CN"/>
        </w:rPr>
        <w:t>7.46</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w:t>
      </w:r>
    </w:p>
    <w:p>
      <w:pPr>
        <w:pStyle w:val="2"/>
        <w:keepNext w:val="0"/>
        <w:keepLines w:val="0"/>
        <w:pageBreakBefore w:val="0"/>
        <w:kinsoku/>
        <w:wordWrap/>
        <w:overflowPunct/>
        <w:topLinePunct w:val="0"/>
        <w:autoSpaceDE/>
        <w:autoSpaceDN/>
        <w:bidi w:val="0"/>
        <w:spacing w:line="560" w:lineRule="exact"/>
        <w:ind w:firstLine="640" w:firstLineChars="200"/>
        <w:jc w:val="center"/>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基本支出分类情况统计</w:t>
      </w:r>
      <w:r>
        <w:rPr>
          <w:rFonts w:hint="eastAsia" w:ascii="仿宋" w:hAnsi="仿宋" w:eastAsia="仿宋" w:cs="仿宋"/>
          <w:color w:val="auto"/>
          <w:sz w:val="32"/>
          <w:szCs w:val="32"/>
          <w:highlight w:val="none"/>
          <w:lang w:val="en-US" w:eastAsia="zh-CN"/>
        </w:rPr>
        <w:t xml:space="preserve">        单位：万元</w:t>
      </w:r>
    </w:p>
    <w:tbl>
      <w:tblPr>
        <w:tblStyle w:val="12"/>
        <w:tblW w:w="83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96"/>
        <w:gridCol w:w="1488"/>
        <w:gridCol w:w="1525"/>
        <w:gridCol w:w="1625"/>
        <w:gridCol w:w="1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2022年</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2021年</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比上年增减</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增减率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、工资福利支出</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15278.91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13327.62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1951.29</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、商品和服务支出</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5143.86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2096.1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3047.76</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、对个人和家庭的补助</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1645.89</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1252.39</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393.5</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22068.66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16676.11</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5392.55</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w:t>
            </w:r>
          </w:p>
        </w:tc>
      </w:tr>
    </w:tbl>
    <w:p>
      <w:pPr>
        <w:pStyle w:val="24"/>
        <w:widowControl/>
        <w:numPr>
          <w:ilvl w:val="0"/>
          <w:numId w:val="0"/>
        </w:numPr>
        <w:spacing w:line="600" w:lineRule="exact"/>
        <w:ind w:firstLine="640" w:firstLineChars="200"/>
        <w:rPr>
          <w:rFonts w:hint="eastAsia" w:ascii="楷体_GB2312" w:hAnsi="Times New Roman" w:eastAsia="楷体_GB2312" w:cs="Times New Roman"/>
          <w:b/>
          <w:color w:val="auto"/>
          <w:sz w:val="32"/>
          <w:szCs w:val="32"/>
          <w:highlight w:val="none"/>
        </w:rPr>
      </w:pPr>
      <w:r>
        <w:rPr>
          <w:rFonts w:hint="eastAsia" w:ascii="仿宋" w:hAnsi="仿宋" w:eastAsia="仿宋" w:cs="仿宋"/>
          <w:color w:val="auto"/>
          <w:kern w:val="2"/>
          <w:sz w:val="32"/>
          <w:szCs w:val="32"/>
          <w:highlight w:val="none"/>
          <w:lang w:val="en-US" w:eastAsia="zh-CN" w:bidi="ar-SA"/>
        </w:rPr>
        <w:t>工资福利支出比2021年增加1951.29万元，主要是发放上年度一次性奖励性绩效工资；商品和服务支出比2021年增加3047.76万元，主要是学校两栋新高层学生公寓使用增加了水电费、物业管理费和培训业务的委托业务费增加等。对个人和家庭的补助比2021年增加393.5万元，主要是增加的离退休人员奖励金。</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lang w:eastAsia="zh-CN"/>
        </w:rPr>
        <w:t>三公经管理情况：</w:t>
      </w:r>
      <w:r>
        <w:rPr>
          <w:rFonts w:hint="eastAsia" w:ascii="仿宋_GB2312" w:hAnsi="黑体" w:eastAsia="仿宋_GB2312"/>
          <w:color w:val="auto"/>
          <w:sz w:val="32"/>
          <w:szCs w:val="32"/>
          <w:highlight w:val="none"/>
        </w:rPr>
        <w:t>严格执行《党政机关厉行节约反对浪费条例》《湖南省党政机关国内公务接待管理办法》和湖南省财政厅、湖南省机关事务管理局《关于明确省直党政机关公务活动用餐有关事项的通知》《中共湖南省委关于进一步贯彻落实中央八项规定精神的实施办法》等有关规定，严格按照事项申报、部门提出、审核、领导批准等有关规定程序和标准进行，控制三公支出。</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2022年</w:t>
      </w:r>
      <w:r>
        <w:rPr>
          <w:rFonts w:hint="eastAsia" w:ascii="仿宋_GB2312" w:hAnsi="黑体" w:eastAsia="仿宋_GB2312"/>
          <w:color w:val="auto"/>
          <w:sz w:val="32"/>
          <w:szCs w:val="32"/>
          <w:highlight w:val="none"/>
          <w:lang w:eastAsia="zh-CN"/>
        </w:rPr>
        <w:t>部门</w:t>
      </w:r>
      <w:r>
        <w:rPr>
          <w:rFonts w:hint="eastAsia" w:ascii="仿宋_GB2312" w:hAnsi="黑体" w:eastAsia="仿宋_GB2312"/>
          <w:color w:val="auto"/>
          <w:sz w:val="32"/>
          <w:szCs w:val="32"/>
          <w:highlight w:val="none"/>
        </w:rPr>
        <w:t>三公经费预算数33万元，实际支出</w:t>
      </w:r>
      <w:r>
        <w:rPr>
          <w:rFonts w:hint="eastAsia" w:ascii="仿宋_GB2312" w:hAnsi="黑体" w:eastAsia="仿宋_GB2312"/>
          <w:color w:val="auto"/>
          <w:sz w:val="32"/>
          <w:szCs w:val="32"/>
          <w:highlight w:val="none"/>
          <w:lang w:val="en-US" w:eastAsia="zh-CN"/>
        </w:rPr>
        <w:t>25.4</w:t>
      </w:r>
      <w:r>
        <w:rPr>
          <w:rFonts w:hint="eastAsia" w:ascii="仿宋_GB2312" w:hAnsi="黑体" w:eastAsia="仿宋_GB2312"/>
          <w:color w:val="auto"/>
          <w:sz w:val="32"/>
          <w:szCs w:val="32"/>
          <w:highlight w:val="none"/>
        </w:rPr>
        <w:t>万元。其中：公务接待费</w:t>
      </w:r>
      <w:r>
        <w:rPr>
          <w:rFonts w:hint="eastAsia" w:ascii="仿宋_GB2312" w:hAnsi="黑体" w:eastAsia="仿宋_GB2312"/>
          <w:color w:val="auto"/>
          <w:sz w:val="32"/>
          <w:szCs w:val="32"/>
          <w:highlight w:val="none"/>
          <w:lang w:val="en-US" w:eastAsia="zh-CN"/>
        </w:rPr>
        <w:t>5.4</w:t>
      </w:r>
      <w:r>
        <w:rPr>
          <w:rFonts w:hint="eastAsia" w:ascii="仿宋_GB2312" w:hAnsi="黑体" w:eastAsia="仿宋_GB2312"/>
          <w:color w:val="auto"/>
          <w:sz w:val="32"/>
          <w:szCs w:val="32"/>
          <w:highlight w:val="none"/>
        </w:rPr>
        <w:t>万元；公务车运行费</w:t>
      </w:r>
      <w:r>
        <w:rPr>
          <w:rFonts w:hint="eastAsia" w:ascii="仿宋_GB2312" w:hAnsi="黑体" w:eastAsia="仿宋_GB2312"/>
          <w:color w:val="auto"/>
          <w:sz w:val="32"/>
          <w:szCs w:val="32"/>
          <w:highlight w:val="none"/>
          <w:lang w:val="en-US" w:eastAsia="zh-CN"/>
        </w:rPr>
        <w:t>20</w:t>
      </w:r>
      <w:r>
        <w:rPr>
          <w:rFonts w:hint="eastAsia" w:ascii="仿宋_GB2312" w:hAnsi="黑体" w:eastAsia="仿宋_GB2312"/>
          <w:color w:val="auto"/>
          <w:sz w:val="32"/>
          <w:szCs w:val="32"/>
          <w:highlight w:val="none"/>
        </w:rPr>
        <w:t>万元</w:t>
      </w:r>
      <w:r>
        <w:rPr>
          <w:rFonts w:hint="eastAsia" w:ascii="仿宋_GB2312" w:hAnsi="黑体" w:eastAsia="仿宋_GB2312"/>
          <w:color w:val="auto"/>
          <w:sz w:val="32"/>
          <w:szCs w:val="32"/>
          <w:highlight w:val="none"/>
          <w:lang w:eastAsia="zh-CN"/>
        </w:rPr>
        <w:t>。</w:t>
      </w:r>
      <w:r>
        <w:rPr>
          <w:rFonts w:hint="eastAsia" w:ascii="仿宋_GB2312" w:hAnsi="黑体" w:eastAsia="仿宋_GB2312"/>
          <w:color w:val="auto"/>
          <w:sz w:val="32"/>
          <w:szCs w:val="32"/>
          <w:highlight w:val="none"/>
        </w:rPr>
        <w:t>2</w:t>
      </w:r>
      <w:r>
        <w:rPr>
          <w:rFonts w:hint="eastAsia" w:ascii="仿宋_GB2312" w:hAnsi="黑体" w:eastAsia="仿宋_GB2312"/>
          <w:color w:val="auto"/>
          <w:sz w:val="32"/>
          <w:szCs w:val="32"/>
          <w:highlight w:val="none"/>
          <w:lang w:val="en-US" w:eastAsia="zh-CN"/>
        </w:rPr>
        <w:t>0</w:t>
      </w:r>
      <w:r>
        <w:rPr>
          <w:rFonts w:hint="eastAsia" w:ascii="仿宋_GB2312" w:hAnsi="黑体" w:eastAsia="仿宋_GB2312"/>
          <w:color w:val="auto"/>
          <w:sz w:val="32"/>
          <w:szCs w:val="32"/>
          <w:highlight w:val="none"/>
        </w:rPr>
        <w:t>22年“三公经费”控制率</w:t>
      </w:r>
      <w:r>
        <w:rPr>
          <w:rFonts w:hint="eastAsia" w:ascii="仿宋_GB2312" w:hAnsi="黑体" w:eastAsia="仿宋_GB2312"/>
          <w:color w:val="auto"/>
          <w:sz w:val="32"/>
          <w:szCs w:val="32"/>
          <w:highlight w:val="none"/>
          <w:lang w:val="en-US" w:eastAsia="zh-CN"/>
        </w:rPr>
        <w:t>76.9</w:t>
      </w:r>
      <w:r>
        <w:rPr>
          <w:rFonts w:hint="eastAsia" w:ascii="仿宋_GB2312" w:hAnsi="黑体" w:eastAsia="仿宋_GB2312"/>
          <w:color w:val="auto"/>
          <w:sz w:val="32"/>
          <w:szCs w:val="32"/>
          <w:highlight w:val="none"/>
        </w:rPr>
        <w:t>%。</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黑体" w:eastAsia="仿宋_GB2312" w:cs="Times New Roman"/>
          <w:b/>
          <w:color w:val="auto"/>
          <w:sz w:val="32"/>
          <w:szCs w:val="32"/>
          <w:highlight w:val="none"/>
        </w:rPr>
      </w:pPr>
      <w:r>
        <w:rPr>
          <w:rFonts w:hint="eastAsia" w:ascii="仿宋_GB2312" w:hAnsi="黑体" w:eastAsia="仿宋_GB2312"/>
          <w:color w:val="auto"/>
          <w:sz w:val="32"/>
          <w:szCs w:val="32"/>
          <w:highlight w:val="none"/>
        </w:rPr>
        <w:t>2022年“三公经费”逐年下降，所有项目严格按方案组织实施，并加强了监督。公车进行改革，近两年公车运行费用（公车维护和司机人员经费支出）较以往降低；公务接待费用大幅度降低，降低的原因一方面是受疫情影响，公务交流活动减少；另一方面是严格公务接待纪律制度，控制接待费用支出，践行公务接待费“只减不增”目标要求。</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ascii="楷体_GB2312" w:hAnsi="Times New Roman" w:eastAsia="楷体_GB2312" w:cs="Times New Roman"/>
          <w:b/>
          <w:color w:val="auto"/>
          <w:sz w:val="32"/>
          <w:szCs w:val="32"/>
          <w:highlight w:val="none"/>
        </w:rPr>
      </w:pPr>
      <w:r>
        <w:rPr>
          <w:rFonts w:hint="eastAsia" w:ascii="楷体_GB2312" w:hAnsi="Times New Roman" w:eastAsia="楷体_GB2312" w:cs="Times New Roman"/>
          <w:b/>
          <w:color w:val="auto"/>
          <w:sz w:val="32"/>
          <w:szCs w:val="32"/>
          <w:highlight w:val="none"/>
        </w:rPr>
        <w:t>（二）</w:t>
      </w:r>
      <w:r>
        <w:rPr>
          <w:rFonts w:ascii="楷体_GB2312" w:hAnsi="Times New Roman" w:eastAsia="楷体_GB2312" w:cs="Times New Roman"/>
          <w:b/>
          <w:color w:val="auto"/>
          <w:sz w:val="32"/>
          <w:szCs w:val="32"/>
          <w:highlight w:val="none"/>
        </w:rPr>
        <w:t>项目支出情况</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ascii="仿宋_GB2312" w:hAnsi="黑体" w:eastAsia="仿宋_GB2312"/>
          <w:color w:val="auto"/>
          <w:sz w:val="32"/>
          <w:szCs w:val="32"/>
          <w:highlight w:val="none"/>
        </w:rPr>
      </w:pPr>
      <w:r>
        <w:rPr>
          <w:rFonts w:hint="eastAsia" w:ascii="仿宋_GB2312" w:hAnsi="黑体" w:eastAsia="仿宋_GB2312"/>
          <w:color w:val="auto"/>
          <w:sz w:val="32"/>
          <w:szCs w:val="32"/>
          <w:highlight w:val="none"/>
        </w:rPr>
        <w:t>1、项目支出整体情况</w:t>
      </w:r>
    </w:p>
    <w:p>
      <w:pPr>
        <w:pStyle w:val="24"/>
        <w:keepNext w:val="0"/>
        <w:keepLines w:val="0"/>
        <w:pageBreakBefore w:val="0"/>
        <w:widowControl/>
        <w:kinsoku/>
        <w:wordWrap/>
        <w:overflowPunct/>
        <w:topLinePunct w:val="0"/>
        <w:autoSpaceDE/>
        <w:autoSpaceDN/>
        <w:bidi w:val="0"/>
        <w:spacing w:line="560" w:lineRule="exact"/>
        <w:ind w:firstLine="640"/>
        <w:textAlignment w:val="auto"/>
        <w:rPr>
          <w:rFonts w:hint="eastAsia" w:ascii="仿宋_GB2312" w:hAnsi="黑体" w:eastAsia="仿宋_GB2312"/>
          <w:color w:val="auto"/>
          <w:sz w:val="32"/>
          <w:szCs w:val="32"/>
          <w:highlight w:val="none"/>
          <w:lang w:val="en-US" w:eastAsia="zh-CN"/>
        </w:rPr>
      </w:pPr>
      <w:r>
        <w:rPr>
          <w:rFonts w:hint="eastAsia" w:ascii="仿宋_GB2312" w:hAnsi="黑体" w:eastAsia="仿宋_GB2312"/>
          <w:color w:val="auto"/>
          <w:sz w:val="32"/>
          <w:szCs w:val="32"/>
          <w:highlight w:val="none"/>
        </w:rPr>
        <w:t>项目支出总额</w:t>
      </w:r>
      <w:r>
        <w:rPr>
          <w:rFonts w:hint="eastAsia" w:ascii="仿宋_GB2312" w:hAnsi="黑体" w:eastAsia="仿宋_GB2312"/>
          <w:color w:val="auto"/>
          <w:sz w:val="32"/>
          <w:szCs w:val="32"/>
          <w:highlight w:val="none"/>
          <w:lang w:val="en-US" w:eastAsia="zh-CN"/>
        </w:rPr>
        <w:t>4145.99</w:t>
      </w:r>
      <w:r>
        <w:rPr>
          <w:rFonts w:hint="eastAsia" w:ascii="仿宋_GB2312" w:hAnsi="黑体" w:eastAsia="仿宋_GB2312"/>
          <w:color w:val="auto"/>
          <w:sz w:val="32"/>
          <w:szCs w:val="32"/>
          <w:highlight w:val="none"/>
        </w:rPr>
        <w:t>万元，包括：商品及服务支出</w:t>
      </w:r>
      <w:r>
        <w:rPr>
          <w:rFonts w:hint="eastAsia" w:ascii="仿宋_GB2312" w:hAnsi="黑体" w:eastAsia="仿宋_GB2312"/>
          <w:color w:val="auto"/>
          <w:sz w:val="32"/>
          <w:szCs w:val="32"/>
          <w:highlight w:val="none"/>
          <w:lang w:val="en-US" w:eastAsia="zh-CN"/>
        </w:rPr>
        <w:t>519.33</w:t>
      </w:r>
      <w:r>
        <w:rPr>
          <w:rFonts w:hint="eastAsia" w:ascii="仿宋_GB2312" w:hAnsi="黑体" w:eastAsia="仿宋_GB2312"/>
          <w:color w:val="auto"/>
          <w:sz w:val="32"/>
          <w:szCs w:val="32"/>
          <w:highlight w:val="none"/>
        </w:rPr>
        <w:t>万元</w:t>
      </w:r>
      <w:r>
        <w:rPr>
          <w:rFonts w:hint="eastAsia" w:ascii="仿宋_GB2312" w:hAnsi="黑体" w:eastAsia="仿宋_GB2312"/>
          <w:color w:val="auto"/>
          <w:sz w:val="32"/>
          <w:szCs w:val="32"/>
          <w:highlight w:val="none"/>
          <w:lang w:eastAsia="zh-CN"/>
        </w:rPr>
        <w:t>、</w:t>
      </w:r>
      <w:r>
        <w:rPr>
          <w:rFonts w:hint="eastAsia" w:ascii="仿宋_GB2312" w:hAnsi="黑体" w:eastAsia="仿宋_GB2312"/>
          <w:color w:val="auto"/>
          <w:sz w:val="32"/>
          <w:szCs w:val="32"/>
          <w:highlight w:val="none"/>
        </w:rPr>
        <w:t>对个人和家庭的补助支出</w:t>
      </w:r>
      <w:r>
        <w:rPr>
          <w:rFonts w:hint="eastAsia" w:ascii="仿宋_GB2312" w:hAnsi="黑体" w:eastAsia="仿宋_GB2312"/>
          <w:color w:val="auto"/>
          <w:sz w:val="32"/>
          <w:szCs w:val="32"/>
          <w:highlight w:val="none"/>
          <w:lang w:val="en-US" w:eastAsia="zh-CN"/>
        </w:rPr>
        <w:t>1473.1</w:t>
      </w:r>
      <w:r>
        <w:rPr>
          <w:rFonts w:hint="eastAsia" w:ascii="仿宋_GB2312" w:hAnsi="黑体" w:eastAsia="仿宋_GB2312"/>
          <w:color w:val="auto"/>
          <w:sz w:val="32"/>
          <w:szCs w:val="32"/>
          <w:highlight w:val="none"/>
        </w:rPr>
        <w:t>万元</w:t>
      </w:r>
      <w:r>
        <w:rPr>
          <w:rFonts w:hint="eastAsia" w:ascii="仿宋_GB2312" w:hAnsi="黑体" w:eastAsia="仿宋_GB2312"/>
          <w:color w:val="auto"/>
          <w:sz w:val="32"/>
          <w:szCs w:val="32"/>
          <w:highlight w:val="none"/>
          <w:lang w:eastAsia="zh-CN"/>
        </w:rPr>
        <w:t>、</w:t>
      </w:r>
      <w:r>
        <w:rPr>
          <w:rFonts w:hint="eastAsia" w:ascii="仿宋_GB2312" w:hAnsi="黑体" w:eastAsia="仿宋_GB2312"/>
          <w:color w:val="auto"/>
          <w:sz w:val="32"/>
          <w:szCs w:val="32"/>
          <w:highlight w:val="none"/>
        </w:rPr>
        <w:t>资本性支出</w:t>
      </w:r>
      <w:r>
        <w:rPr>
          <w:rFonts w:hint="eastAsia" w:ascii="仿宋_GB2312" w:hAnsi="黑体" w:eastAsia="仿宋_GB2312"/>
          <w:color w:val="auto"/>
          <w:sz w:val="32"/>
          <w:szCs w:val="32"/>
          <w:highlight w:val="none"/>
          <w:lang w:val="en-US" w:eastAsia="zh-CN"/>
        </w:rPr>
        <w:t>2153.56</w:t>
      </w:r>
      <w:r>
        <w:rPr>
          <w:rFonts w:hint="eastAsia" w:ascii="仿宋_GB2312" w:hAnsi="黑体" w:eastAsia="仿宋_GB2312"/>
          <w:color w:val="auto"/>
          <w:sz w:val="32"/>
          <w:szCs w:val="32"/>
          <w:highlight w:val="none"/>
        </w:rPr>
        <w:t>万元</w:t>
      </w:r>
      <w:r>
        <w:rPr>
          <w:rFonts w:hint="eastAsia" w:ascii="仿宋_GB2312" w:hAnsi="黑体" w:eastAsia="仿宋_GB2312"/>
          <w:color w:val="auto"/>
          <w:sz w:val="32"/>
          <w:szCs w:val="32"/>
          <w:highlight w:val="none"/>
          <w:lang w:val="en-US" w:eastAsia="zh-CN"/>
        </w:rPr>
        <w:t>。</w:t>
      </w:r>
      <w:r>
        <w:rPr>
          <w:rFonts w:hint="eastAsia" w:ascii="仿宋_GB2312" w:hAnsi="黑体" w:eastAsia="仿宋_GB2312"/>
          <w:color w:val="auto"/>
          <w:sz w:val="32"/>
          <w:szCs w:val="32"/>
          <w:highlight w:val="none"/>
        </w:rPr>
        <w:t>主要用于高等职业教育、社会保障和就业支出、一般行政管理事务等方面。其中：集团本部</w:t>
      </w:r>
      <w:r>
        <w:rPr>
          <w:rFonts w:hint="eastAsia" w:ascii="仿宋_GB2312" w:hAnsi="黑体" w:eastAsia="仿宋_GB2312"/>
          <w:color w:val="auto"/>
          <w:sz w:val="32"/>
          <w:szCs w:val="32"/>
          <w:highlight w:val="none"/>
          <w:lang w:val="en-US" w:eastAsia="zh-CN"/>
        </w:rPr>
        <w:t>140.4</w:t>
      </w:r>
      <w:r>
        <w:rPr>
          <w:rFonts w:hint="eastAsia" w:ascii="仿宋_GB2312" w:hAnsi="黑体" w:eastAsia="仿宋_GB2312"/>
          <w:color w:val="auto"/>
          <w:sz w:val="32"/>
          <w:szCs w:val="32"/>
          <w:highlight w:val="none"/>
        </w:rPr>
        <w:t>万元，主要</w:t>
      </w:r>
      <w:r>
        <w:rPr>
          <w:rFonts w:hint="eastAsia" w:ascii="仿宋_GB2312" w:hAnsi="黑体" w:eastAsia="仿宋_GB2312"/>
          <w:color w:val="auto"/>
          <w:sz w:val="32"/>
          <w:szCs w:val="32"/>
          <w:highlight w:val="none"/>
          <w:lang w:eastAsia="zh-CN"/>
        </w:rPr>
        <w:t>用于</w:t>
      </w:r>
      <w:r>
        <w:rPr>
          <w:rFonts w:hint="eastAsia" w:ascii="仿宋_GB2312" w:hAnsi="黑体" w:eastAsia="仿宋_GB2312"/>
          <w:color w:val="auto"/>
          <w:sz w:val="32"/>
          <w:szCs w:val="32"/>
          <w:highlight w:val="none"/>
        </w:rPr>
        <w:t>财务系统实施运维</w:t>
      </w:r>
      <w:r>
        <w:rPr>
          <w:rFonts w:hint="eastAsia" w:ascii="仿宋_GB2312" w:hAnsi="黑体" w:eastAsia="仿宋_GB2312"/>
          <w:color w:val="auto"/>
          <w:sz w:val="32"/>
          <w:szCs w:val="32"/>
          <w:highlight w:val="none"/>
          <w:lang w:eastAsia="zh-CN"/>
        </w:rPr>
        <w:t>及资金系统运维。</w:t>
      </w:r>
    </w:p>
    <w:p>
      <w:pPr>
        <w:pStyle w:val="24"/>
        <w:keepNext w:val="0"/>
        <w:keepLines w:val="0"/>
        <w:pageBreakBefore w:val="0"/>
        <w:widowControl/>
        <w:numPr>
          <w:ilvl w:val="0"/>
          <w:numId w:val="0"/>
        </w:numPr>
        <w:kinsoku/>
        <w:wordWrap/>
        <w:overflowPunct/>
        <w:topLinePunct w:val="0"/>
        <w:autoSpaceDE/>
        <w:autoSpaceDN/>
        <w:bidi w:val="0"/>
        <w:adjustRightInd/>
        <w:spacing w:line="560" w:lineRule="exact"/>
        <w:ind w:firstLine="640" w:firstLineChars="200"/>
        <w:textAlignment w:val="auto"/>
        <w:rPr>
          <w:rFonts w:hint="eastAsia" w:ascii="仿宋_GB2312" w:hAnsi="黑体" w:eastAsia="仿宋_GB2312"/>
          <w:color w:val="auto"/>
          <w:sz w:val="32"/>
          <w:szCs w:val="32"/>
          <w:highlight w:val="none"/>
        </w:rPr>
      </w:pPr>
      <w:r>
        <w:rPr>
          <w:rFonts w:hint="eastAsia" w:ascii="仿宋_GB2312" w:hAnsi="黑体" w:eastAsia="仿宋_GB2312"/>
          <w:color w:val="auto"/>
          <w:sz w:val="32"/>
          <w:szCs w:val="32"/>
          <w:highlight w:val="none"/>
          <w:lang w:eastAsia="zh-CN"/>
        </w:rPr>
        <w:t>湖南</w:t>
      </w:r>
      <w:r>
        <w:rPr>
          <w:rFonts w:hint="eastAsia" w:ascii="仿宋_GB2312" w:hAnsi="黑体" w:eastAsia="仿宋_GB2312"/>
          <w:color w:val="auto"/>
          <w:sz w:val="32"/>
          <w:szCs w:val="32"/>
          <w:highlight w:val="none"/>
        </w:rPr>
        <w:t>城建职业技术学院项目支出3492.45万元，主要包括：①高校“双一流”建设专项984.27万元；②学生资助补助1428.78万元；③职业院校教师素质提高计划36.32万元；④“三高四新”和立德树人专项12.97万元；⑤教育综合发展专项3.86万元；⑥省社科基金课题2.07万元；⑦校园招聘活动一次性补助10.83万元；⑧高职生均拨款（防疫补助）14万元；⑨学院其他资本性支出999.35万元。</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黑体" w:eastAsia="仿宋_GB2312"/>
          <w:b w:val="0"/>
          <w:bCs w:val="0"/>
          <w:color w:val="auto"/>
          <w:sz w:val="32"/>
          <w:szCs w:val="32"/>
          <w:highlight w:val="none"/>
          <w:lang w:val="en-US" w:eastAsia="zh-CN"/>
        </w:rPr>
      </w:pPr>
      <w:r>
        <w:rPr>
          <w:rFonts w:hint="eastAsia" w:ascii="仿宋_GB2312" w:hAnsi="黑体" w:eastAsia="仿宋_GB2312"/>
          <w:color w:val="auto"/>
          <w:sz w:val="32"/>
          <w:szCs w:val="32"/>
          <w:highlight w:val="none"/>
          <w:lang w:eastAsia="zh-CN"/>
        </w:rPr>
        <w:t>湖南建筑高级技工学校</w:t>
      </w:r>
      <w:r>
        <w:rPr>
          <w:rFonts w:hint="eastAsia" w:ascii="仿宋_GB2312" w:hAnsi="仿宋" w:eastAsia="仿宋_GB2312"/>
          <w:color w:val="auto"/>
          <w:sz w:val="32"/>
          <w:highlight w:val="none"/>
        </w:rPr>
        <w:t>年度</w:t>
      </w:r>
      <w:r>
        <w:rPr>
          <w:rFonts w:hint="eastAsia" w:ascii="仿宋_GB2312" w:eastAsia="仿宋_GB2312"/>
          <w:b w:val="0"/>
          <w:bCs w:val="0"/>
          <w:sz w:val="32"/>
          <w:szCs w:val="32"/>
        </w:rPr>
        <w:t>项目支出</w:t>
      </w:r>
      <w:r>
        <w:rPr>
          <w:rFonts w:hint="eastAsia" w:ascii="仿宋_GB2312" w:eastAsia="仿宋_GB2312"/>
          <w:b w:val="0"/>
          <w:bCs w:val="0"/>
          <w:sz w:val="32"/>
          <w:szCs w:val="32"/>
          <w:lang w:val="en-US" w:eastAsia="zh-CN"/>
        </w:rPr>
        <w:t>500.37万元。其中：房屋建筑物购置支出254.32万元、办公设备购置支出22.76万元、专用设备购置支出191.68万元、无形资产购置支出2.4万元、信息网络及软件购置更新29.14万元。项目支出决算占整体支出的比例为11.68%。2022年，学校安排就业补助专项资金196.1万元，支出53.9万元。支出占比27.49%，支出方向主要为购置专项设备、原材料耗费和与专项直接相关的其他费用。</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color w:val="auto"/>
          <w:highlight w:val="none"/>
        </w:rPr>
      </w:pPr>
      <w:r>
        <w:rPr>
          <w:rFonts w:hint="eastAsia" w:ascii="仿宋_GB2312" w:hAnsi="黑体" w:eastAsia="仿宋_GB2312"/>
          <w:color w:val="auto"/>
          <w:sz w:val="32"/>
          <w:szCs w:val="32"/>
          <w:highlight w:val="none"/>
          <w:lang w:eastAsia="zh-CN"/>
        </w:rPr>
        <w:t>综上，我部门</w:t>
      </w:r>
      <w:r>
        <w:rPr>
          <w:rFonts w:hint="eastAsia" w:ascii="仿宋_GB2312" w:hAnsi="黑体" w:eastAsia="仿宋_GB2312"/>
          <w:color w:val="auto"/>
          <w:sz w:val="32"/>
          <w:szCs w:val="32"/>
          <w:highlight w:val="none"/>
        </w:rPr>
        <w:t>项目支出均有相关的审批手续，资金拨付严格审批程序和验收手续，使用规范，会计核算结果真实、准确。建立健全财务管理制度和会计核算制度，无截留、挤占或挪用项目资金的情况。</w:t>
      </w:r>
    </w:p>
    <w:p>
      <w:pPr>
        <w:keepNext w:val="0"/>
        <w:keepLines w:val="0"/>
        <w:pageBreakBefore w:val="0"/>
        <w:widowControl/>
        <w:numPr>
          <w:ilvl w:val="0"/>
          <w:numId w:val="0"/>
        </w:numPr>
        <w:kinsoku/>
        <w:wordWrap/>
        <w:overflowPunct/>
        <w:topLinePunct w:val="0"/>
        <w:autoSpaceDE/>
        <w:autoSpaceDN/>
        <w:bidi w:val="0"/>
        <w:spacing w:line="560" w:lineRule="exact"/>
        <w:ind w:leftChars="0" w:firstLine="640" w:firstLineChars="200"/>
        <w:jc w:val="left"/>
        <w:textAlignment w:val="auto"/>
        <w:rPr>
          <w:rFonts w:ascii="Times New Roman" w:hAnsi="Times New Roman" w:eastAsia="黑体" w:cs="Times New Roman"/>
          <w:color w:val="auto"/>
          <w:sz w:val="32"/>
          <w:szCs w:val="32"/>
          <w:highlight w:val="none"/>
        </w:rPr>
      </w:pPr>
      <w:r>
        <w:rPr>
          <w:rFonts w:hint="eastAsia" w:eastAsia="黑体" w:cs="Times New Roman"/>
          <w:color w:val="auto"/>
          <w:sz w:val="32"/>
          <w:szCs w:val="32"/>
          <w:highlight w:val="none"/>
          <w:lang w:eastAsia="zh-CN"/>
        </w:rPr>
        <w:t>三、</w:t>
      </w:r>
      <w:r>
        <w:rPr>
          <w:rFonts w:ascii="Times New Roman" w:hAnsi="Times New Roman" w:eastAsia="黑体" w:cs="Times New Roman"/>
          <w:color w:val="auto"/>
          <w:sz w:val="32"/>
          <w:szCs w:val="32"/>
          <w:highlight w:val="none"/>
        </w:rPr>
        <w:t>政府性基金预算支出情况</w:t>
      </w:r>
    </w:p>
    <w:p>
      <w:pPr>
        <w:pStyle w:val="2"/>
        <w:keepNext w:val="0"/>
        <w:keepLines w:val="0"/>
        <w:pageBreakBefore w:val="0"/>
        <w:numPr>
          <w:ilvl w:val="0"/>
          <w:numId w:val="0"/>
        </w:numPr>
        <w:kinsoku/>
        <w:wordWrap/>
        <w:overflowPunct/>
        <w:topLinePunct w:val="0"/>
        <w:autoSpaceDE/>
        <w:autoSpaceDN/>
        <w:bidi w:val="0"/>
        <w:spacing w:line="560" w:lineRule="exact"/>
        <w:ind w:leftChars="0" w:firstLine="640" w:firstLineChars="200"/>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无</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ascii="Times New Roman" w:hAnsi="Times New Roman" w:eastAsia="黑体" w:cs="Times New Roman"/>
          <w:color w:val="auto"/>
          <w:sz w:val="32"/>
          <w:szCs w:val="32"/>
          <w:highlight w:val="none"/>
        </w:rPr>
      </w:pPr>
      <w:r>
        <w:rPr>
          <w:rFonts w:hint="eastAsia" w:eastAsia="黑体" w:cs="Times New Roman"/>
          <w:color w:val="auto"/>
          <w:sz w:val="32"/>
          <w:szCs w:val="32"/>
          <w:highlight w:val="none"/>
          <w:lang w:eastAsia="zh-CN"/>
        </w:rPr>
        <w:t>四、</w:t>
      </w:r>
      <w:r>
        <w:rPr>
          <w:rFonts w:ascii="Times New Roman" w:hAnsi="Times New Roman" w:eastAsia="黑体" w:cs="Times New Roman"/>
          <w:color w:val="auto"/>
          <w:sz w:val="32"/>
          <w:szCs w:val="32"/>
          <w:highlight w:val="none"/>
        </w:rPr>
        <w:t>国有资本经营预算支出情况</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无</w:t>
      </w:r>
    </w:p>
    <w:p>
      <w:pPr>
        <w:keepNext w:val="0"/>
        <w:keepLines w:val="0"/>
        <w:pageBreakBefore w:val="0"/>
        <w:widowControl/>
        <w:numPr>
          <w:ilvl w:val="0"/>
          <w:numId w:val="0"/>
        </w:numPr>
        <w:kinsoku/>
        <w:wordWrap/>
        <w:overflowPunct/>
        <w:topLinePunct w:val="0"/>
        <w:autoSpaceDE/>
        <w:autoSpaceDN/>
        <w:bidi w:val="0"/>
        <w:spacing w:line="560" w:lineRule="exact"/>
        <w:ind w:leftChars="0" w:firstLine="640" w:firstLineChars="200"/>
        <w:jc w:val="left"/>
        <w:textAlignment w:val="auto"/>
        <w:rPr>
          <w:rFonts w:ascii="Times New Roman" w:hAnsi="Times New Roman" w:eastAsia="黑体" w:cs="Times New Roman"/>
          <w:color w:val="auto"/>
          <w:sz w:val="32"/>
          <w:szCs w:val="32"/>
          <w:highlight w:val="none"/>
        </w:rPr>
      </w:pPr>
      <w:r>
        <w:rPr>
          <w:rFonts w:hint="eastAsia" w:eastAsia="黑体" w:cs="Times New Roman"/>
          <w:color w:val="auto"/>
          <w:sz w:val="32"/>
          <w:szCs w:val="32"/>
          <w:highlight w:val="none"/>
          <w:lang w:eastAsia="zh-CN"/>
        </w:rPr>
        <w:t>五、</w:t>
      </w:r>
      <w:r>
        <w:rPr>
          <w:rFonts w:ascii="Times New Roman" w:hAnsi="Times New Roman" w:eastAsia="黑体" w:cs="Times New Roman"/>
          <w:color w:val="auto"/>
          <w:sz w:val="32"/>
          <w:szCs w:val="32"/>
          <w:highlight w:val="none"/>
        </w:rPr>
        <w:t>社会保险基金预算支出情况</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无</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黑体" w:cs="Times New Roman"/>
          <w:color w:val="auto"/>
          <w:sz w:val="32"/>
          <w:szCs w:val="32"/>
          <w:highlight w:val="none"/>
        </w:rPr>
      </w:pPr>
      <w:r>
        <w:rPr>
          <w:rFonts w:hint="eastAsia" w:eastAsia="黑体" w:cs="Times New Roman"/>
          <w:color w:val="auto"/>
          <w:sz w:val="32"/>
          <w:szCs w:val="32"/>
          <w:highlight w:val="none"/>
          <w:lang w:eastAsia="zh-CN"/>
        </w:rPr>
        <w:t>六、</w:t>
      </w:r>
      <w:r>
        <w:rPr>
          <w:rFonts w:ascii="Times New Roman" w:hAnsi="Times New Roman" w:eastAsia="黑体" w:cs="Times New Roman"/>
          <w:color w:val="auto"/>
          <w:sz w:val="32"/>
          <w:szCs w:val="32"/>
          <w:highlight w:val="none"/>
        </w:rPr>
        <w:t>部门整体支出绩效情况</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2022年集团本部财务信息化系统和资金系统的维护升级，极大的提高了财务系统的运行效率。所属两校以集团化办学为主线，深化了两校的教育教学改革创新，提高了精细化管理水平，取得了良好的办学成果。具体如下：</w:t>
      </w:r>
    </w:p>
    <w:p>
      <w:pPr>
        <w:keepNext w:val="0"/>
        <w:keepLines w:val="0"/>
        <w:pageBreakBefore w:val="0"/>
        <w:widowControl/>
        <w:numPr>
          <w:ilvl w:val="0"/>
          <w:numId w:val="0"/>
        </w:numPr>
        <w:kinsoku/>
        <w:wordWrap/>
        <w:overflowPunct/>
        <w:topLinePunct w:val="0"/>
        <w:autoSpaceDE/>
        <w:autoSpaceDN/>
        <w:bidi w:val="0"/>
        <w:spacing w:line="560" w:lineRule="exact"/>
        <w:ind w:firstLine="643" w:firstLineChars="200"/>
        <w:jc w:val="both"/>
        <w:textAlignment w:val="auto"/>
        <w:rPr>
          <w:rFonts w:hint="eastAsia" w:ascii="仿宋_GB2312" w:hAnsi="华文仿宋" w:eastAsia="仿宋_GB2312" w:cs="宋体"/>
          <w:b/>
          <w:bCs/>
          <w:color w:val="auto"/>
          <w:kern w:val="2"/>
          <w:sz w:val="32"/>
          <w:szCs w:val="32"/>
          <w:highlight w:val="none"/>
          <w:lang w:val="en-US" w:eastAsia="zh-CN" w:bidi="ar-SA"/>
        </w:rPr>
      </w:pPr>
      <w:r>
        <w:rPr>
          <w:rFonts w:hint="eastAsia" w:ascii="仿宋_GB2312" w:hAnsi="华文仿宋" w:eastAsia="仿宋_GB2312" w:cs="宋体"/>
          <w:b/>
          <w:bCs/>
          <w:color w:val="auto"/>
          <w:kern w:val="2"/>
          <w:sz w:val="32"/>
          <w:szCs w:val="32"/>
          <w:highlight w:val="none"/>
          <w:lang w:val="en-US" w:eastAsia="zh-CN" w:bidi="ar-SA"/>
        </w:rPr>
        <w:t>湖南城建职业技术学院</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2022年坚持以习近平新时代中国特色社会主义思想为指导，贯彻落实党的二十大精神和习近平总书记关于职业教育的重要指示批示精神，准确把握职业教育高质量发展新机遇，以“闯”的精神、“创”的劲头、“干”的作风，踔厉奋发、笃行不怠，全年目标任务圆满完成，“十四五”事业发展迈出新步伐。</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hint="eastAsia" w:ascii="楷体_GB2312" w:hAnsi="Times New Roman" w:eastAsia="楷体_GB2312" w:cs="Times New Roman"/>
          <w:b/>
          <w:color w:val="auto"/>
          <w:sz w:val="32"/>
          <w:szCs w:val="32"/>
          <w:highlight w:val="none"/>
          <w:lang w:val="en-US" w:eastAsia="zh-CN"/>
        </w:rPr>
      </w:pPr>
      <w:r>
        <w:rPr>
          <w:rFonts w:hint="eastAsia" w:ascii="楷体_GB2312" w:hAnsi="Times New Roman" w:eastAsia="楷体_GB2312" w:cs="Times New Roman"/>
          <w:b/>
          <w:color w:val="auto"/>
          <w:sz w:val="32"/>
          <w:szCs w:val="32"/>
          <w:highlight w:val="none"/>
          <w:lang w:val="en-US" w:eastAsia="zh-CN"/>
        </w:rPr>
        <w:t>（一）加强党的领导，把稳办学方向</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1.深入学习宣传贯彻党的二十大精神。制定《学习宣传贯彻党的二十大精神实施方案》，以“四个课堂”为抓手，开展“学习贯彻党的二十大精神 踔厉奋发新征程”“职教生心中的二十大”系列活动等60余场（次），掀起学习宣传贯彻热潮。师生参加湖南省“学习贯彻党的二十大精神”主题征文、演讲比赛等获奖多项，其中一等奖2项。</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抓实思想理论武装。开展党委理论学习中心组学习13次，落实“第一议题”制度，学习习近平新时代中国特色社会主义思想、习近平总书记重要讲话精神等60余篇（次）。强化二级党组织理论学习中心组巡听督导，组织党员线上线下系统理论学习和各层级干部轮训。</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3.夯实基层组织建设。开展“党建+”品牌活动20余次，完成全国高校党建工作样板支部验收，获评全省高校党组织“对标争先”建设计划项目5项。发展党员209人，转正310人，支部“五化”建设合格率100%。</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4.抓好意识形态工作。修订《意识形态工作责任制实施细则》，进一步压紧压实了工作责任。召开专项会议2次，党委会专题研究意识形态2次。开展教材专项排查，强化对教材、讲座、论坛等管理，全年无意识形态安全责任事故。</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5.强化党风廉政建设。落实《党委、党委书记、党委班子成员落实全面从严治党主体责任清单》，出台《关于推进“清廉建院”建设的实施方案》《“服务质量提升年”实施方案》，完成第一轮第六批内部巡察，实现本届党委任期内巡察全覆盖。</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6.加大舆论宣传力度。加强校园媒体平台建设，打造了传播矩阵，凝聚了宣传合力，新闻作品获省级一等奖2项。加大对外宣传工作力度，在人民网、中国教育报等媒体发稿160余篇，提升了学院知名度和美誉度。</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7加强和巩固统一战线。强化思想引领，支持党外人士通过各种途径参政议政、建言献策，组织开展政治交接主题教育暨助力乡村振兴专题调研，凝聚团结奋斗力量。开展无党派人士政治面貌认定工作，加强党外知识分子队伍建设。</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hint="eastAsia" w:ascii="楷体_GB2312" w:hAnsi="Times New Roman" w:eastAsia="楷体_GB2312" w:cs="Times New Roman"/>
          <w:b/>
          <w:color w:val="auto"/>
          <w:sz w:val="32"/>
          <w:szCs w:val="32"/>
          <w:highlight w:val="none"/>
          <w:lang w:val="en-US" w:eastAsia="zh-CN"/>
        </w:rPr>
      </w:pPr>
      <w:r>
        <w:rPr>
          <w:rFonts w:hint="eastAsia" w:ascii="楷体_GB2312" w:hAnsi="Times New Roman" w:eastAsia="楷体_GB2312" w:cs="Times New Roman"/>
          <w:b/>
          <w:color w:val="auto"/>
          <w:sz w:val="32"/>
          <w:szCs w:val="32"/>
          <w:highlight w:val="none"/>
          <w:lang w:val="en-US" w:eastAsia="zh-CN"/>
        </w:rPr>
        <w:t>（二）勇攀职教高峰，持续重点突破</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1.重点项目实现新突破。建筑设计、建筑工程技术、工程造价3个专业群立项湖南省楚怡高水平专业群（A档）建设计划，“智能建造”产教融合实训基地等2项入选湖南省职业教育“楚怡”行动计划。《村庄人居环境综合整治》入选全国首届涉农职业院校服务乡村振兴“名课名师”资助项目。湖湘特色古村落数字博物馆立项为湖南省智慧教育平台“大国长技”试点项目。</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教育教学实现新突破。主持或参与14个国家高等职业教育土木建筑大类专业简介、专业教学标准建设和实训条件建设标准研制。获评湖南省职业教育教学成果奖一等奖1项、二等奖2项、三等奖1项。参评的6个专业获评湖南省高职高专院校专业人才培养方案和专业技能考核标准与题库优秀等级评价、学生毕业设计抽查“优秀”等级。成功开设“湖南建功班”“湘安班”等校企合作订单班。</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3.师资建设实现新突破。加大高层次人才培养，1人评聘专业技术二级岗位，支持4名教师攻读博士研究生，评定高级职称15人，正高级职称教师总数达到25人。1人荣获湖南省五一劳动奖章，推荐湖南省高校青年骨干教师3人。认定院级“双师素质”教师8名、骨干教师18名。</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4.师生竞赛实现新突破。师生省级以上获奖52项，其中国家级一等奖4项、省级一等奖12项。首获全国职业院校技能大赛教学能力比赛一等奖，蝉联全国职业院校技能大赛“建筑工程识图”赛项一等奖，荣获“楚怡杯”湖南省职业院校教师教学能力竞赛、全省行业职业技能竞赛一等奖6项。</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hint="eastAsia" w:ascii="楷体_GB2312" w:hAnsi="Times New Roman" w:eastAsia="楷体_GB2312" w:cs="Times New Roman"/>
          <w:b/>
          <w:color w:val="auto"/>
          <w:sz w:val="32"/>
          <w:szCs w:val="32"/>
          <w:highlight w:val="none"/>
          <w:lang w:val="en-US" w:eastAsia="zh-CN"/>
        </w:rPr>
      </w:pPr>
      <w:r>
        <w:rPr>
          <w:rFonts w:hint="eastAsia" w:ascii="楷体_GB2312" w:hAnsi="Times New Roman" w:eastAsia="楷体_GB2312" w:cs="Times New Roman"/>
          <w:b/>
          <w:color w:val="auto"/>
          <w:sz w:val="32"/>
          <w:szCs w:val="32"/>
          <w:highlight w:val="none"/>
          <w:lang w:val="en-US" w:eastAsia="zh-CN"/>
        </w:rPr>
        <w:t>（三）服务学生发展，提升育人质量</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1.招生就业规模持续向好。新生到校4591人，到校率96.65%，创历史新高。书记、院长带队访企拓岗促就业，走访优质企业101家，新增就业岗位近3000个。开展线上就业指导和网络招聘会25次，2022届毕业生年终就业率93.2%，247名建档立卡困难毕业生100%满意就业，513人考取专升本。</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三全育人”改革更加深入。立项湖南省高校思政课“金课”建设课程1门、思政工程项目6项。入选湖南省“楚怡”课程思政示范性课程2门、示范性研究中心1个。持续加强心理健康教育，获评湖南省大学生心理健康教育研究与实践先进集体。荣获湖南省第九届高校辅导员素质能力大赛“优秀组织奖”和个人奖二等奖、湖南省高校辅导员年度人物提名等多项荣誉。</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3.学生管理服务优化升级。深化“一站式”学生社区建设，优化高层学生公寓“一站式”多功能服务，推进大学生事务中心和阳光服务平台建设。关心关爱少数民族学生成长，千方百计帮助解决急难愁盼问题。优化易班网络育人平台建设，获评湖南省高校易班建设先进单位。依托学院义培俱乐部继续开展“三下乡”社会实践活动，获评湘潭市共青团工作先进单位。</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hint="eastAsia" w:ascii="楷体_GB2312" w:hAnsi="Times New Roman" w:eastAsia="楷体_GB2312" w:cs="Times New Roman"/>
          <w:b/>
          <w:color w:val="auto"/>
          <w:sz w:val="32"/>
          <w:szCs w:val="32"/>
          <w:highlight w:val="none"/>
          <w:lang w:val="en-US" w:eastAsia="zh-CN"/>
        </w:rPr>
      </w:pPr>
      <w:r>
        <w:rPr>
          <w:rFonts w:hint="eastAsia" w:ascii="楷体_GB2312" w:hAnsi="Times New Roman" w:eastAsia="楷体_GB2312" w:cs="Times New Roman"/>
          <w:b/>
          <w:color w:val="auto"/>
          <w:sz w:val="32"/>
          <w:szCs w:val="32"/>
          <w:highlight w:val="none"/>
          <w:lang w:val="en-US" w:eastAsia="zh-CN"/>
        </w:rPr>
        <w:t>（四）优化治理体系，增强治理效能</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1.质量诊改成效卓著。开展“楚怡课程建设质量年”活动，评选表彰10名“课堂教学能手”，2个案例入选湖南省2022年度高等职业教育质量年度报告。持续实施内部质量诊改，形成报告2万多个。成立系部督导组和教学督导信息委员会，听课评课340余次。</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内控管理科学有序。全面落实绩效考核机制，有效实现教职工月度考核常态化、年度考核信息化。配合湖南省审计厅完成债务专项审计，完成4名领导干部离任审计。统筹预算管理，实行绩效申报、绩效自评，建立健全全过程预算绩效管理机制，全年财务运行良好，债务结构合理、可控。</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3.疫情防控有序到位。召开疫情防控专题会议10次，防疫演习4次，开展宣传教育65次，建成疫情防控人行通道门禁系统、学生健康监控平台和学生社区人脸识别系统，组织核酸检测33.39万人次。全年无涉疫责任事故发生。</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hint="eastAsia" w:ascii="楷体_GB2312" w:hAnsi="Times New Roman" w:eastAsia="楷体_GB2312" w:cs="Times New Roman"/>
          <w:b/>
          <w:color w:val="auto"/>
          <w:sz w:val="32"/>
          <w:szCs w:val="32"/>
          <w:highlight w:val="none"/>
          <w:lang w:val="en-US" w:eastAsia="zh-CN"/>
        </w:rPr>
      </w:pPr>
      <w:r>
        <w:rPr>
          <w:rFonts w:hint="eastAsia" w:ascii="楷体_GB2312" w:hAnsi="Times New Roman" w:eastAsia="楷体_GB2312" w:cs="Times New Roman"/>
          <w:b/>
          <w:color w:val="auto"/>
          <w:sz w:val="32"/>
          <w:szCs w:val="32"/>
          <w:highlight w:val="none"/>
          <w:lang w:val="en-US" w:eastAsia="zh-CN"/>
        </w:rPr>
        <w:t>（五）创新服务品牌，加快增值赋能</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1.科研工作持续创新。全年立项38项市厅级及以上课题，其中教育部项目3项、省级项目17项，在“中国高职院校与社会服务竞争力”评价中，我院“科研与社会服务竞争力”排名全国第199位、湖南第14位，“课题竞争力”排名全国第67位、湖南第4位，稳居全省高职院校前列。</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社会服务开拓创新。大力推动实施乡村振兴“1345”工程[]，面向稠清村消费帮扶40余万元。组织师生为湘潭市阳塘村等4个村庄和新邵县413个村庄开展规划设计服务，获评首届湖南省乡村振兴青年先锋集体、湖南省村庄规划综合服务工作先进单位，1人获评先进个人。完成规划建筑设计有限公司体制改革，全年创收14.58万元。</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3.继续教育改革创新。持续推进湖南省对外劳务特色培训基地建设，完成建设领域施工现场专业人员等16个项目培训2万余人次，开展3期省住建厅“乡村建设工匠师资班”培训360人。组织系部开展自考教育，积极推进学历继续教育整改，全年招收学历继续教育学生965人，继续教育办学收入1390余万元。</w:t>
      </w:r>
    </w:p>
    <w:p>
      <w:pPr>
        <w:keepNext w:val="0"/>
        <w:keepLines w:val="0"/>
        <w:pageBreakBefore w:val="0"/>
        <w:widowControl/>
        <w:kinsoku/>
        <w:wordWrap/>
        <w:overflowPunct/>
        <w:topLinePunct w:val="0"/>
        <w:autoSpaceDE/>
        <w:autoSpaceDN/>
        <w:bidi w:val="0"/>
        <w:spacing w:line="560" w:lineRule="exact"/>
        <w:ind w:firstLine="643" w:firstLineChars="200"/>
        <w:textAlignment w:val="auto"/>
        <w:rPr>
          <w:rFonts w:hint="eastAsia" w:ascii="楷体_GB2312" w:hAnsi="Times New Roman" w:eastAsia="楷体_GB2312" w:cs="Times New Roman"/>
          <w:b/>
          <w:color w:val="auto"/>
          <w:sz w:val="32"/>
          <w:szCs w:val="32"/>
          <w:highlight w:val="none"/>
          <w:lang w:val="en-US" w:eastAsia="zh-CN"/>
        </w:rPr>
      </w:pPr>
      <w:r>
        <w:rPr>
          <w:rFonts w:hint="eastAsia" w:ascii="楷体_GB2312" w:hAnsi="Times New Roman" w:eastAsia="楷体_GB2312" w:cs="Times New Roman"/>
          <w:b/>
          <w:color w:val="auto"/>
          <w:sz w:val="32"/>
          <w:szCs w:val="32"/>
          <w:highlight w:val="none"/>
          <w:lang w:val="en-US" w:eastAsia="zh-CN"/>
        </w:rPr>
        <w:t>（六）兜牢民生保障，优化校园环境</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1.师生生活保障有力。积极争取上级政策调整工资标准，在职教职工人均年收入189157.37元（含公积金、社保及福利），较上年度增加21813.32元，增长13%。自筹资金发放离退休人员除养老金以外的一次性奖金及节假日慰问费353.37万元，人均发放1.47万元。走访慰问职工200余人次。做好“奖助贷补”工作，资助学生11421人次，累计发放资助1604.545万元。开展“万名教师进万家”大家访活动，走访困难学生家庭20余户。引进社会优质餐饮企业，提升餐饮服务水平，改善师生就餐环境。</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美丽校园稳步推进。完成高新校区东南角15.58亩土地不动产权证办理，争取湖南月意生态工程集团有限公司捐资300余万元建设北山公园，完成高新运动场翻新改造。立项湖南省“绿色校园”，获评湖南省“节水型高校”。</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3.平安校园抓实抓细。开展“校园交通安全整顿月”等安全教育活动10余次、主题班会3200余场。开展校园安全大检查“百日攻坚”行动，完成学生宿舍、教工宿舍等环境综合整治，拆除老旧危房1栋，处理安全隐患13项。</w:t>
      </w:r>
    </w:p>
    <w:p>
      <w:pPr>
        <w:keepNext w:val="0"/>
        <w:keepLines w:val="0"/>
        <w:pageBreakBefore w:val="0"/>
        <w:widowControl/>
        <w:numPr>
          <w:ilvl w:val="0"/>
          <w:numId w:val="0"/>
        </w:numPr>
        <w:kinsoku/>
        <w:wordWrap/>
        <w:overflowPunct/>
        <w:topLinePunct w:val="0"/>
        <w:autoSpaceDE/>
        <w:autoSpaceDN/>
        <w:bidi w:val="0"/>
        <w:spacing w:line="560" w:lineRule="exact"/>
        <w:ind w:firstLine="643" w:firstLineChars="200"/>
        <w:jc w:val="left"/>
        <w:textAlignment w:val="auto"/>
        <w:rPr>
          <w:rFonts w:hint="eastAsia" w:ascii="仿宋" w:hAnsi="仿宋" w:eastAsia="仿宋" w:cs="仿宋"/>
          <w:b/>
          <w:bCs w:val="0"/>
          <w:color w:val="auto"/>
          <w:kern w:val="2"/>
          <w:sz w:val="32"/>
          <w:szCs w:val="32"/>
          <w:highlight w:val="none"/>
          <w:lang w:val="en-US" w:eastAsia="zh-CN" w:bidi="ar-SA"/>
        </w:rPr>
      </w:pPr>
    </w:p>
    <w:p>
      <w:pPr>
        <w:keepNext w:val="0"/>
        <w:keepLines w:val="0"/>
        <w:pageBreakBefore w:val="0"/>
        <w:widowControl/>
        <w:numPr>
          <w:ilvl w:val="0"/>
          <w:numId w:val="0"/>
        </w:numPr>
        <w:kinsoku/>
        <w:wordWrap/>
        <w:overflowPunct/>
        <w:topLinePunct w:val="0"/>
        <w:autoSpaceDE/>
        <w:autoSpaceDN/>
        <w:bidi w:val="0"/>
        <w:spacing w:line="560" w:lineRule="exact"/>
        <w:ind w:firstLine="643" w:firstLineChars="200"/>
        <w:jc w:val="left"/>
        <w:textAlignment w:val="auto"/>
        <w:rPr>
          <w:rFonts w:hint="default" w:ascii="仿宋" w:hAnsi="仿宋" w:eastAsia="仿宋" w:cs="仿宋"/>
          <w:b/>
          <w:bCs w:val="0"/>
          <w:color w:val="auto"/>
          <w:kern w:val="2"/>
          <w:sz w:val="32"/>
          <w:szCs w:val="32"/>
          <w:highlight w:val="none"/>
          <w:lang w:val="en-US" w:eastAsia="zh-CN" w:bidi="ar-SA"/>
        </w:rPr>
      </w:pPr>
      <w:r>
        <w:rPr>
          <w:rFonts w:hint="eastAsia" w:ascii="仿宋" w:hAnsi="仿宋" w:eastAsia="仿宋" w:cs="仿宋"/>
          <w:b/>
          <w:bCs w:val="0"/>
          <w:color w:val="auto"/>
          <w:kern w:val="2"/>
          <w:sz w:val="32"/>
          <w:szCs w:val="32"/>
          <w:highlight w:val="none"/>
          <w:lang w:val="en-US" w:eastAsia="zh-CN" w:bidi="ar-SA"/>
        </w:rPr>
        <w:t>湖南建筑高级技工学校</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highlight w:val="none"/>
        </w:rPr>
      </w:pPr>
      <w:r>
        <w:rPr>
          <w:rFonts w:hint="eastAsia" w:ascii="仿宋" w:hAnsi="仿宋" w:eastAsia="仿宋" w:cs="仿宋"/>
          <w:b w:val="0"/>
          <w:bCs w:val="0"/>
          <w:color w:val="auto"/>
          <w:sz w:val="32"/>
          <w:highlight w:val="none"/>
        </w:rPr>
        <w:t>学校以“五个一”建设为着力点，坚持政治建校、品牌立校、特色强校、人才兴校，坚定不移办好新时代职业教育，积极推进技师学院筹建和“双优”中职学校建设，全面推进落实学校“十四五”发展规划，统筹推进新冠肺炎疫情防控和事业改革发展，创新工作机制，加强内涵建设，着力提高办学水平和人才培养质量，学校迈入高质量发展新阶段，各项事业取得新成就。</w:t>
      </w:r>
    </w:p>
    <w:p>
      <w:pPr>
        <w:pStyle w:val="24"/>
        <w:keepNext w:val="0"/>
        <w:keepLines w:val="0"/>
        <w:pageBreakBefore w:val="0"/>
        <w:widowControl/>
        <w:numPr>
          <w:ilvl w:val="0"/>
          <w:numId w:val="1"/>
        </w:numPr>
        <w:kinsoku/>
        <w:wordWrap/>
        <w:overflowPunct/>
        <w:topLinePunct w:val="0"/>
        <w:autoSpaceDE/>
        <w:autoSpaceDN/>
        <w:bidi w:val="0"/>
        <w:spacing w:line="560" w:lineRule="exact"/>
        <w:ind w:firstLine="643" w:firstLineChars="200"/>
        <w:jc w:val="left"/>
        <w:textAlignment w:val="auto"/>
        <w:rPr>
          <w:rFonts w:hint="eastAsia" w:ascii="楷体_GB2312" w:hAnsi="Times New Roman" w:eastAsia="楷体_GB2312" w:cs="Times New Roman"/>
          <w:b/>
          <w:color w:val="auto"/>
          <w:kern w:val="2"/>
          <w:sz w:val="32"/>
          <w:szCs w:val="32"/>
          <w:highlight w:val="none"/>
          <w:lang w:val="en-US" w:eastAsia="zh-CN" w:bidi="ar-SA"/>
        </w:rPr>
      </w:pPr>
      <w:r>
        <w:rPr>
          <w:rFonts w:hint="eastAsia" w:ascii="楷体_GB2312" w:hAnsi="Times New Roman" w:eastAsia="楷体_GB2312" w:cs="Times New Roman"/>
          <w:b/>
          <w:color w:val="auto"/>
          <w:kern w:val="2"/>
          <w:sz w:val="32"/>
          <w:szCs w:val="32"/>
          <w:highlight w:val="none"/>
          <w:lang w:val="en-US" w:eastAsia="zh-CN" w:bidi="ar-SA"/>
        </w:rPr>
        <w:t>办学基础方面</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highlight w:val="none"/>
        </w:rPr>
      </w:pPr>
      <w:r>
        <w:rPr>
          <w:rFonts w:hint="eastAsia" w:ascii="仿宋" w:hAnsi="仿宋" w:eastAsia="仿宋" w:cs="仿宋"/>
          <w:b w:val="0"/>
          <w:bCs w:val="0"/>
          <w:color w:val="auto"/>
          <w:sz w:val="32"/>
          <w:highlight w:val="none"/>
        </w:rPr>
        <w:t>在校生规模逐年扩大。学校现有在校生3794人，开设了5个技工专业和5个中职专业，涵盖中技、高技、预备技师和中职四个学历层次。今年秋季学校招收新生1173人，全日技工新生661人、中职新生476人，非全日制预备技师新生36人，生源质量较往年有较大程度的提高。办学水平获得认可。今年毕业生587人，其中488人参加单招考试、117人参加普通高考，最终高职院校录取391人，升学率达到80.1％。学生在市级以上各类竞赛中获奖57人次，教师获国家级奖项和荣誉2项、省级奖项和荣誉13项、市级奖项和荣誉31项，学校获得省市两级技工院校办学水平评估“优秀”等次和中职办学达标建设A类等级。</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3" w:firstLineChars="200"/>
        <w:jc w:val="left"/>
        <w:textAlignment w:val="auto"/>
        <w:rPr>
          <w:rFonts w:hint="eastAsia" w:ascii="楷体_GB2312" w:hAnsi="Times New Roman" w:eastAsia="楷体_GB2312" w:cs="Times New Roman"/>
          <w:b/>
          <w:color w:val="auto"/>
          <w:kern w:val="2"/>
          <w:sz w:val="32"/>
          <w:szCs w:val="32"/>
          <w:highlight w:val="none"/>
          <w:lang w:val="en-US" w:eastAsia="zh-CN" w:bidi="ar-SA"/>
        </w:rPr>
      </w:pPr>
      <w:r>
        <w:rPr>
          <w:rFonts w:hint="eastAsia" w:ascii="楷体_GB2312" w:hAnsi="Times New Roman" w:eastAsia="楷体_GB2312" w:cs="Times New Roman"/>
          <w:b/>
          <w:color w:val="auto"/>
          <w:kern w:val="2"/>
          <w:sz w:val="32"/>
          <w:szCs w:val="32"/>
          <w:highlight w:val="none"/>
          <w:lang w:val="en-US" w:eastAsia="zh-CN" w:bidi="ar-SA"/>
        </w:rPr>
        <w:t>（二）专业建设方面</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highlight w:val="none"/>
        </w:rPr>
      </w:pPr>
      <w:r>
        <w:rPr>
          <w:rFonts w:hint="eastAsia" w:ascii="仿宋" w:hAnsi="仿宋" w:eastAsia="仿宋" w:cs="仿宋"/>
          <w:b w:val="0"/>
          <w:bCs w:val="0"/>
          <w:color w:val="auto"/>
          <w:sz w:val="32"/>
          <w:highlight w:val="none"/>
        </w:rPr>
        <w:t>对照技工教育办学和中职达标办学要求，实施职业教育“三教”改革攻坚，完善专业课程体系，深入推进围绕装配式开展建筑施工（含古建筑、工程管理）专业群建设和围绕数字化信息化开展测绘测量（含无人机测量、BIM技术、工程造价）专业群建设。在原有省级精品专业（建筑施工）基础上，2022年建筑设备安装专业被评为湖南省技工教育优质专业，并以该专业为牵头专业申报了国家级高技能人才培训基地；及时调整专业设置和人才培养方案，新增了电梯维修技术、无人机测量、装配式建筑等专业或专业方向。</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3" w:firstLineChars="200"/>
        <w:jc w:val="left"/>
        <w:textAlignment w:val="auto"/>
        <w:rPr>
          <w:rFonts w:hint="eastAsia" w:ascii="楷体_GB2312" w:hAnsi="Times New Roman" w:eastAsia="楷体_GB2312" w:cs="Times New Roman"/>
          <w:b/>
          <w:color w:val="auto"/>
          <w:kern w:val="2"/>
          <w:sz w:val="32"/>
          <w:szCs w:val="32"/>
          <w:highlight w:val="none"/>
          <w:lang w:val="en-US" w:eastAsia="zh-CN" w:bidi="ar-SA"/>
        </w:rPr>
      </w:pPr>
      <w:r>
        <w:rPr>
          <w:rFonts w:hint="eastAsia" w:ascii="楷体_GB2312" w:hAnsi="Times New Roman" w:eastAsia="楷体_GB2312" w:cs="Times New Roman"/>
          <w:b/>
          <w:color w:val="auto"/>
          <w:kern w:val="2"/>
          <w:sz w:val="32"/>
          <w:szCs w:val="32"/>
          <w:highlight w:val="none"/>
          <w:lang w:val="en-US" w:eastAsia="zh-CN" w:bidi="ar-SA"/>
        </w:rPr>
        <w:t>（三）人才培训质量方面</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highlight w:val="none"/>
        </w:rPr>
      </w:pPr>
      <w:r>
        <w:rPr>
          <w:rFonts w:hint="eastAsia" w:ascii="仿宋" w:hAnsi="仿宋" w:eastAsia="仿宋" w:cs="仿宋"/>
          <w:b w:val="0"/>
          <w:bCs w:val="0"/>
          <w:color w:val="auto"/>
          <w:sz w:val="32"/>
          <w:highlight w:val="none"/>
        </w:rPr>
        <w:t>今年学校在教育教学、教研教改等方面取得了明显成效。建筑测量专业、建筑装饰专业、工程造价专业入选人社部72个专业国家技能人才培养工学一体化课程标准和课程设置方案开发院校单位，分别牵头或参与制定《工学一体化课程标准和课程设置方案》。1名教师获第七届全国黄炎培职业教育杰出教师奖，1名教师获评国家级师资培训讲师。1名教师获2022年湖南“国企工匠”称号，1名教师荣获湖南省足协“优秀裁判员”称号，2名教师获“长沙市青年岗位能手”称号，2名教师获长沙市技术能手称号，1名教师获“长沙市巾帼建功标兵”称号，4名教师获长沙市技工教育“青年骨干教师”称号，5名教师荣获“2022年长沙市技工院校优秀教师”称号，2名教师荣获“2022年长沙市技工院校优秀班主任”称号。 8名教师在长沙市中等职业学校公共基础课教师教学设计及说课比赛中荣获2个一等奖、4年二等奖、2个三等奖，2名老师参加湖南省第一届职业能力比赛获得优胜奖。1名教师入围全国技工院校教师职业能力大赛，3名教师入围全国技工院校通用职业素质课程优秀教师选拔赛。教师在2022年省级技工教育和职业教育优秀论文评选中获得4个一等奖、3个二等奖、3个三等奖。教师指导学生参加市级以上技能竞赛获奖29项，立项省级课题2个，出版教材2 本。</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3" w:firstLineChars="200"/>
        <w:jc w:val="left"/>
        <w:textAlignment w:val="auto"/>
        <w:rPr>
          <w:rFonts w:hint="eastAsia" w:ascii="楷体_GB2312" w:hAnsi="Times New Roman" w:eastAsia="楷体_GB2312" w:cs="Times New Roman"/>
          <w:b/>
          <w:color w:val="auto"/>
          <w:kern w:val="2"/>
          <w:sz w:val="32"/>
          <w:szCs w:val="32"/>
          <w:highlight w:val="none"/>
          <w:lang w:val="en-US" w:eastAsia="zh-CN" w:bidi="ar-SA"/>
        </w:rPr>
      </w:pPr>
      <w:r>
        <w:rPr>
          <w:rFonts w:hint="eastAsia" w:ascii="楷体_GB2312" w:hAnsi="Times New Roman" w:eastAsia="楷体_GB2312" w:cs="Times New Roman"/>
          <w:b/>
          <w:color w:val="auto"/>
          <w:kern w:val="2"/>
          <w:sz w:val="32"/>
          <w:szCs w:val="32"/>
          <w:highlight w:val="none"/>
          <w:lang w:val="en-US" w:eastAsia="zh-CN" w:bidi="ar-SA"/>
        </w:rPr>
        <w:t>（四）“岗课赛证”成果方面</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highlight w:val="none"/>
        </w:rPr>
      </w:pPr>
      <w:r>
        <w:rPr>
          <w:rFonts w:hint="eastAsia" w:ascii="仿宋" w:hAnsi="仿宋" w:eastAsia="仿宋" w:cs="仿宋"/>
          <w:b w:val="0"/>
          <w:bCs w:val="0"/>
          <w:color w:val="auto"/>
          <w:sz w:val="32"/>
          <w:highlight w:val="none"/>
        </w:rPr>
        <w:t>大力实施“岗课赛证”综合融通育人模式，学生在各级各类技能竞赛中取得丰硕成果。在市级以上竞赛中，装配式项目技能竞赛团队荣获一等奖5个、二等奖3个、三等奖6个，公共基础课项目技能竞赛团队荣获二等奖2个、三等奖2个、团体三等奖3个，建筑CAD项目技能竞赛团队荣获二等奖2个、三等奖2个，工程测量项目技能竞赛团队荣获三等奖4个，BIM项目技能竞赛团队参与的校企合作项目荣获全国公共施工类铜奖1个。学生创业创新团队获得第十届“挑战杯”湖南大学生创业竞赛职业组铜奖，获得第五届“中国创翼”创业创新大赛长沙市天心区选拔赛三合一专项赛（青年创意组）创翼奖，学校荣获长沙市天心区创业创新选拔赛“特别贡献奖”。学生舒煌荣获湖南建工集团有限公司2022年（砌筑工）职业技能竞赛暨湖南省住建行业职业技能竞赛选拔赛第一名，将代表湖南建投资集团参加2022年湖南省行业职业技能竞赛 ·全省住建行业(砌筑工)职业技能竞赛。</w:t>
      </w:r>
    </w:p>
    <w:p>
      <w:pPr>
        <w:pStyle w:val="24"/>
        <w:keepNext w:val="0"/>
        <w:keepLines w:val="0"/>
        <w:pageBreakBefore w:val="0"/>
        <w:widowControl/>
        <w:numPr>
          <w:ilvl w:val="0"/>
          <w:numId w:val="0"/>
        </w:numPr>
        <w:kinsoku/>
        <w:wordWrap/>
        <w:overflowPunct/>
        <w:topLinePunct w:val="0"/>
        <w:autoSpaceDE/>
        <w:autoSpaceDN/>
        <w:bidi w:val="0"/>
        <w:spacing w:line="560" w:lineRule="exact"/>
        <w:ind w:leftChars="200"/>
        <w:jc w:val="left"/>
        <w:textAlignment w:val="auto"/>
        <w:rPr>
          <w:rFonts w:hint="eastAsia" w:ascii="楷体_GB2312" w:hAnsi="Times New Roman" w:eastAsia="楷体_GB2312" w:cs="Times New Roman"/>
          <w:b/>
          <w:color w:val="auto"/>
          <w:kern w:val="2"/>
          <w:sz w:val="32"/>
          <w:szCs w:val="32"/>
          <w:highlight w:val="none"/>
          <w:lang w:val="en-US" w:eastAsia="zh-CN" w:bidi="ar-SA"/>
        </w:rPr>
      </w:pPr>
      <w:r>
        <w:rPr>
          <w:rFonts w:hint="eastAsia" w:ascii="楷体_GB2312" w:hAnsi="Times New Roman" w:eastAsia="楷体_GB2312" w:cs="Times New Roman"/>
          <w:b/>
          <w:color w:val="auto"/>
          <w:kern w:val="2"/>
          <w:sz w:val="32"/>
          <w:szCs w:val="32"/>
          <w:highlight w:val="none"/>
          <w:lang w:val="en-US" w:eastAsia="zh-CN" w:bidi="ar-SA"/>
        </w:rPr>
        <w:t>（五）实习实训条件建设方面</w:t>
      </w:r>
    </w:p>
    <w:p>
      <w:pPr>
        <w:pStyle w:val="24"/>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 w:hAnsi="仿宋" w:eastAsia="仿宋" w:cs="仿宋"/>
          <w:b w:val="0"/>
          <w:bCs w:val="0"/>
          <w:color w:val="auto"/>
          <w:sz w:val="32"/>
          <w:highlight w:val="none"/>
        </w:rPr>
      </w:pPr>
      <w:r>
        <w:rPr>
          <w:rFonts w:hint="eastAsia" w:ascii="仿宋" w:hAnsi="仿宋" w:eastAsia="仿宋" w:cs="仿宋"/>
          <w:b w:val="0"/>
          <w:bCs w:val="0"/>
          <w:color w:val="auto"/>
          <w:sz w:val="32"/>
          <w:highlight w:val="none"/>
        </w:rPr>
        <w:t>学校装配式建筑技能实训中心设备购置项目向国家发改委申报了重点领域设备更新改造贷款备选项目专项贷款4200万，已通过立项；章瑞波砌筑省级技能大师工作室获批成立，学校省级大师工作室已增加到2个，并申报了长沙市易衡测量技能大师工作室，目前已完成专家现场评审工作。“1+X”装配式建筑制作与安装职业技能等级证书试点申报通过，建筑工程施工专业获长沙市楚怡高水平专业（群）建设单位立项。完成了国家级高技能人才培训基地、沈亚仁焊接国家级技能大师工作室、全国优质技工院校、湖南省优质技工院校、省教育厅“大国长技”试点单位、长沙市中等职业教育楚怡高水平学校建设、长沙市职业院校建筑施工和电梯专业校企合作实习实训基地等项目申报。目前长沙市示范性高级技工学校建设项目进入现场评审阶段。与湖南建投集团六公司合作建立的长沙市校企合作实训基地（装配式建筑）获长沙市教育局20万建设资金支持，校企双方依据产业发展及人才需要，按照职业岗位群—典型工作任务—岗位行动领域—专业学习领域的课程设置步骤，构建“一条主线、两个核心、四个平台、五个融合”课程体系，共建特色鲜明的装配式建筑专业群，联合培养装配式技术技能人才。与日立电梯(中国)有限公司湖南分公司签署校企合作协议，“校企共建（日立电梯）实习实训基地”在校内成立。校企双方在电梯专业人才培养方案、学生职业发展计划、“双师型”师资培养，校企合作实训基地建设等方面达成深度合作，12名应届毕业生进入该企业开展岗位实习。此外，学校还与湖南省电梯公司、湖南天士地电梯公司、中国船舶工业集团有限公司等企业签订了校企合作协议。</w:t>
      </w:r>
    </w:p>
    <w:p>
      <w:pPr>
        <w:pStyle w:val="24"/>
        <w:keepNext w:val="0"/>
        <w:keepLines w:val="0"/>
        <w:pageBreakBefore w:val="0"/>
        <w:widowControl/>
        <w:numPr>
          <w:ilvl w:val="0"/>
          <w:numId w:val="2"/>
        </w:numPr>
        <w:kinsoku/>
        <w:wordWrap/>
        <w:overflowPunct/>
        <w:topLinePunct w:val="0"/>
        <w:autoSpaceDE/>
        <w:autoSpaceDN/>
        <w:bidi w:val="0"/>
        <w:spacing w:line="560" w:lineRule="exact"/>
        <w:ind w:firstLineChars="0"/>
        <w:jc w:val="left"/>
        <w:textAlignment w:val="auto"/>
        <w:rPr>
          <w:rFonts w:ascii="Times New Roman" w:hAnsi="Times New Roman" w:eastAsia="黑体"/>
          <w:color w:val="auto"/>
          <w:sz w:val="32"/>
          <w:szCs w:val="32"/>
          <w:highlight w:val="none"/>
        </w:rPr>
      </w:pPr>
      <w:r>
        <w:rPr>
          <w:rFonts w:ascii="Times New Roman" w:hAnsi="Times New Roman" w:eastAsia="黑体"/>
          <w:color w:val="auto"/>
          <w:sz w:val="32"/>
          <w:szCs w:val="32"/>
          <w:highlight w:val="none"/>
        </w:rPr>
        <w:t>存在的问题及</w:t>
      </w:r>
      <w:r>
        <w:rPr>
          <w:rFonts w:hint="eastAsia" w:ascii="Times New Roman" w:hAnsi="Times New Roman" w:eastAsia="黑体"/>
          <w:color w:val="auto"/>
          <w:sz w:val="32"/>
          <w:szCs w:val="32"/>
          <w:highlight w:val="none"/>
        </w:rPr>
        <w:t>原因分析</w:t>
      </w:r>
    </w:p>
    <w:p>
      <w:pPr>
        <w:widowControl/>
        <w:spacing w:line="600" w:lineRule="exact"/>
        <w:ind w:firstLine="640" w:firstLineChars="200"/>
        <w:jc w:val="left"/>
        <w:rPr>
          <w:rFonts w:hint="eastAsia" w:ascii="仿宋" w:hAnsi="仿宋" w:eastAsia="仿宋" w:cs="仿宋"/>
          <w:b w:val="0"/>
          <w:bCs w:val="0"/>
          <w:color w:val="auto"/>
          <w:kern w:val="2"/>
          <w:sz w:val="32"/>
          <w:szCs w:val="22"/>
          <w:highlight w:val="none"/>
          <w:lang w:val="en-US" w:eastAsia="zh-CN" w:bidi="ar-SA"/>
        </w:rPr>
      </w:pPr>
      <w:r>
        <w:rPr>
          <w:rFonts w:hint="eastAsia" w:ascii="仿宋" w:hAnsi="仿宋" w:eastAsia="仿宋" w:cs="仿宋"/>
          <w:b w:val="0"/>
          <w:bCs w:val="0"/>
          <w:color w:val="auto"/>
          <w:kern w:val="2"/>
          <w:sz w:val="32"/>
          <w:szCs w:val="22"/>
          <w:highlight w:val="none"/>
          <w:lang w:val="en-US" w:eastAsia="zh-CN" w:bidi="ar-SA"/>
        </w:rPr>
        <w:t>1.所属两校具有土建专业特色的校企合作、产教融合的人才培养模式还需进一步优化。</w:t>
      </w:r>
    </w:p>
    <w:p>
      <w:pPr>
        <w:widowControl/>
        <w:spacing w:line="600" w:lineRule="exact"/>
        <w:ind w:firstLine="640" w:firstLineChars="200"/>
        <w:jc w:val="left"/>
        <w:rPr>
          <w:rFonts w:hint="eastAsia" w:ascii="仿宋" w:hAnsi="仿宋" w:eastAsia="仿宋" w:cs="仿宋"/>
          <w:b w:val="0"/>
          <w:bCs w:val="0"/>
          <w:color w:val="auto"/>
          <w:kern w:val="2"/>
          <w:sz w:val="32"/>
          <w:szCs w:val="22"/>
          <w:highlight w:val="none"/>
          <w:lang w:val="en-US" w:eastAsia="zh-CN" w:bidi="ar-SA"/>
        </w:rPr>
      </w:pPr>
      <w:r>
        <w:rPr>
          <w:rFonts w:hint="eastAsia" w:ascii="仿宋" w:hAnsi="仿宋" w:eastAsia="仿宋" w:cs="仿宋"/>
          <w:b w:val="0"/>
          <w:bCs w:val="0"/>
          <w:color w:val="auto"/>
          <w:kern w:val="2"/>
          <w:sz w:val="32"/>
          <w:szCs w:val="22"/>
          <w:highlight w:val="none"/>
          <w:lang w:val="en-US" w:eastAsia="zh-CN" w:bidi="ar-SA"/>
        </w:rPr>
        <w:t>2.两校教育教学改革的步伐还不够快，教师“赋能”、教法“激活”、教材“升级”还需持续深化。</w:t>
      </w:r>
    </w:p>
    <w:p>
      <w:pPr>
        <w:widowControl/>
        <w:spacing w:line="600" w:lineRule="exact"/>
        <w:ind w:firstLine="640" w:firstLineChars="200"/>
        <w:jc w:val="left"/>
        <w:rPr>
          <w:rFonts w:hint="eastAsia" w:ascii="仿宋" w:hAnsi="仿宋" w:eastAsia="仿宋" w:cs="仿宋"/>
          <w:b w:val="0"/>
          <w:bCs w:val="0"/>
          <w:color w:val="auto"/>
          <w:kern w:val="2"/>
          <w:sz w:val="32"/>
          <w:szCs w:val="22"/>
          <w:highlight w:val="none"/>
          <w:lang w:val="en-US" w:eastAsia="zh-CN" w:bidi="ar-SA"/>
        </w:rPr>
      </w:pPr>
      <w:r>
        <w:rPr>
          <w:rFonts w:hint="eastAsia" w:ascii="仿宋" w:hAnsi="仿宋" w:eastAsia="仿宋" w:cs="仿宋"/>
          <w:b w:val="0"/>
          <w:bCs w:val="0"/>
          <w:color w:val="auto"/>
          <w:kern w:val="2"/>
          <w:sz w:val="32"/>
          <w:szCs w:val="22"/>
          <w:highlight w:val="none"/>
          <w:lang w:val="en-US" w:eastAsia="zh-CN" w:bidi="ar-SA"/>
        </w:rPr>
        <w:t>3.两校办学投入有待提高、现代化教学仪器设备有待更新、教职工待遇有待持续提高等。</w:t>
      </w:r>
    </w:p>
    <w:p>
      <w:pPr>
        <w:spacing w:line="600" w:lineRule="exact"/>
        <w:ind w:firstLine="640" w:firstLineChars="200"/>
        <w:rPr>
          <w:rFonts w:hint="eastAsia" w:ascii="仿宋" w:hAnsi="仿宋" w:eastAsia="仿宋" w:cs="仿宋"/>
          <w:b w:val="0"/>
          <w:bCs w:val="0"/>
          <w:color w:val="auto"/>
          <w:kern w:val="2"/>
          <w:sz w:val="32"/>
          <w:szCs w:val="22"/>
          <w:highlight w:val="none"/>
          <w:lang w:val="en-US" w:eastAsia="zh-CN" w:bidi="ar-SA"/>
        </w:rPr>
      </w:pPr>
      <w:r>
        <w:rPr>
          <w:rFonts w:hint="eastAsia" w:ascii="仿宋" w:hAnsi="仿宋" w:eastAsia="仿宋" w:cs="仿宋"/>
          <w:b w:val="0"/>
          <w:bCs w:val="0"/>
          <w:color w:val="auto"/>
          <w:kern w:val="2"/>
          <w:sz w:val="32"/>
          <w:szCs w:val="22"/>
          <w:highlight w:val="none"/>
          <w:lang w:val="en-US" w:eastAsia="zh-CN" w:bidi="ar-SA"/>
        </w:rPr>
        <w:t>4.年初预算未包含免学费专项资金，年初预算数不能满足全年资金支出需求，需年中追加资金才能保障，年初预算与实际执行数差异较大。</w:t>
      </w:r>
    </w:p>
    <w:p>
      <w:pPr>
        <w:spacing w:line="600" w:lineRule="exact"/>
        <w:ind w:firstLine="640" w:firstLineChars="200"/>
        <w:rPr>
          <w:rFonts w:hint="eastAsia" w:ascii="仿宋" w:hAnsi="仿宋" w:eastAsia="仿宋" w:cs="仿宋"/>
          <w:b w:val="0"/>
          <w:bCs w:val="0"/>
          <w:color w:val="auto"/>
          <w:kern w:val="2"/>
          <w:sz w:val="32"/>
          <w:szCs w:val="22"/>
          <w:highlight w:val="none"/>
          <w:lang w:val="en-US" w:eastAsia="zh-CN" w:bidi="ar-SA"/>
        </w:rPr>
      </w:pPr>
      <w:r>
        <w:rPr>
          <w:rFonts w:hint="eastAsia" w:ascii="仿宋" w:hAnsi="仿宋" w:eastAsia="仿宋" w:cs="仿宋"/>
          <w:b w:val="0"/>
          <w:bCs w:val="0"/>
          <w:color w:val="auto"/>
          <w:kern w:val="2"/>
          <w:sz w:val="32"/>
          <w:szCs w:val="22"/>
          <w:highlight w:val="none"/>
          <w:lang w:val="en-US" w:eastAsia="zh-CN" w:bidi="ar-SA"/>
        </w:rPr>
        <w:t>5.在学校整体支出预算执行过程中，由于预算编制不够精确，造成个别预算子项存在调剂现象。</w:t>
      </w:r>
    </w:p>
    <w:p>
      <w:pPr>
        <w:widowControl/>
        <w:spacing w:line="600" w:lineRule="exact"/>
        <w:ind w:firstLine="640" w:firstLineChars="200"/>
        <w:jc w:val="left"/>
        <w:rPr>
          <w:rFonts w:eastAsia="黑体"/>
          <w:color w:val="auto"/>
          <w:sz w:val="32"/>
          <w:szCs w:val="32"/>
          <w:highlight w:val="none"/>
        </w:rPr>
      </w:pPr>
      <w:r>
        <w:rPr>
          <w:rFonts w:hint="eastAsia" w:ascii="黑体" w:hAnsi="黑体" w:eastAsia="黑体"/>
          <w:color w:val="auto"/>
          <w:sz w:val="32"/>
          <w:szCs w:val="32"/>
          <w:highlight w:val="none"/>
          <w:lang w:eastAsia="zh-CN"/>
        </w:rPr>
        <w:t>八、</w:t>
      </w:r>
      <w:r>
        <w:rPr>
          <w:rFonts w:ascii="黑体" w:hAnsi="黑体" w:eastAsia="黑体"/>
          <w:color w:val="auto"/>
          <w:sz w:val="32"/>
          <w:szCs w:val="32"/>
          <w:highlight w:val="none"/>
        </w:rPr>
        <w:t>下一步</w:t>
      </w:r>
      <w:r>
        <w:rPr>
          <w:rFonts w:eastAsia="黑体"/>
          <w:color w:val="auto"/>
          <w:sz w:val="32"/>
          <w:szCs w:val="32"/>
          <w:highlight w:val="none"/>
        </w:rPr>
        <w:t>改进措施</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1.推进民主管理、坚持依法治校，完善科学民主决策机制。依据学院章程，进一步完善党委领导下的院长负责制、教代会制度、学术委员会制度、教学工作委员会制度等，进一步推动学院内部治理体系各组成部分职责明确、协调有序、运转高效，持续提升治理能力。发挥教代会依法行使教职工民主权利、参与学院民主管理和监督的基本形式，推进教代会在学院党务、院务公开，推动学院科学发展、和谐发展方面的重要作用。</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2.聚焦工作重点、持续精准发力，提升改革创新攻坚动能。要提振信心、要抓准关键人、要用好关键招，对标国家“双高”校建设要求，不断推进学院内涵式建设，切实推进学院高水平发展。</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3.坚持从严治党、强化政治引领，凝聚奋进向前强大合力。充分发挥党建引领作用，树牢抓好基层建设的鲜明导向，发挥基层党组织的战斗堡垒作用和党员的先锋模范作用，在“把方向、管大局、做决策、抓班子、带队伍、保落实”中把组织优势转化为发展优势。持续推进思想政治工作守正创新，打好组合拳，构建思政育人大格局。扎实做好意识形态工作，时刻牢记“培养什么人、怎样培养人、为谁培养人”这一根本问题，健全意识形态工作机制，配强工作队伍，提升应对意识形态风险挑战的能力，在道路、制度等重大问题上旗帜鲜明，敢于担当、善于斗争。以过硬作风抓落实。要真抓实干，在抓落实、解决实际问题上下功夫。</w:t>
      </w:r>
    </w:p>
    <w:p>
      <w:pPr>
        <w:pStyle w:val="2"/>
        <w:ind w:firstLine="640" w:firstLineChars="200"/>
        <w:rPr>
          <w:rFonts w:hint="eastAsia" w:ascii="仿宋_GB2312" w:hAnsi="华文仿宋" w:eastAsia="仿宋_GB2312" w:cs="宋体"/>
          <w:color w:val="auto"/>
          <w:kern w:val="2"/>
          <w:sz w:val="32"/>
          <w:szCs w:val="32"/>
          <w:highlight w:val="none"/>
          <w:lang w:val="en-US" w:eastAsia="zh-CN" w:bidi="ar-SA"/>
        </w:rPr>
      </w:pPr>
      <w:r>
        <w:rPr>
          <w:rFonts w:hint="eastAsia" w:ascii="仿宋_GB2312" w:hAnsi="华文仿宋" w:eastAsia="仿宋_GB2312" w:cs="宋体"/>
          <w:color w:val="auto"/>
          <w:kern w:val="2"/>
          <w:sz w:val="32"/>
          <w:szCs w:val="32"/>
          <w:highlight w:val="none"/>
          <w:lang w:val="en-US" w:eastAsia="zh-CN" w:bidi="ar-SA"/>
        </w:rPr>
        <w:t>4.严格遵循预算法及其实施条例相关规定，把握好“以收定支，量力而行”的原则，严格预算执行，从严控制预算调剂，对于年度内确实无法预计的相关工作所需经费，按照预算调整程序，逐级申报审批后方可执行。</w:t>
      </w:r>
    </w:p>
    <w:p>
      <w:pPr>
        <w:keepNext w:val="0"/>
        <w:keepLines w:val="0"/>
        <w:pageBreakBefore w:val="0"/>
        <w:widowControl/>
        <w:numPr>
          <w:ilvl w:val="0"/>
          <w:numId w:val="0"/>
        </w:numPr>
        <w:kinsoku/>
        <w:wordWrap/>
        <w:overflowPunct/>
        <w:topLinePunct w:val="0"/>
        <w:autoSpaceDE/>
        <w:autoSpaceDN/>
        <w:bidi w:val="0"/>
        <w:spacing w:line="560" w:lineRule="exact"/>
        <w:ind w:firstLine="640" w:firstLineChars="200"/>
        <w:jc w:val="left"/>
        <w:textAlignment w:val="auto"/>
        <w:rPr>
          <w:rFonts w:eastAsia="黑体"/>
          <w:color w:val="auto"/>
          <w:sz w:val="32"/>
          <w:szCs w:val="32"/>
          <w:highlight w:val="none"/>
        </w:rPr>
      </w:pPr>
      <w:r>
        <w:rPr>
          <w:rFonts w:hint="eastAsia" w:ascii="Times New Roman" w:hAnsi="Times New Roman" w:eastAsia="黑体" w:cs="Times New Roman"/>
          <w:color w:val="auto"/>
          <w:sz w:val="32"/>
          <w:szCs w:val="32"/>
          <w:highlight w:val="none"/>
          <w:lang w:val="en-US" w:eastAsia="zh-CN"/>
        </w:rPr>
        <w:t>九、</w:t>
      </w:r>
      <w:r>
        <w:rPr>
          <w:rFonts w:eastAsia="黑体"/>
          <w:color w:val="auto"/>
          <w:sz w:val="32"/>
          <w:szCs w:val="32"/>
          <w:highlight w:val="none"/>
        </w:rPr>
        <w:t>绩效自评结果拟应用和公开情况</w:t>
      </w: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eastAsia="仿宋_GB2312"/>
          <w:color w:val="auto"/>
          <w:sz w:val="32"/>
          <w:szCs w:val="32"/>
          <w:highlight w:val="none"/>
        </w:rPr>
      </w:pPr>
      <w:r>
        <w:rPr>
          <w:rFonts w:hint="eastAsia" w:ascii="仿宋_GB2312" w:hAnsi="宋体" w:eastAsia="仿宋_GB2312" w:cs="宋体"/>
          <w:b w:val="0"/>
          <w:bCs w:val="0"/>
          <w:kern w:val="0"/>
          <w:sz w:val="32"/>
          <w:szCs w:val="32"/>
        </w:rPr>
        <w:t>根据《湖南省财政厅关于开展</w:t>
      </w:r>
      <w:r>
        <w:rPr>
          <w:rFonts w:hint="eastAsia" w:ascii="仿宋_GB2312" w:hAnsi="宋体" w:eastAsia="仿宋_GB2312" w:cs="宋体"/>
          <w:b w:val="0"/>
          <w:bCs w:val="0"/>
          <w:kern w:val="0"/>
          <w:sz w:val="32"/>
          <w:szCs w:val="32"/>
          <w:lang w:eastAsia="zh-CN"/>
        </w:rPr>
        <w:t>202</w:t>
      </w:r>
      <w:r>
        <w:rPr>
          <w:rFonts w:hint="eastAsia" w:ascii="仿宋_GB2312" w:hAnsi="宋体" w:eastAsia="仿宋_GB2312" w:cs="宋体"/>
          <w:b w:val="0"/>
          <w:bCs w:val="0"/>
          <w:kern w:val="0"/>
          <w:sz w:val="32"/>
          <w:szCs w:val="32"/>
          <w:lang w:val="en-US" w:eastAsia="zh-CN"/>
        </w:rPr>
        <w:t>2</w:t>
      </w:r>
      <w:r>
        <w:rPr>
          <w:rFonts w:hint="eastAsia" w:ascii="仿宋_GB2312" w:hAnsi="宋体" w:eastAsia="仿宋_GB2312" w:cs="宋体"/>
          <w:b w:val="0"/>
          <w:bCs w:val="0"/>
          <w:kern w:val="0"/>
          <w:sz w:val="32"/>
          <w:szCs w:val="32"/>
        </w:rPr>
        <w:t>年度部门绩效自评工作的通知》，</w:t>
      </w:r>
      <w:r>
        <w:rPr>
          <w:rFonts w:hint="eastAsia" w:ascii="仿宋_GB2312" w:hAnsi="宋体" w:eastAsia="仿宋_GB2312" w:cs="宋体"/>
          <w:b w:val="0"/>
          <w:bCs w:val="0"/>
          <w:kern w:val="0"/>
          <w:sz w:val="32"/>
          <w:szCs w:val="32"/>
          <w:lang w:eastAsia="zh-CN"/>
        </w:rPr>
        <w:t>部门</w:t>
      </w:r>
      <w:r>
        <w:rPr>
          <w:rFonts w:hint="eastAsia" w:ascii="仿宋_GB2312" w:hAnsi="宋体" w:eastAsia="仿宋_GB2312" w:cs="宋体"/>
          <w:b w:val="0"/>
          <w:bCs w:val="0"/>
          <w:kern w:val="0"/>
          <w:sz w:val="32"/>
          <w:szCs w:val="32"/>
        </w:rPr>
        <w:t>对整体绩效开展自评，并将部门支出绩效自评报告在规定时间内对外公开。</w:t>
      </w:r>
    </w:p>
    <w:p>
      <w:pPr>
        <w:keepNext w:val="0"/>
        <w:keepLines w:val="0"/>
        <w:pageBreakBefore w:val="0"/>
        <w:widowControl/>
        <w:kinsoku/>
        <w:wordWrap/>
        <w:overflowPunct/>
        <w:topLinePunct w:val="0"/>
        <w:autoSpaceDE/>
        <w:autoSpaceDN/>
        <w:bidi w:val="0"/>
        <w:spacing w:line="560" w:lineRule="exact"/>
        <w:jc w:val="left"/>
        <w:textAlignment w:val="auto"/>
        <w:rPr>
          <w:rFonts w:ascii="Times New Roman" w:hAnsi="Times New Roman" w:eastAsia="仿宋_GB2312" w:cs="Times New Roman"/>
          <w:color w:val="auto"/>
          <w:sz w:val="32"/>
          <w:szCs w:val="32"/>
          <w:highlight w:val="none"/>
        </w:rPr>
      </w:pP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附件：</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1、部门整体支出绩效评价基础数据表</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2、部门整体支出绩效自评表</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3、项目支出绩效自评表（一个一级项目支出一张表）</w:t>
      </w:r>
    </w:p>
    <w:p>
      <w:pPr>
        <w:keepNext w:val="0"/>
        <w:keepLines w:val="0"/>
        <w:pageBreakBefore w:val="0"/>
        <w:widowControl/>
        <w:kinsoku/>
        <w:wordWrap/>
        <w:overflowPunct/>
        <w:topLinePunct w:val="0"/>
        <w:autoSpaceDE/>
        <w:autoSpaceDN/>
        <w:bidi w:val="0"/>
        <w:spacing w:line="560" w:lineRule="exact"/>
        <w:ind w:firstLine="640" w:firstLineChars="200"/>
        <w:jc w:val="left"/>
        <w:textAlignment w:val="auto"/>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4、</w:t>
      </w:r>
      <w:r>
        <w:rPr>
          <w:rFonts w:ascii="Times New Roman" w:hAnsi="Times New Roman" w:eastAsia="仿宋_GB2312" w:cs="Times New Roman"/>
          <w:color w:val="auto"/>
          <w:sz w:val="32"/>
          <w:szCs w:val="32"/>
          <w:highlight w:val="none"/>
        </w:rPr>
        <w:t>部门整体支出绩效自评工作考核评分表</w:t>
      </w:r>
    </w:p>
    <w:p>
      <w:pPr>
        <w:pStyle w:val="2"/>
      </w:pPr>
    </w:p>
    <w:p>
      <w:pPr>
        <w:pStyle w:val="2"/>
        <w:keepNext w:val="0"/>
        <w:keepLines w:val="0"/>
        <w:pageBreakBefore w:val="0"/>
        <w:kinsoku/>
        <w:wordWrap/>
        <w:overflowPunct/>
        <w:topLinePunct w:val="0"/>
        <w:autoSpaceDE/>
        <w:autoSpaceDN/>
        <w:bidi w:val="0"/>
        <w:spacing w:line="560" w:lineRule="exact"/>
        <w:jc w:val="right"/>
        <w:textAlignment w:val="auto"/>
        <w:rPr>
          <w:rFonts w:hint="eastAsia" w:cs="Times New Roman"/>
          <w:color w:val="auto"/>
          <w:sz w:val="32"/>
          <w:szCs w:val="32"/>
          <w:highlight w:val="none"/>
          <w:lang w:eastAsia="zh-CN"/>
        </w:rPr>
      </w:pPr>
    </w:p>
    <w:p>
      <w:pPr>
        <w:pStyle w:val="2"/>
        <w:keepNext w:val="0"/>
        <w:keepLines w:val="0"/>
        <w:pageBreakBefore w:val="0"/>
        <w:kinsoku/>
        <w:wordWrap/>
        <w:overflowPunct/>
        <w:topLinePunct w:val="0"/>
        <w:autoSpaceDE/>
        <w:autoSpaceDN/>
        <w:bidi w:val="0"/>
        <w:spacing w:line="560" w:lineRule="exact"/>
        <w:jc w:val="right"/>
        <w:textAlignment w:val="auto"/>
        <w:rPr>
          <w:rFonts w:hint="eastAsia" w:cs="Times New Roman"/>
          <w:color w:val="auto"/>
          <w:sz w:val="32"/>
          <w:szCs w:val="32"/>
          <w:highlight w:val="none"/>
          <w:lang w:eastAsia="zh-CN"/>
        </w:rPr>
      </w:pPr>
      <w:r>
        <w:rPr>
          <w:rFonts w:hint="eastAsia" w:cs="Times New Roman"/>
          <w:color w:val="auto"/>
          <w:sz w:val="32"/>
          <w:szCs w:val="32"/>
          <w:highlight w:val="none"/>
          <w:lang w:eastAsia="zh-CN"/>
        </w:rPr>
        <w:t>湖南建设投资集团有限责任公司</w:t>
      </w:r>
    </w:p>
    <w:p>
      <w:pPr>
        <w:pStyle w:val="2"/>
        <w:keepNext w:val="0"/>
        <w:keepLines w:val="0"/>
        <w:pageBreakBefore w:val="0"/>
        <w:kinsoku/>
        <w:wordWrap/>
        <w:overflowPunct/>
        <w:topLinePunct w:val="0"/>
        <w:autoSpaceDE/>
        <w:autoSpaceDN/>
        <w:bidi w:val="0"/>
        <w:spacing w:line="560" w:lineRule="exact"/>
        <w:jc w:val="right"/>
        <w:textAlignment w:val="auto"/>
        <w:rPr>
          <w:rFonts w:hint="default" w:cs="Times New Roman"/>
          <w:color w:val="auto"/>
          <w:sz w:val="32"/>
          <w:szCs w:val="32"/>
          <w:highlight w:val="none"/>
          <w:lang w:val="en-US" w:eastAsia="zh-CN"/>
        </w:rPr>
      </w:pPr>
      <w:r>
        <w:rPr>
          <w:rFonts w:hint="eastAsia" w:cs="Times New Roman"/>
          <w:color w:val="auto"/>
          <w:sz w:val="32"/>
          <w:szCs w:val="32"/>
          <w:highlight w:val="none"/>
          <w:lang w:val="en-US" w:eastAsia="zh-CN"/>
        </w:rPr>
        <w:t>2022年5月29日</w:t>
      </w:r>
    </w:p>
    <w:p>
      <w:pPr>
        <w:keepNext w:val="0"/>
        <w:keepLines w:val="0"/>
        <w:pageBreakBefore w:val="0"/>
        <w:widowControl/>
        <w:kinsoku/>
        <w:wordWrap/>
        <w:overflowPunct/>
        <w:topLinePunct w:val="0"/>
        <w:autoSpaceDE/>
        <w:autoSpaceDN/>
        <w:bidi w:val="0"/>
        <w:adjustRightInd/>
        <w:snapToGrid/>
        <w:spacing w:afterLines="50" w:line="560" w:lineRule="exact"/>
        <w:jc w:val="left"/>
        <w:textAlignment w:val="auto"/>
        <w:rPr>
          <w:rFonts w:hint="eastAsia" w:ascii="Times New Roman" w:hAnsi="Times New Roman" w:eastAsia="黑体" w:cs="Times New Roman"/>
          <w:b w:val="0"/>
          <w:bCs w:val="0"/>
          <w:sz w:val="32"/>
          <w:szCs w:val="32"/>
          <w:lang w:val="en-US" w:eastAsia="zh-CN"/>
        </w:rPr>
      </w:pPr>
      <w:r>
        <w:rPr>
          <w:rFonts w:ascii="Times New Roman" w:hAnsi="Times New Roman" w:eastAsia="仿宋_GB2312" w:cs="Times New Roman"/>
          <w:color w:val="auto"/>
          <w:kern w:val="0"/>
          <w:szCs w:val="21"/>
          <w:highlight w:val="none"/>
        </w:rPr>
        <w:br w:type="page"/>
      </w:r>
      <w:r>
        <w:rPr>
          <w:rFonts w:ascii="Times New Roman" w:hAnsi="Times New Roman" w:eastAsia="黑体" w:cs="Times New Roman"/>
          <w:b w:val="0"/>
          <w:bCs w:val="0"/>
          <w:sz w:val="32"/>
          <w:szCs w:val="32"/>
        </w:rPr>
        <w:t>附件</w:t>
      </w:r>
      <w:r>
        <w:rPr>
          <w:rFonts w:hint="eastAsia" w:ascii="Times New Roman" w:hAnsi="Times New Roman" w:eastAsia="黑体" w:cs="Times New Roman"/>
          <w:b w:val="0"/>
          <w:bCs w:val="0"/>
          <w:sz w:val="32"/>
          <w:szCs w:val="32"/>
          <w:lang w:val="en-US" w:eastAsia="zh-CN"/>
        </w:rPr>
        <w:t>1</w:t>
      </w:r>
    </w:p>
    <w:p>
      <w:pPr>
        <w:keepNext w:val="0"/>
        <w:keepLines w:val="0"/>
        <w:pageBreakBefore w:val="0"/>
        <w:kinsoku/>
        <w:wordWrap/>
        <w:overflowPunct/>
        <w:topLinePunct w:val="0"/>
        <w:autoSpaceDE/>
        <w:autoSpaceDN/>
        <w:bidi w:val="0"/>
        <w:adjustRightInd/>
        <w:snapToGrid/>
        <w:spacing w:afterLines="50" w:line="560" w:lineRule="exact"/>
        <w:jc w:val="center"/>
        <w:textAlignment w:val="auto"/>
        <w:rPr>
          <w:rFonts w:ascii="Times New Roman" w:hAnsi="Times New Roman" w:eastAsia="仿宋_GB2312" w:cs="Times New Roman"/>
          <w:b w:val="0"/>
          <w:bCs w:val="0"/>
          <w:kern w:val="0"/>
          <w:sz w:val="24"/>
          <w:szCs w:val="24"/>
        </w:rPr>
      </w:pPr>
      <w:r>
        <w:rPr>
          <w:rFonts w:hint="eastAsia" w:ascii="Times New Roman" w:hAnsi="Times New Roman" w:eastAsia="方正小标宋_GBK" w:cs="Times New Roman"/>
          <w:b w:val="0"/>
          <w:bCs w:val="0"/>
          <w:kern w:val="0"/>
          <w:sz w:val="36"/>
          <w:szCs w:val="36"/>
          <w:lang w:eastAsia="zh-CN"/>
        </w:rPr>
        <w:t>202</w:t>
      </w:r>
      <w:r>
        <w:rPr>
          <w:rFonts w:hint="eastAsia" w:eastAsia="方正小标宋_GBK" w:cs="Times New Roman"/>
          <w:b w:val="0"/>
          <w:bCs w:val="0"/>
          <w:kern w:val="0"/>
          <w:sz w:val="36"/>
          <w:szCs w:val="36"/>
          <w:lang w:val="en-US" w:eastAsia="zh-CN"/>
        </w:rPr>
        <w:t>2</w:t>
      </w:r>
      <w:r>
        <w:rPr>
          <w:rFonts w:ascii="Times New Roman" w:hAnsi="Times New Roman" w:eastAsia="方正小标宋_GBK" w:cs="Times New Roman"/>
          <w:b w:val="0"/>
          <w:bCs w:val="0"/>
          <w:kern w:val="0"/>
          <w:sz w:val="36"/>
          <w:szCs w:val="36"/>
        </w:rPr>
        <w:t>年度部门整体支出绩效评价基础数据表</w:t>
      </w:r>
    </w:p>
    <w:tbl>
      <w:tblPr>
        <w:tblStyle w:val="12"/>
        <w:tblW w:w="9985" w:type="dxa"/>
        <w:jc w:val="center"/>
        <w:tblLayout w:type="fixed"/>
        <w:tblCellMar>
          <w:top w:w="0" w:type="dxa"/>
          <w:left w:w="108" w:type="dxa"/>
          <w:bottom w:w="0" w:type="dxa"/>
          <w:right w:w="108" w:type="dxa"/>
        </w:tblCellMar>
      </w:tblPr>
      <w:tblGrid>
        <w:gridCol w:w="3258"/>
        <w:gridCol w:w="1066"/>
        <w:gridCol w:w="1068"/>
        <w:gridCol w:w="1129"/>
        <w:gridCol w:w="1111"/>
        <w:gridCol w:w="1135"/>
        <w:gridCol w:w="1218"/>
      </w:tblGrid>
      <w:tr>
        <w:tblPrEx>
          <w:tblCellMar>
            <w:top w:w="0" w:type="dxa"/>
            <w:left w:w="108" w:type="dxa"/>
            <w:bottom w:w="0" w:type="dxa"/>
            <w:right w:w="108" w:type="dxa"/>
          </w:tblCellMar>
        </w:tblPrEx>
        <w:trPr>
          <w:cantSplit/>
          <w:trHeight w:val="23" w:hRule="atLeast"/>
          <w:jc w:val="center"/>
        </w:trPr>
        <w:tc>
          <w:tcPr>
            <w:tcW w:w="32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财政供养人员情况（人）</w:t>
            </w:r>
          </w:p>
        </w:tc>
        <w:tc>
          <w:tcPr>
            <w:tcW w:w="213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编制数</w:t>
            </w:r>
          </w:p>
        </w:tc>
        <w:tc>
          <w:tcPr>
            <w:tcW w:w="22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eastAsia="zh-CN"/>
              </w:rPr>
              <w:t>202</w:t>
            </w:r>
            <w:r>
              <w:rPr>
                <w:rFonts w:hint="eastAsia" w:eastAsia="仿宋_GB2312" w:cs="Times New Roman"/>
                <w:b w:val="0"/>
                <w:bCs w:val="0"/>
                <w:kern w:val="0"/>
                <w:szCs w:val="21"/>
                <w:lang w:val="en-US" w:eastAsia="zh-CN"/>
              </w:rPr>
              <w:t>2</w:t>
            </w:r>
            <w:r>
              <w:rPr>
                <w:rFonts w:ascii="Times New Roman" w:hAnsi="Times New Roman" w:eastAsia="仿宋_GB2312" w:cs="Times New Roman"/>
                <w:b w:val="0"/>
                <w:bCs w:val="0"/>
                <w:kern w:val="0"/>
                <w:szCs w:val="21"/>
              </w:rPr>
              <w:t>年实际在职人数</w:t>
            </w: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控制率</w:t>
            </w:r>
          </w:p>
        </w:tc>
      </w:tr>
      <w:tr>
        <w:tblPrEx>
          <w:tblCellMar>
            <w:top w:w="0" w:type="dxa"/>
            <w:left w:w="108" w:type="dxa"/>
            <w:bottom w:w="0" w:type="dxa"/>
            <w:right w:w="108" w:type="dxa"/>
          </w:tblCellMar>
        </w:tblPrEx>
        <w:trPr>
          <w:cantSplit/>
          <w:trHeight w:val="23" w:hRule="atLeast"/>
          <w:jc w:val="center"/>
        </w:trPr>
        <w:tc>
          <w:tcPr>
            <w:tcW w:w="32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val="0"/>
                <w:bCs w:val="0"/>
                <w:kern w:val="0"/>
                <w:szCs w:val="21"/>
              </w:rPr>
            </w:pPr>
          </w:p>
        </w:tc>
        <w:tc>
          <w:tcPr>
            <w:tcW w:w="213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hint="eastAsia" w:eastAsia="仿宋_GB2312" w:cs="Times New Roman"/>
                <w:b w:val="0"/>
                <w:bCs w:val="0"/>
                <w:kern w:val="0"/>
                <w:szCs w:val="21"/>
                <w:lang w:val="en-US" w:eastAsia="zh-CN"/>
              </w:rPr>
              <w:t>978</w:t>
            </w:r>
            <w:r>
              <w:rPr>
                <w:rFonts w:ascii="Times New Roman" w:hAnsi="Times New Roman" w:eastAsia="仿宋_GB2312" w:cs="Times New Roman"/>
                <w:b w:val="0"/>
                <w:bCs w:val="0"/>
                <w:kern w:val="0"/>
                <w:szCs w:val="21"/>
              </w:rPr>
              <w:t>　</w:t>
            </w:r>
          </w:p>
        </w:tc>
        <w:tc>
          <w:tcPr>
            <w:tcW w:w="22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hint="eastAsia" w:eastAsia="仿宋_GB2312" w:cs="Times New Roman"/>
                <w:b w:val="0"/>
                <w:bCs w:val="0"/>
                <w:kern w:val="0"/>
                <w:szCs w:val="21"/>
                <w:lang w:val="en-US" w:eastAsia="zh-CN"/>
              </w:rPr>
              <w:t>802</w:t>
            </w:r>
            <w:r>
              <w:rPr>
                <w:rFonts w:ascii="Times New Roman" w:hAnsi="Times New Roman" w:eastAsia="仿宋_GB2312" w:cs="Times New Roman"/>
                <w:b w:val="0"/>
                <w:bCs w:val="0"/>
                <w:kern w:val="0"/>
                <w:szCs w:val="21"/>
              </w:rPr>
              <w:t>　</w:t>
            </w:r>
          </w:p>
        </w:tc>
        <w:tc>
          <w:tcPr>
            <w:tcW w:w="235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hint="eastAsia" w:eastAsia="仿宋_GB2312" w:cs="Times New Roman"/>
                <w:b w:val="0"/>
                <w:bCs w:val="0"/>
                <w:kern w:val="0"/>
                <w:szCs w:val="21"/>
                <w:lang w:val="en-US" w:eastAsia="zh-CN"/>
              </w:rPr>
              <w:t>82</w:t>
            </w:r>
            <w:r>
              <w:rPr>
                <w:rFonts w:hint="eastAsia" w:ascii="Times New Roman" w:hAnsi="Times New Roman" w:eastAsia="仿宋_GB2312" w:cs="Times New Roman"/>
                <w:b w:val="0"/>
                <w:bCs w:val="0"/>
                <w:kern w:val="0"/>
                <w:szCs w:val="21"/>
              </w:rPr>
              <w:t>%</w:t>
            </w:r>
            <w:r>
              <w:rPr>
                <w:rFonts w:ascii="Times New Roman" w:hAnsi="Times New Roman" w:eastAsia="仿宋_GB2312" w:cs="Times New Roman"/>
                <w:b w:val="0"/>
                <w:bCs w:val="0"/>
                <w:kern w:val="0"/>
                <w:szCs w:val="21"/>
              </w:rPr>
              <w:t>　</w:t>
            </w:r>
          </w:p>
        </w:tc>
      </w:tr>
      <w:tr>
        <w:tblPrEx>
          <w:tblCellMar>
            <w:top w:w="0" w:type="dxa"/>
            <w:left w:w="108" w:type="dxa"/>
            <w:bottom w:w="0" w:type="dxa"/>
            <w:right w:w="108" w:type="dxa"/>
          </w:tblCellMar>
        </w:tblPrEx>
        <w:trPr>
          <w:cantSplit/>
          <w:trHeight w:val="347"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经费控制情况（万元）</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360" w:lineRule="exact"/>
              <w:jc w:val="center"/>
              <w:rPr>
                <w:rFonts w:ascii="Times New Roman" w:hAnsi="Times New Roman" w:eastAsia="仿宋_GB2312" w:cs="Times New Roman"/>
                <w:b w:val="0"/>
                <w:bCs w:val="0"/>
                <w:kern w:val="0"/>
                <w:szCs w:val="21"/>
              </w:rPr>
            </w:pPr>
            <w:r>
              <w:rPr>
                <w:rFonts w:hint="default" w:ascii="Times New Roman" w:hAnsi="Times New Roman" w:eastAsia="仿宋_GB2312" w:cs="Times New Roman"/>
                <w:b/>
                <w:bCs/>
                <w:sz w:val="20"/>
                <w:szCs w:val="20"/>
              </w:rPr>
              <w:t>202</w:t>
            </w:r>
            <w:r>
              <w:rPr>
                <w:rFonts w:hint="default" w:ascii="Times New Roman" w:hAnsi="Times New Roman" w:eastAsia="仿宋_GB2312" w:cs="Times New Roman"/>
                <w:b/>
                <w:bCs/>
                <w:sz w:val="20"/>
                <w:szCs w:val="20"/>
                <w:lang w:val="en-US" w:eastAsia="zh-CN"/>
              </w:rPr>
              <w:t>1</w:t>
            </w:r>
            <w:r>
              <w:rPr>
                <w:rFonts w:hint="default" w:ascii="Times New Roman" w:hAnsi="Times New Roman" w:eastAsia="仿宋_GB2312" w:cs="Times New Roman"/>
                <w:b/>
                <w:bCs/>
                <w:sz w:val="20"/>
                <w:szCs w:val="20"/>
              </w:rPr>
              <w:t>年决算数</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360" w:lineRule="exact"/>
              <w:jc w:val="center"/>
              <w:rPr>
                <w:rFonts w:ascii="Times New Roman" w:hAnsi="Times New Roman" w:eastAsia="仿宋_GB2312" w:cs="Times New Roman"/>
                <w:b w:val="0"/>
                <w:bCs w:val="0"/>
                <w:kern w:val="0"/>
                <w:szCs w:val="21"/>
              </w:rPr>
            </w:pPr>
            <w:r>
              <w:rPr>
                <w:rFonts w:hint="default" w:ascii="Times New Roman" w:hAnsi="Times New Roman" w:eastAsia="仿宋_GB2312" w:cs="Times New Roman"/>
                <w:b/>
                <w:bCs/>
                <w:sz w:val="20"/>
                <w:szCs w:val="20"/>
              </w:rPr>
              <w:t>202</w:t>
            </w:r>
            <w:r>
              <w:rPr>
                <w:rFonts w:hint="default" w:ascii="Times New Roman" w:hAnsi="Times New Roman" w:eastAsia="仿宋_GB2312" w:cs="Times New Roman"/>
                <w:b/>
                <w:bCs/>
                <w:sz w:val="20"/>
                <w:szCs w:val="20"/>
                <w:lang w:val="en-US" w:eastAsia="zh-CN"/>
              </w:rPr>
              <w:t>2</w:t>
            </w:r>
            <w:r>
              <w:rPr>
                <w:rFonts w:hint="default" w:ascii="Times New Roman" w:hAnsi="Times New Roman" w:eastAsia="仿宋_GB2312" w:cs="Times New Roman"/>
                <w:b/>
                <w:bCs/>
                <w:sz w:val="20"/>
                <w:szCs w:val="20"/>
              </w:rPr>
              <w:t>年预算数</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line="360" w:lineRule="exact"/>
              <w:jc w:val="center"/>
              <w:rPr>
                <w:rFonts w:ascii="Times New Roman" w:hAnsi="Times New Roman" w:eastAsia="仿宋_GB2312" w:cs="Times New Roman"/>
                <w:b w:val="0"/>
                <w:bCs w:val="0"/>
                <w:kern w:val="0"/>
                <w:szCs w:val="21"/>
              </w:rPr>
            </w:pPr>
            <w:r>
              <w:rPr>
                <w:rFonts w:hint="default" w:ascii="Times New Roman" w:hAnsi="Times New Roman" w:eastAsia="仿宋_GB2312" w:cs="Times New Roman"/>
                <w:b/>
                <w:bCs/>
                <w:sz w:val="20"/>
                <w:szCs w:val="20"/>
              </w:rPr>
              <w:t>202</w:t>
            </w:r>
            <w:r>
              <w:rPr>
                <w:rFonts w:hint="default" w:ascii="Times New Roman" w:hAnsi="Times New Roman" w:eastAsia="仿宋_GB2312" w:cs="Times New Roman"/>
                <w:b/>
                <w:bCs/>
                <w:sz w:val="20"/>
                <w:szCs w:val="20"/>
                <w:lang w:val="en-US" w:eastAsia="zh-CN"/>
              </w:rPr>
              <w:t>2</w:t>
            </w:r>
            <w:r>
              <w:rPr>
                <w:rFonts w:hint="default" w:ascii="Times New Roman" w:hAnsi="Times New Roman" w:eastAsia="仿宋_GB2312" w:cs="Times New Roman"/>
                <w:b/>
                <w:bCs/>
                <w:sz w:val="20"/>
                <w:szCs w:val="20"/>
              </w:rPr>
              <w:t>年决算数</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三公经费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37.39</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33</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25.4</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1、公务用车购置和维护经费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19.9</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20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20</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其中：公车购置</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 w:val="21"/>
                <w:szCs w:val="21"/>
                <w:lang w:val="en-US" w:eastAsia="zh-CN" w:bidi="ar-SA"/>
              </w:rPr>
              <w:t>0</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 w:val="21"/>
                <w:szCs w:val="21"/>
                <w:lang w:val="en-US" w:eastAsia="zh-CN" w:bidi="ar-SA"/>
              </w:rPr>
              <w:t>0</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公车运行维护</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19.9</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20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20</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2、出国经费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 w:val="21"/>
                <w:szCs w:val="21"/>
                <w:lang w:val="en-US" w:eastAsia="zh-CN" w:bidi="ar-SA"/>
              </w:rPr>
              <w:t>0</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 w:val="21"/>
                <w:szCs w:val="21"/>
                <w:lang w:val="en-US" w:eastAsia="zh-CN" w:bidi="ar-SA"/>
              </w:rPr>
              <w:t>0</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3、公务接待</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17.49</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13</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5.4</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项目支出：</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val="0"/>
                <w:bCs w:val="0"/>
                <w:kern w:val="0"/>
                <w:sz w:val="21"/>
                <w:szCs w:val="21"/>
                <w:lang w:val="en-US" w:eastAsia="zh-CN" w:bidi="ar-SA"/>
              </w:rPr>
            </w:pPr>
            <w:r>
              <w:rPr>
                <w:rFonts w:hint="eastAsia" w:eastAsia="仿宋_GB2312" w:cs="Times New Roman"/>
                <w:b w:val="0"/>
                <w:bCs w:val="0"/>
                <w:kern w:val="0"/>
                <w:szCs w:val="21"/>
                <w:lang w:val="en-US" w:eastAsia="zh-CN"/>
              </w:rPr>
              <w:t>9115.18</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6686.25</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rPr>
            </w:pPr>
            <w:r>
              <w:rPr>
                <w:rFonts w:hint="eastAsia" w:eastAsia="仿宋_GB2312" w:cs="Times New Roman"/>
                <w:b w:val="0"/>
                <w:bCs w:val="0"/>
                <w:kern w:val="0"/>
                <w:szCs w:val="21"/>
                <w:lang w:val="en-US" w:eastAsia="zh-CN"/>
              </w:rPr>
              <w:t>9115.18</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1、业务工作经费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 w:val="21"/>
                <w:szCs w:val="21"/>
                <w:lang w:val="en-US" w:eastAsia="zh-CN" w:bidi="ar-SA"/>
              </w:rPr>
            </w:pPr>
            <w:r>
              <w:rPr>
                <w:rFonts w:hint="eastAsia" w:ascii="Times New Roman" w:hAnsi="Times New Roman" w:eastAsia="仿宋_GB2312" w:cs="Times New Roman"/>
                <w:b w:val="0"/>
                <w:bCs w:val="0"/>
                <w:kern w:val="0"/>
                <w:szCs w:val="21"/>
                <w:lang w:val="en-US" w:eastAsia="zh-CN"/>
              </w:rPr>
              <w:t>0</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eastAsia="仿宋_GB2312" w:cs="Times New Roman"/>
                <w:b w:val="0"/>
                <w:bCs w:val="0"/>
                <w:kern w:val="0"/>
                <w:szCs w:val="21"/>
                <w:lang w:val="en-US" w:eastAsia="zh-CN"/>
              </w:rPr>
              <w:t>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eastAsia="zh-CN"/>
              </w:rPr>
            </w:pPr>
            <w:r>
              <w:rPr>
                <w:rFonts w:hint="eastAsia" w:eastAsia="仿宋_GB2312" w:cs="Times New Roman"/>
                <w:b w:val="0"/>
                <w:bCs w:val="0"/>
                <w:kern w:val="0"/>
                <w:szCs w:val="21"/>
                <w:lang w:val="en-US" w:eastAsia="zh-CN"/>
              </w:rPr>
              <w:t>0</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2、运行维护经费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5814.73　</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6615.11</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4145.99　</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3、省级专项资金（一个专项一行）</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3300.45　</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1603.5</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3300.45　</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rPr>
              <w:t>就业补助（职业培训补贴）</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167.2</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53.9</w:t>
            </w:r>
          </w:p>
        </w:tc>
      </w:tr>
      <w:tr>
        <w:trPr>
          <w:cantSplit/>
          <w:trHeight w:val="512"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rPr>
              <w:t>就业补助</w:t>
            </w:r>
            <w:r>
              <w:rPr>
                <w:rFonts w:hint="eastAsia" w:ascii="Times New Roman" w:hAnsi="Times New Roman" w:eastAsia="仿宋_GB2312" w:cs="Times New Roman"/>
                <w:b w:val="0"/>
                <w:bCs w:val="0"/>
                <w:kern w:val="0"/>
                <w:szCs w:val="21"/>
                <w:lang w:eastAsia="zh-CN"/>
              </w:rPr>
              <w:t>（</w:t>
            </w:r>
            <w:r>
              <w:rPr>
                <w:rFonts w:hint="eastAsia" w:ascii="Times New Roman" w:hAnsi="Times New Roman" w:eastAsia="仿宋_GB2312" w:cs="Times New Roman"/>
                <w:b w:val="0"/>
                <w:bCs w:val="0"/>
                <w:kern w:val="0"/>
                <w:szCs w:val="21"/>
                <w:lang w:val="en-US" w:eastAsia="zh-CN"/>
              </w:rPr>
              <w:t>第二届全国技工院校学生创业创新竞赛经费）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39.89</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53.9</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eastAsia="zh-CN"/>
              </w:rPr>
              <w:t>职业院校教师素质提高计划</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60.05</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53.32</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36.32</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eastAsia="zh-CN"/>
              </w:rPr>
              <w:t>“双一流”建设专项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1178.65</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1527.21</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984.27</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eastAsia="zh-CN"/>
              </w:rPr>
              <w:t>高校“十三五”基建补助</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36.23</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r>
      <w:tr>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eastAsia="zh-CN"/>
              </w:rPr>
              <w:t>高校“十四五”基建补助</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500</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700.00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eastAsia="zh-CN"/>
              </w:rPr>
              <w:t>学生公寓楼工程</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200.00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eastAsia="zh-CN"/>
              </w:rPr>
              <w:t>学生资助</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1275.31</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1438.10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1428.79</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val="en-US" w:eastAsia="zh-CN"/>
              </w:rPr>
              <w:t>校园招聘一次性补助</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24.71</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19.20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10.83</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rPr>
            </w:pPr>
            <w:r>
              <w:rPr>
                <w:rFonts w:hint="eastAsia" w:ascii="Times New Roman" w:hAnsi="Times New Roman" w:eastAsia="仿宋_GB2312" w:cs="Times New Roman"/>
                <w:b w:val="0"/>
                <w:bCs w:val="0"/>
                <w:kern w:val="0"/>
                <w:szCs w:val="21"/>
                <w:lang w:val="en-US" w:eastAsia="zh-CN"/>
              </w:rPr>
              <w:t>教育综合发展专项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18.15</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17.85</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3.86</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省社科基金课题</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0.26</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6.2</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2.07</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“三高四新”和立德树人专项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0</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30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12.97</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公用经费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4843.84</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5242.09</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5143.86</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其中：办公经费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117.8</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135</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130.17</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水费、电费、差旅费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716.21　</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770</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904.74</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          会议费、培训费</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66.1　</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59</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default" w:ascii="Times New Roman" w:hAnsi="Times New Roman" w:eastAsia="仿宋_GB2312" w:cs="Times New Roman"/>
                <w:b w:val="0"/>
                <w:bCs w:val="0"/>
                <w:kern w:val="0"/>
                <w:szCs w:val="21"/>
                <w:lang w:val="en-US" w:eastAsia="zh-CN"/>
              </w:rPr>
              <w:t>44.3</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政府采购金额</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2649.26</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1501</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Times New Roman" w:hAnsi="Times New Roman" w:eastAsia="仿宋_GB2312" w:cs="Times New Roman"/>
                <w:b w:val="0"/>
                <w:bCs w:val="0"/>
                <w:kern w:val="0"/>
                <w:szCs w:val="21"/>
                <w:lang w:val="en-US" w:eastAsia="zh-CN"/>
              </w:rPr>
            </w:pPr>
            <w:r>
              <w:rPr>
                <w:rFonts w:hint="eastAsia" w:ascii="Times New Roman" w:hAnsi="Times New Roman" w:eastAsia="仿宋_GB2312" w:cs="Times New Roman"/>
                <w:b w:val="0"/>
                <w:bCs w:val="0"/>
                <w:kern w:val="0"/>
                <w:szCs w:val="21"/>
                <w:lang w:val="en-US" w:eastAsia="zh-CN"/>
              </w:rPr>
              <w:t>2400.92</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xml:space="preserve">部门基本支出预算调整 </w:t>
            </w:r>
          </w:p>
        </w:tc>
        <w:tc>
          <w:tcPr>
            <w:tcW w:w="2134"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w:t>
            </w:r>
          </w:p>
        </w:tc>
        <w:tc>
          <w:tcPr>
            <w:tcW w:w="22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c>
          <w:tcPr>
            <w:tcW w:w="235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r>
      <w:tr>
        <w:tblPrEx>
          <w:tblCellMar>
            <w:top w:w="0" w:type="dxa"/>
            <w:left w:w="108" w:type="dxa"/>
            <w:bottom w:w="0" w:type="dxa"/>
            <w:right w:w="108" w:type="dxa"/>
          </w:tblCellMar>
        </w:tblPrEx>
        <w:trPr>
          <w:cantSplit/>
          <w:trHeight w:val="384" w:hRule="atLeast"/>
          <w:jc w:val="center"/>
        </w:trPr>
        <w:tc>
          <w:tcPr>
            <w:tcW w:w="32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s="Times New Roman"/>
                <w:b w:val="0"/>
                <w:bCs w:val="0"/>
                <w:kern w:val="0"/>
                <w:szCs w:val="21"/>
                <w:lang w:eastAsia="zh-CN"/>
              </w:rPr>
            </w:pPr>
            <w:r>
              <w:rPr>
                <w:rFonts w:ascii="Times New Roman" w:hAnsi="Times New Roman" w:eastAsia="仿宋_GB2312" w:cs="Times New Roman"/>
                <w:b w:val="0"/>
                <w:bCs w:val="0"/>
                <w:kern w:val="0"/>
                <w:szCs w:val="21"/>
              </w:rPr>
              <w:t>楼堂馆所控制情况</w:t>
            </w:r>
          </w:p>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w:t>
            </w:r>
            <w:r>
              <w:rPr>
                <w:rFonts w:hint="eastAsia" w:ascii="Times New Roman" w:hAnsi="Times New Roman" w:eastAsia="仿宋_GB2312" w:cs="Times New Roman"/>
                <w:b w:val="0"/>
                <w:bCs w:val="0"/>
                <w:kern w:val="0"/>
                <w:szCs w:val="21"/>
                <w:lang w:eastAsia="zh-CN"/>
              </w:rPr>
              <w:t>202</w:t>
            </w:r>
            <w:r>
              <w:rPr>
                <w:rFonts w:hint="eastAsia" w:eastAsia="仿宋_GB2312" w:cs="Times New Roman"/>
                <w:b w:val="0"/>
                <w:bCs w:val="0"/>
                <w:kern w:val="0"/>
                <w:szCs w:val="21"/>
                <w:lang w:val="en-US" w:eastAsia="zh-CN"/>
              </w:rPr>
              <w:t>2</w:t>
            </w:r>
            <w:r>
              <w:rPr>
                <w:rFonts w:ascii="Times New Roman" w:hAnsi="Times New Roman" w:eastAsia="仿宋_GB2312" w:cs="Times New Roman"/>
                <w:b w:val="0"/>
                <w:bCs w:val="0"/>
                <w:kern w:val="0"/>
                <w:szCs w:val="21"/>
              </w:rPr>
              <w:t>年完工项目）</w:t>
            </w:r>
          </w:p>
        </w:tc>
        <w:tc>
          <w:tcPr>
            <w:tcW w:w="106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Times New Roman" w:hAnsi="Times New Roman" w:eastAsia="仿宋_GB2312" w:cs="Times New Roman"/>
                <w:b w:val="0"/>
                <w:bCs w:val="0"/>
                <w:kern w:val="0"/>
                <w:szCs w:val="21"/>
                <w:lang w:eastAsia="zh-CN"/>
              </w:rPr>
            </w:pPr>
            <w:r>
              <w:rPr>
                <w:rFonts w:ascii="Times New Roman" w:hAnsi="Times New Roman" w:eastAsia="仿宋_GB2312" w:cs="Times New Roman"/>
                <w:b w:val="0"/>
                <w:bCs w:val="0"/>
                <w:kern w:val="0"/>
                <w:szCs w:val="21"/>
              </w:rPr>
              <w:t>批复规模</w:t>
            </w:r>
          </w:p>
          <w:p>
            <w:pPr>
              <w:widowControl/>
              <w:spacing w:line="240" w:lineRule="exact"/>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w:t>
            </w:r>
            <w:r>
              <w:rPr>
                <w:rFonts w:ascii="Times New Roman" w:hAnsi="Times New Roman" w:eastAsia="宋体" w:cs="Times New Roman"/>
                <w:b w:val="0"/>
                <w:bCs w:val="0"/>
                <w:kern w:val="0"/>
                <w:szCs w:val="21"/>
              </w:rPr>
              <w:t>㎡</w:t>
            </w:r>
            <w:r>
              <w:rPr>
                <w:rFonts w:ascii="Times New Roman" w:hAnsi="Times New Roman" w:eastAsia="仿宋_GB2312" w:cs="Times New Roman"/>
                <w:b w:val="0"/>
                <w:bCs w:val="0"/>
                <w:kern w:val="0"/>
                <w:szCs w:val="21"/>
              </w:rPr>
              <w:t>）</w:t>
            </w:r>
          </w:p>
        </w:tc>
        <w:tc>
          <w:tcPr>
            <w:tcW w:w="1068"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实际规模（</w:t>
            </w:r>
            <w:r>
              <w:rPr>
                <w:rFonts w:ascii="Times New Roman" w:hAnsi="Times New Roman" w:eastAsia="宋体" w:cs="Times New Roman"/>
                <w:b w:val="0"/>
                <w:bCs w:val="0"/>
                <w:kern w:val="0"/>
                <w:szCs w:val="21"/>
              </w:rPr>
              <w:t>㎡</w:t>
            </w:r>
            <w:r>
              <w:rPr>
                <w:rFonts w:ascii="Times New Roman" w:hAnsi="Times New Roman" w:eastAsia="仿宋_GB2312" w:cs="Times New Roman"/>
                <w:b w:val="0"/>
                <w:bCs w:val="0"/>
                <w:kern w:val="0"/>
                <w:szCs w:val="21"/>
              </w:rPr>
              <w:t>）</w:t>
            </w:r>
          </w:p>
        </w:tc>
        <w:tc>
          <w:tcPr>
            <w:tcW w:w="11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规模控制率</w:t>
            </w:r>
          </w:p>
        </w:tc>
        <w:tc>
          <w:tcPr>
            <w:tcW w:w="111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预算投资（万元）</w:t>
            </w:r>
          </w:p>
        </w:tc>
        <w:tc>
          <w:tcPr>
            <w:tcW w:w="113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实际投资（万元）</w:t>
            </w:r>
          </w:p>
        </w:tc>
        <w:tc>
          <w:tcPr>
            <w:tcW w:w="1218"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投资概算控制率</w:t>
            </w:r>
          </w:p>
        </w:tc>
      </w:tr>
      <w:tr>
        <w:tblPrEx>
          <w:tblCellMar>
            <w:top w:w="0" w:type="dxa"/>
            <w:left w:w="108" w:type="dxa"/>
            <w:bottom w:w="0" w:type="dxa"/>
            <w:right w:w="108" w:type="dxa"/>
          </w:tblCellMar>
        </w:tblPrEx>
        <w:trPr>
          <w:cantSplit/>
          <w:trHeight w:val="23" w:hRule="atLeast"/>
          <w:jc w:val="center"/>
        </w:trPr>
        <w:tc>
          <w:tcPr>
            <w:tcW w:w="325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b w:val="0"/>
                <w:bCs w:val="0"/>
                <w:kern w:val="0"/>
                <w:szCs w:val="21"/>
              </w:rPr>
            </w:pP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c>
          <w:tcPr>
            <w:tcW w:w="1068"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c>
          <w:tcPr>
            <w:tcW w:w="112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c>
          <w:tcPr>
            <w:tcW w:w="1111"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c>
          <w:tcPr>
            <w:tcW w:w="1135"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c>
          <w:tcPr>
            <w:tcW w:w="1218"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　</w:t>
            </w:r>
          </w:p>
        </w:tc>
      </w:tr>
      <w:tr>
        <w:tblPrEx>
          <w:tblCellMar>
            <w:top w:w="0" w:type="dxa"/>
            <w:left w:w="108" w:type="dxa"/>
            <w:bottom w:w="0" w:type="dxa"/>
            <w:right w:w="108" w:type="dxa"/>
          </w:tblCellMar>
        </w:tblPrEx>
        <w:trPr>
          <w:cantSplit/>
          <w:trHeight w:val="23" w:hRule="atLeast"/>
          <w:jc w:val="center"/>
        </w:trPr>
        <w:tc>
          <w:tcPr>
            <w:tcW w:w="325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val="0"/>
                <w:bCs w:val="0"/>
                <w:kern w:val="0"/>
                <w:szCs w:val="21"/>
              </w:rPr>
            </w:pPr>
            <w:r>
              <w:rPr>
                <w:rFonts w:ascii="Times New Roman" w:hAnsi="Times New Roman" w:eastAsia="仿宋_GB2312" w:cs="Times New Roman"/>
                <w:b w:val="0"/>
                <w:bCs w:val="0"/>
                <w:kern w:val="0"/>
                <w:szCs w:val="21"/>
              </w:rPr>
              <w:t>厉行节约保障措施</w:t>
            </w:r>
          </w:p>
        </w:tc>
        <w:tc>
          <w:tcPr>
            <w:tcW w:w="6727"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left"/>
              <w:rPr>
                <w:rFonts w:ascii="Times New Roman" w:hAnsi="Times New Roman" w:eastAsia="仿宋_GB2312" w:cs="Times New Roman"/>
                <w:b w:val="0"/>
                <w:bCs w:val="0"/>
                <w:kern w:val="0"/>
                <w:szCs w:val="21"/>
              </w:rPr>
            </w:pPr>
            <w:r>
              <w:rPr>
                <w:rFonts w:hint="eastAsia" w:ascii="仿宋_GB2312" w:hAnsi="宋体" w:eastAsia="仿宋_GB2312"/>
                <w:b w:val="0"/>
                <w:bCs w:val="0"/>
                <w:sz w:val="20"/>
              </w:rPr>
              <w:t>1.人员支出和“三公经费”归口管理；2.压缩预算标准；3.定点食堂招待</w:t>
            </w:r>
            <w:r>
              <w:rPr>
                <w:rFonts w:hint="eastAsia" w:ascii="仿宋_GB2312" w:hAnsi="宋体" w:eastAsia="仿宋_GB2312"/>
                <w:b w:val="0"/>
                <w:bCs w:val="0"/>
                <w:sz w:val="20"/>
                <w:lang w:eastAsia="zh-CN"/>
              </w:rPr>
              <w:t>；</w:t>
            </w:r>
            <w:r>
              <w:rPr>
                <w:rFonts w:hint="eastAsia" w:ascii="仿宋_GB2312" w:hAnsi="宋体" w:eastAsia="仿宋_GB2312"/>
                <w:b w:val="0"/>
                <w:bCs w:val="0"/>
                <w:sz w:val="20"/>
              </w:rPr>
              <w:t>4.严格预算执行，严控预算超支</w:t>
            </w:r>
            <w:r>
              <w:rPr>
                <w:rFonts w:ascii="Times New Roman" w:hAnsi="Times New Roman" w:eastAsia="仿宋_GB2312" w:cs="Times New Roman"/>
                <w:b w:val="0"/>
                <w:bCs w:val="0"/>
                <w:kern w:val="0"/>
                <w:szCs w:val="21"/>
              </w:rPr>
              <w:t>　</w:t>
            </w:r>
          </w:p>
        </w:tc>
      </w:tr>
    </w:tbl>
    <w:p>
      <w:pPr>
        <w:widowControl/>
        <w:jc w:val="left"/>
        <w:rPr>
          <w:rFonts w:ascii="Times New Roman" w:hAnsi="Times New Roman" w:eastAsia="仿宋_GB2312" w:cs="Times New Roman"/>
          <w:b w:val="0"/>
          <w:bCs w:val="0"/>
          <w:kern w:val="0"/>
          <w:sz w:val="22"/>
          <w:szCs w:val="24"/>
        </w:rPr>
      </w:pPr>
      <w:r>
        <w:rPr>
          <w:rFonts w:ascii="Times New Roman" w:hAnsi="Times New Roman" w:eastAsia="仿宋_GB2312" w:cs="Times New Roman"/>
          <w:b w:val="0"/>
          <w:bCs w:val="0"/>
          <w:kern w:val="0"/>
          <w:sz w:val="22"/>
          <w:szCs w:val="24"/>
        </w:rPr>
        <w:t>说明：“项目支出”需要填报基本支出以外的所有项目支出情况，“公用经费”填报基本支出中的一般商品和服务支出。</w:t>
      </w:r>
    </w:p>
    <w:p>
      <w:pPr>
        <w:widowControl/>
        <w:spacing w:beforeLines="50" w:afterLines="50"/>
        <w:jc w:val="left"/>
      </w:pPr>
      <w:r>
        <w:rPr>
          <w:rFonts w:ascii="Times New Roman" w:hAnsi="Times New Roman" w:eastAsia="仿宋_GB2312" w:cs="Times New Roman"/>
          <w:b w:val="0"/>
          <w:bCs w:val="0"/>
          <w:kern w:val="0"/>
          <w:sz w:val="22"/>
          <w:szCs w:val="24"/>
        </w:rPr>
        <w:t>填表人：</w:t>
      </w:r>
      <w:r>
        <w:rPr>
          <w:rFonts w:hint="eastAsia" w:ascii="Times New Roman" w:hAnsi="Times New Roman" w:eastAsia="仿宋_GB2312" w:cs="Times New Roman"/>
          <w:b w:val="0"/>
          <w:bCs w:val="0"/>
          <w:kern w:val="0"/>
          <w:sz w:val="22"/>
          <w:szCs w:val="24"/>
          <w:lang w:eastAsia="zh-CN"/>
        </w:rPr>
        <w:t>肖琳</w:t>
      </w:r>
      <w:r>
        <w:rPr>
          <w:rFonts w:hint="eastAsia" w:ascii="Times New Roman" w:hAnsi="Times New Roman" w:eastAsia="仿宋_GB2312" w:cs="Times New Roman"/>
          <w:b w:val="0"/>
          <w:bCs w:val="0"/>
          <w:kern w:val="0"/>
          <w:sz w:val="22"/>
          <w:szCs w:val="24"/>
          <w:lang w:val="en-US" w:eastAsia="zh-CN"/>
        </w:rPr>
        <w:t xml:space="preserve">  </w:t>
      </w:r>
      <w:r>
        <w:rPr>
          <w:rFonts w:ascii="Times New Roman" w:hAnsi="Times New Roman" w:eastAsia="仿宋_GB2312" w:cs="Times New Roman"/>
          <w:b w:val="0"/>
          <w:bCs w:val="0"/>
          <w:kern w:val="0"/>
          <w:sz w:val="22"/>
          <w:szCs w:val="24"/>
        </w:rPr>
        <w:t xml:space="preserve"> 填报日期：</w:t>
      </w:r>
      <w:r>
        <w:rPr>
          <w:rFonts w:hint="eastAsia" w:ascii="Times New Roman" w:hAnsi="Times New Roman" w:eastAsia="仿宋_GB2312" w:cs="Times New Roman"/>
          <w:b w:val="0"/>
          <w:bCs w:val="0"/>
          <w:kern w:val="0"/>
          <w:sz w:val="22"/>
          <w:szCs w:val="24"/>
        </w:rPr>
        <w:t>202</w:t>
      </w:r>
      <w:r>
        <w:rPr>
          <w:rFonts w:hint="eastAsia" w:ascii="Times New Roman" w:hAnsi="Times New Roman" w:eastAsia="仿宋_GB2312" w:cs="Times New Roman"/>
          <w:b w:val="0"/>
          <w:bCs w:val="0"/>
          <w:kern w:val="0"/>
          <w:sz w:val="22"/>
          <w:szCs w:val="24"/>
          <w:lang w:val="en-US" w:eastAsia="zh-CN"/>
        </w:rPr>
        <w:t>2</w:t>
      </w:r>
      <w:r>
        <w:rPr>
          <w:rFonts w:hint="eastAsia" w:ascii="Times New Roman" w:hAnsi="Times New Roman" w:eastAsia="仿宋_GB2312" w:cs="Times New Roman"/>
          <w:b w:val="0"/>
          <w:bCs w:val="0"/>
          <w:kern w:val="0"/>
          <w:sz w:val="22"/>
          <w:szCs w:val="24"/>
        </w:rPr>
        <w:t>.5.2</w:t>
      </w:r>
      <w:r>
        <w:rPr>
          <w:rFonts w:hint="eastAsia" w:eastAsia="仿宋_GB2312" w:cs="Times New Roman"/>
          <w:b w:val="0"/>
          <w:bCs w:val="0"/>
          <w:kern w:val="0"/>
          <w:sz w:val="22"/>
          <w:szCs w:val="24"/>
          <w:lang w:val="en-US" w:eastAsia="zh-CN"/>
        </w:rPr>
        <w:t>9</w:t>
      </w:r>
      <w:r>
        <w:rPr>
          <w:rFonts w:ascii="Times New Roman" w:hAnsi="Times New Roman" w:eastAsia="仿宋_GB2312" w:cs="Times New Roman"/>
          <w:b w:val="0"/>
          <w:bCs w:val="0"/>
          <w:kern w:val="0"/>
          <w:sz w:val="22"/>
          <w:szCs w:val="24"/>
        </w:rPr>
        <w:t xml:space="preserve">  联系电话：</w:t>
      </w:r>
      <w:r>
        <w:rPr>
          <w:rFonts w:hint="eastAsia" w:ascii="Times New Roman" w:hAnsi="Times New Roman" w:eastAsia="仿宋_GB2312" w:cs="Times New Roman"/>
          <w:b w:val="0"/>
          <w:bCs w:val="0"/>
          <w:kern w:val="0"/>
          <w:sz w:val="22"/>
          <w:szCs w:val="24"/>
          <w:lang w:val="en-US" w:eastAsia="zh-CN"/>
        </w:rPr>
        <w:t>85628022</w:t>
      </w:r>
      <w:r>
        <w:rPr>
          <w:rFonts w:ascii="Times New Roman" w:hAnsi="Times New Roman" w:eastAsia="仿宋_GB2312" w:cs="Times New Roman"/>
          <w:b w:val="0"/>
          <w:bCs w:val="0"/>
          <w:kern w:val="0"/>
          <w:sz w:val="22"/>
          <w:szCs w:val="24"/>
        </w:rPr>
        <w:t xml:space="preserve"> 单位负责人签字：</w:t>
      </w:r>
    </w:p>
    <w:p>
      <w:pPr>
        <w:widowControl/>
        <w:spacing w:afterLines="50"/>
        <w:jc w:val="left"/>
        <w:rPr>
          <w:rFonts w:hint="eastAsia" w:ascii="Times New Roman" w:hAnsi="Times New Roman" w:eastAsia="黑体" w:cs="Times New Roman"/>
          <w:b w:val="0"/>
          <w:bCs w:val="0"/>
          <w:sz w:val="32"/>
          <w:szCs w:val="32"/>
          <w:lang w:val="en-US" w:eastAsia="zh-CN"/>
        </w:rPr>
      </w:pPr>
      <w:r>
        <w:rPr>
          <w:rFonts w:ascii="Times New Roman" w:hAnsi="Times New Roman" w:eastAsia="黑体" w:cs="Times New Roman"/>
          <w:b w:val="0"/>
          <w:bCs w:val="0"/>
          <w:sz w:val="32"/>
          <w:szCs w:val="32"/>
        </w:rPr>
        <w:t>附件</w:t>
      </w:r>
      <w:r>
        <w:rPr>
          <w:rFonts w:hint="eastAsia" w:ascii="Times New Roman" w:hAnsi="Times New Roman" w:eastAsia="黑体" w:cs="Times New Roman"/>
          <w:b w:val="0"/>
          <w:bCs w:val="0"/>
          <w:sz w:val="32"/>
          <w:szCs w:val="32"/>
          <w:lang w:val="en-US" w:eastAsia="zh-CN"/>
        </w:rPr>
        <w:t>2</w:t>
      </w:r>
    </w:p>
    <w:p>
      <w:pPr>
        <w:widowControl/>
        <w:spacing w:afterLines="50"/>
        <w:jc w:val="center"/>
        <w:rPr>
          <w:rFonts w:ascii="Times New Roman" w:hAnsi="Times New Roman" w:eastAsia="方正小标宋_GBK" w:cs="Times New Roman"/>
          <w:b w:val="0"/>
          <w:bCs w:val="0"/>
          <w:color w:val="auto"/>
          <w:kern w:val="0"/>
          <w:sz w:val="36"/>
          <w:szCs w:val="36"/>
        </w:rPr>
      </w:pPr>
      <w:r>
        <w:rPr>
          <w:rFonts w:hint="eastAsia" w:ascii="Times New Roman" w:hAnsi="Times New Roman" w:eastAsia="方正小标宋_GBK" w:cs="Times New Roman"/>
          <w:b w:val="0"/>
          <w:bCs w:val="0"/>
          <w:color w:val="auto"/>
          <w:kern w:val="0"/>
          <w:sz w:val="36"/>
          <w:szCs w:val="36"/>
          <w:lang w:eastAsia="zh-CN"/>
        </w:rPr>
        <w:t>202</w:t>
      </w:r>
      <w:r>
        <w:rPr>
          <w:rFonts w:hint="eastAsia" w:eastAsia="方正小标宋_GBK" w:cs="Times New Roman"/>
          <w:b w:val="0"/>
          <w:bCs w:val="0"/>
          <w:color w:val="auto"/>
          <w:kern w:val="0"/>
          <w:sz w:val="36"/>
          <w:szCs w:val="36"/>
          <w:lang w:val="en-US" w:eastAsia="zh-CN"/>
        </w:rPr>
        <w:t>2</w:t>
      </w:r>
      <w:r>
        <w:rPr>
          <w:rFonts w:ascii="Times New Roman" w:hAnsi="Times New Roman" w:eastAsia="方正小标宋_GBK" w:cs="Times New Roman"/>
          <w:b w:val="0"/>
          <w:bCs w:val="0"/>
          <w:color w:val="auto"/>
          <w:kern w:val="0"/>
          <w:sz w:val="36"/>
          <w:szCs w:val="36"/>
        </w:rPr>
        <w:t>年度部门整体支出绩效自评表</w:t>
      </w:r>
    </w:p>
    <w:tbl>
      <w:tblPr>
        <w:tblStyle w:val="12"/>
        <w:tblW w:w="9993" w:type="dxa"/>
        <w:jc w:val="center"/>
        <w:tblLayout w:type="autofit"/>
        <w:tblCellMar>
          <w:top w:w="0" w:type="dxa"/>
          <w:left w:w="108" w:type="dxa"/>
          <w:bottom w:w="0" w:type="dxa"/>
          <w:right w:w="108" w:type="dxa"/>
        </w:tblCellMar>
      </w:tblPr>
      <w:tblGrid>
        <w:gridCol w:w="1080"/>
        <w:gridCol w:w="1080"/>
        <w:gridCol w:w="953"/>
        <w:gridCol w:w="1256"/>
        <w:gridCol w:w="95"/>
        <w:gridCol w:w="1200"/>
        <w:gridCol w:w="1645"/>
        <w:gridCol w:w="694"/>
        <w:gridCol w:w="881"/>
        <w:gridCol w:w="1109"/>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省级预算部门名称</w:t>
            </w:r>
          </w:p>
        </w:tc>
        <w:tc>
          <w:tcPr>
            <w:tcW w:w="8913" w:type="dxa"/>
            <w:gridSpan w:val="9"/>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eastAsia="zh-CN"/>
              </w:rPr>
            </w:pP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年度预</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eastAsia="zh-CN"/>
              </w:rPr>
            </w:pPr>
            <w:r>
              <w:rPr>
                <w:rFonts w:hint="eastAsia" w:ascii="方正仿宋_GB2312" w:hAnsi="方正仿宋_GB2312" w:eastAsia="方正仿宋_GB2312" w:cs="方正仿宋_GB2312"/>
                <w:b w:val="0"/>
                <w:bCs w:val="0"/>
                <w:color w:val="000000"/>
                <w:kern w:val="0"/>
                <w:sz w:val="21"/>
                <w:szCs w:val="21"/>
              </w:rPr>
              <w:t>算申请</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（万元）</w:t>
            </w:r>
          </w:p>
        </w:tc>
        <w:tc>
          <w:tcPr>
            <w:tcW w:w="2033" w:type="dxa"/>
            <w:gridSpan w:val="2"/>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p>
        </w:tc>
        <w:tc>
          <w:tcPr>
            <w:tcW w:w="1256"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年初</w:t>
            </w:r>
          </w:p>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预算数</w:t>
            </w:r>
          </w:p>
        </w:tc>
        <w:tc>
          <w:tcPr>
            <w:tcW w:w="1295" w:type="dxa"/>
            <w:gridSpan w:val="2"/>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全年预算数</w:t>
            </w:r>
          </w:p>
        </w:tc>
        <w:tc>
          <w:tcPr>
            <w:tcW w:w="1645"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全年执行数</w:t>
            </w:r>
          </w:p>
        </w:tc>
        <w:tc>
          <w:tcPr>
            <w:tcW w:w="694"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分值</w:t>
            </w:r>
          </w:p>
        </w:tc>
        <w:tc>
          <w:tcPr>
            <w:tcW w:w="881"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执行率</w:t>
            </w:r>
          </w:p>
        </w:tc>
        <w:tc>
          <w:tcPr>
            <w:tcW w:w="1109"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2033" w:type="dxa"/>
            <w:gridSpan w:val="2"/>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color w:val="000000"/>
                <w:kern w:val="0"/>
                <w:sz w:val="21"/>
                <w:szCs w:val="21"/>
              </w:rPr>
              <w:t>年度资金总额</w:t>
            </w:r>
          </w:p>
        </w:tc>
        <w:tc>
          <w:tcPr>
            <w:tcW w:w="1256" w:type="dxa"/>
            <w:tcBorders>
              <w:top w:val="nil"/>
              <w:left w:val="nil"/>
              <w:bottom w:val="single" w:color="auto" w:sz="4" w:space="0"/>
              <w:right w:val="single" w:color="auto" w:sz="4" w:space="0"/>
            </w:tcBorders>
            <w:shd w:val="clear" w:color="auto" w:fill="auto"/>
            <w:vAlign w:val="center"/>
          </w:tcPr>
          <w:p>
            <w:pPr>
              <w:spacing w:line="240" w:lineRule="exact"/>
              <w:jc w:val="center"/>
              <w:rPr>
                <w:rFonts w:hint="default"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23767.73</w:t>
            </w:r>
          </w:p>
        </w:tc>
        <w:tc>
          <w:tcPr>
            <w:tcW w:w="1295" w:type="dxa"/>
            <w:gridSpan w:val="2"/>
            <w:tcBorders>
              <w:top w:val="nil"/>
              <w:left w:val="nil"/>
              <w:bottom w:val="single" w:color="auto" w:sz="4" w:space="0"/>
              <w:right w:val="single" w:color="auto" w:sz="4" w:space="0"/>
            </w:tcBorders>
            <w:shd w:val="clear" w:color="auto" w:fill="auto"/>
            <w:vAlign w:val="center"/>
          </w:tcPr>
          <w:p>
            <w:pPr>
              <w:spacing w:line="240" w:lineRule="exact"/>
              <w:jc w:val="center"/>
              <w:rPr>
                <w:rFonts w:hint="default"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29638.84</w:t>
            </w:r>
          </w:p>
        </w:tc>
        <w:tc>
          <w:tcPr>
            <w:tcW w:w="1645" w:type="dxa"/>
            <w:tcBorders>
              <w:top w:val="nil"/>
              <w:left w:val="nil"/>
              <w:bottom w:val="single" w:color="auto" w:sz="4" w:space="0"/>
              <w:right w:val="single" w:color="auto" w:sz="4" w:space="0"/>
            </w:tcBorders>
            <w:shd w:val="clear" w:color="auto" w:fill="auto"/>
            <w:vAlign w:val="center"/>
          </w:tcPr>
          <w:p>
            <w:pPr>
              <w:spacing w:line="240" w:lineRule="exact"/>
              <w:jc w:val="center"/>
              <w:rPr>
                <w:rFonts w:hint="default"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26647.32</w:t>
            </w:r>
          </w:p>
        </w:tc>
        <w:tc>
          <w:tcPr>
            <w:tcW w:w="694"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rPr>
              <w:t>10分</w:t>
            </w:r>
          </w:p>
        </w:tc>
        <w:tc>
          <w:tcPr>
            <w:tcW w:w="881"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rPr>
            </w:pPr>
            <w:r>
              <w:rPr>
                <w:rFonts w:hint="eastAsia" w:ascii="方正仿宋_GB2312" w:hAnsi="方正仿宋_GB2312" w:eastAsia="方正仿宋_GB2312" w:cs="方正仿宋_GB2312"/>
                <w:b w:val="0"/>
                <w:bCs w:val="0"/>
                <w:sz w:val="21"/>
                <w:szCs w:val="21"/>
                <w:lang w:val="en-US" w:eastAsia="zh-CN"/>
              </w:rPr>
              <w:t>89.9</w:t>
            </w:r>
            <w:r>
              <w:rPr>
                <w:rFonts w:hint="eastAsia" w:ascii="方正仿宋_GB2312" w:hAnsi="方正仿宋_GB2312" w:eastAsia="方正仿宋_GB2312" w:cs="方正仿宋_GB2312"/>
                <w:b w:val="0"/>
                <w:bCs w:val="0"/>
                <w:sz w:val="21"/>
                <w:szCs w:val="21"/>
              </w:rPr>
              <w:t>%</w:t>
            </w:r>
          </w:p>
        </w:tc>
        <w:tc>
          <w:tcPr>
            <w:tcW w:w="1109"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sz w:val="21"/>
                <w:szCs w:val="21"/>
                <w:lang w:val="en-US" w:eastAsia="zh-CN"/>
              </w:rPr>
            </w:pPr>
            <w:r>
              <w:rPr>
                <w:rFonts w:hint="eastAsia" w:ascii="方正仿宋_GB2312" w:hAnsi="方正仿宋_GB2312" w:eastAsia="方正仿宋_GB2312" w:cs="方正仿宋_GB2312"/>
                <w:b w:val="0"/>
                <w:bCs w:val="0"/>
                <w:sz w:val="21"/>
                <w:szCs w:val="21"/>
                <w:lang w:val="en-US" w:eastAsia="zh-CN"/>
              </w:rPr>
              <w:t>8</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4584" w:type="dxa"/>
            <w:gridSpan w:val="5"/>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rPr>
              <w:t>按收入性质分：</w:t>
            </w:r>
          </w:p>
        </w:tc>
        <w:tc>
          <w:tcPr>
            <w:tcW w:w="4329" w:type="dxa"/>
            <w:gridSpan w:val="4"/>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rPr>
              <w:t>按支出性质分</w:t>
            </w:r>
            <w:r>
              <w:rPr>
                <w:rFonts w:hint="eastAsia" w:ascii="方正仿宋_GB2312" w:hAnsi="方正仿宋_GB2312" w:eastAsia="方正仿宋_GB2312" w:cs="方正仿宋_GB2312"/>
                <w:b w:val="0"/>
                <w:bCs w:val="0"/>
                <w:color w:val="000000"/>
                <w:kern w:val="0"/>
                <w:sz w:val="21"/>
                <w:szCs w:val="21"/>
                <w:lang w:eastAsia="zh-CN"/>
              </w:rPr>
              <w:t>：</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4584" w:type="dxa"/>
            <w:gridSpan w:val="5"/>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rPr>
              <w:t>其中：  一般公共预算：</w:t>
            </w:r>
            <w:r>
              <w:rPr>
                <w:rFonts w:hint="eastAsia" w:ascii="方正仿宋_GB2312" w:hAnsi="方正仿宋_GB2312" w:eastAsia="方正仿宋_GB2312" w:cs="方正仿宋_GB2312"/>
                <w:b w:val="0"/>
                <w:bCs w:val="0"/>
                <w:color w:val="000000"/>
                <w:kern w:val="0"/>
                <w:sz w:val="21"/>
                <w:szCs w:val="21"/>
                <w:lang w:val="en-US" w:eastAsia="zh-CN"/>
              </w:rPr>
              <w:t>18594.77</w:t>
            </w:r>
          </w:p>
        </w:tc>
        <w:tc>
          <w:tcPr>
            <w:tcW w:w="4329" w:type="dxa"/>
            <w:gridSpan w:val="4"/>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rPr>
              <w:t>其中：基本支出：</w:t>
            </w:r>
            <w:r>
              <w:rPr>
                <w:rFonts w:hint="eastAsia" w:ascii="方正仿宋_GB2312" w:hAnsi="方正仿宋_GB2312" w:eastAsia="方正仿宋_GB2312" w:cs="方正仿宋_GB2312"/>
                <w:b w:val="0"/>
                <w:bCs w:val="0"/>
                <w:color w:val="000000"/>
                <w:kern w:val="0"/>
                <w:sz w:val="21"/>
                <w:szCs w:val="21"/>
                <w:lang w:val="en-US" w:eastAsia="zh-CN"/>
              </w:rPr>
              <w:t>22068.66</w:t>
            </w:r>
          </w:p>
        </w:tc>
      </w:tr>
      <w:tr>
        <w:tblPrEx>
          <w:tblCellMar>
            <w:top w:w="0" w:type="dxa"/>
            <w:left w:w="108" w:type="dxa"/>
            <w:bottom w:w="0" w:type="dxa"/>
            <w:right w:w="108" w:type="dxa"/>
          </w:tblCellMar>
        </w:tblPrEx>
        <w:trPr>
          <w:trHeight w:val="262" w:hRule="atLeast"/>
          <w:jc w:val="center"/>
        </w:trPr>
        <w:tc>
          <w:tcPr>
            <w:tcW w:w="1080" w:type="dxa"/>
            <w:vMerge w:val="continue"/>
            <w:tcBorders>
              <w:left w:val="single" w:color="auto" w:sz="4" w:space="0"/>
              <w:right w:val="single" w:color="auto" w:sz="4" w:space="0"/>
            </w:tcBorders>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4584" w:type="dxa"/>
            <w:gridSpan w:val="5"/>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政府性基金拨款：</w:t>
            </w:r>
          </w:p>
        </w:tc>
        <w:tc>
          <w:tcPr>
            <w:tcW w:w="4329" w:type="dxa"/>
            <w:gridSpan w:val="4"/>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rPr>
              <w:t>项目支出：</w:t>
            </w:r>
            <w:r>
              <w:rPr>
                <w:rFonts w:hint="eastAsia" w:ascii="方正仿宋_GB2312" w:hAnsi="方正仿宋_GB2312" w:eastAsia="方正仿宋_GB2312" w:cs="方正仿宋_GB2312"/>
                <w:b w:val="0"/>
                <w:bCs w:val="0"/>
                <w:color w:val="000000"/>
                <w:kern w:val="0"/>
                <w:sz w:val="21"/>
                <w:szCs w:val="21"/>
                <w:lang w:val="en-US" w:eastAsia="zh-CN"/>
              </w:rPr>
              <w:t>4145.99</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4584" w:type="dxa"/>
            <w:gridSpan w:val="5"/>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rPr>
              <w:t>纳入专户管理的非税收入拨款：</w:t>
            </w:r>
            <w:r>
              <w:rPr>
                <w:rFonts w:hint="eastAsia" w:ascii="方正仿宋_GB2312" w:hAnsi="方正仿宋_GB2312" w:eastAsia="方正仿宋_GB2312" w:cs="方正仿宋_GB2312"/>
                <w:b w:val="0"/>
                <w:bCs w:val="0"/>
                <w:color w:val="000000"/>
                <w:kern w:val="0"/>
                <w:sz w:val="21"/>
                <w:szCs w:val="21"/>
                <w:lang w:val="en-US" w:eastAsia="zh-CN"/>
              </w:rPr>
              <w:t>8010.62</w:t>
            </w:r>
          </w:p>
        </w:tc>
        <w:tc>
          <w:tcPr>
            <w:tcW w:w="4329" w:type="dxa"/>
            <w:gridSpan w:val="4"/>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lang w:eastAsia="zh-CN"/>
              </w:rPr>
              <w:t>经营支出：</w:t>
            </w:r>
            <w:r>
              <w:rPr>
                <w:rFonts w:hint="eastAsia" w:ascii="方正仿宋_GB2312" w:hAnsi="方正仿宋_GB2312" w:eastAsia="方正仿宋_GB2312" w:cs="方正仿宋_GB2312"/>
                <w:b w:val="0"/>
                <w:bCs w:val="0"/>
                <w:color w:val="000000"/>
                <w:kern w:val="0"/>
                <w:sz w:val="21"/>
                <w:szCs w:val="21"/>
                <w:lang w:val="en-US" w:eastAsia="zh-CN"/>
              </w:rPr>
              <w:t>432.67</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000000" w:sz="4" w:space="0"/>
              <w:right w:val="single" w:color="auto" w:sz="4" w:space="0"/>
            </w:tcBorders>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4584" w:type="dxa"/>
            <w:gridSpan w:val="5"/>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b w:val="0"/>
                <w:bCs w:val="0"/>
                <w:color w:val="000000"/>
                <w:kern w:val="0"/>
                <w:sz w:val="21"/>
                <w:szCs w:val="21"/>
                <w:lang w:val="en-US" w:eastAsia="zh-CN"/>
              </w:rPr>
            </w:pPr>
            <w:r>
              <w:rPr>
                <w:rFonts w:hint="eastAsia" w:ascii="方正仿宋_GB2312" w:hAnsi="方正仿宋_GB2312" w:eastAsia="方正仿宋_GB2312" w:cs="方正仿宋_GB2312"/>
                <w:b w:val="0"/>
                <w:bCs w:val="0"/>
                <w:color w:val="000000"/>
                <w:kern w:val="0"/>
                <w:sz w:val="21"/>
                <w:szCs w:val="21"/>
              </w:rPr>
              <w:t>其他资金：</w:t>
            </w:r>
            <w:r>
              <w:rPr>
                <w:rFonts w:hint="eastAsia" w:ascii="方正仿宋_GB2312" w:hAnsi="方正仿宋_GB2312" w:eastAsia="方正仿宋_GB2312" w:cs="方正仿宋_GB2312"/>
                <w:b w:val="0"/>
                <w:bCs w:val="0"/>
                <w:color w:val="000000"/>
                <w:kern w:val="0"/>
                <w:sz w:val="21"/>
                <w:szCs w:val="21"/>
                <w:lang w:val="en-US" w:eastAsia="zh-CN"/>
              </w:rPr>
              <w:t>1816.64</w:t>
            </w:r>
          </w:p>
        </w:tc>
        <w:tc>
          <w:tcPr>
            <w:tcW w:w="4329" w:type="dxa"/>
            <w:gridSpan w:val="4"/>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年度总体目标</w:t>
            </w:r>
          </w:p>
        </w:tc>
        <w:tc>
          <w:tcPr>
            <w:tcW w:w="4584" w:type="dxa"/>
            <w:gridSpan w:val="5"/>
            <w:tcBorders>
              <w:top w:val="single" w:color="auto" w:sz="4" w:space="0"/>
              <w:left w:val="nil"/>
              <w:bottom w:val="single" w:color="auto" w:sz="4" w:space="0"/>
              <w:right w:val="single" w:color="000000"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预期目标</w:t>
            </w:r>
          </w:p>
        </w:tc>
        <w:tc>
          <w:tcPr>
            <w:tcW w:w="4329"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实际完成情况</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4584" w:type="dxa"/>
            <w:gridSpan w:val="5"/>
            <w:tcBorders>
              <w:top w:val="single" w:color="auto" w:sz="4" w:space="0"/>
              <w:left w:val="nil"/>
              <w:bottom w:val="single" w:color="auto" w:sz="4" w:space="0"/>
              <w:right w:val="single" w:color="000000"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color w:val="auto"/>
                <w:kern w:val="0"/>
                <w:sz w:val="21"/>
                <w:szCs w:val="21"/>
                <w:highlight w:val="none"/>
              </w:rPr>
              <w:t>提高企业管理水平和市场竞争力，改善学校办学条件。</w:t>
            </w:r>
          </w:p>
        </w:tc>
        <w:tc>
          <w:tcPr>
            <w:tcW w:w="4329"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color w:val="000000"/>
                <w:sz w:val="21"/>
                <w:szCs w:val="21"/>
                <w:lang w:val="en-US" w:eastAsia="zh-CN"/>
              </w:rPr>
              <w:t>总体绩效目标和绩效指标完成较好，是全部门团结进取、砥砺奋进，以习近平新时代中国特色社会主义思想为指导，贯彻落实党的二十大精神和习近平总书记关于职业教育的重要指示批示精神，准确把握职业教育高质量发展新机遇，以“闯”的精神、“创”的劲头、“干”的作风，踔厉奋发、笃行不怠，全年目标任务圆满完成，“十四五”事业发展迈出新步伐。</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绩</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效</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指</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标</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一级指标</w:t>
            </w:r>
          </w:p>
        </w:tc>
        <w:tc>
          <w:tcPr>
            <w:tcW w:w="953"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二级指标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三级指标</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年度</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指标值</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实际完成值</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分值</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得分</w:t>
            </w:r>
          </w:p>
        </w:tc>
        <w:tc>
          <w:tcPr>
            <w:tcW w:w="110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偏差原因</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分析及</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r>
              <w:rPr>
                <w:rFonts w:hint="eastAsia" w:ascii="方正仿宋_GB2312" w:hAnsi="方正仿宋_GB2312" w:eastAsia="方正仿宋_GB2312" w:cs="方正仿宋_GB2312"/>
                <w:b w:val="0"/>
                <w:bCs w:val="0"/>
                <w:color w:val="000000"/>
                <w:kern w:val="0"/>
                <w:sz w:val="21"/>
                <w:szCs w:val="21"/>
              </w:rPr>
              <w:t>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restart"/>
            <w:tcBorders>
              <w:top w:val="nil"/>
              <w:left w:val="nil"/>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highlight w:val="none"/>
              </w:rPr>
            </w:pPr>
            <w:r>
              <w:rPr>
                <w:rFonts w:hint="eastAsia" w:ascii="方正仿宋_GB2312" w:hAnsi="方正仿宋_GB2312" w:eastAsia="方正仿宋_GB2312" w:cs="方正仿宋_GB2312"/>
                <w:b w:val="0"/>
                <w:bCs w:val="0"/>
                <w:color w:val="000000"/>
                <w:kern w:val="0"/>
                <w:sz w:val="21"/>
                <w:szCs w:val="21"/>
                <w:highlight w:val="none"/>
              </w:rPr>
              <w:t>产出指标</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highlight w:val="none"/>
              </w:rPr>
            </w:pP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highlight w:val="none"/>
              </w:rPr>
            </w:pPr>
            <w:r>
              <w:rPr>
                <w:rFonts w:hint="eastAsia" w:ascii="方正仿宋_GB2312" w:hAnsi="方正仿宋_GB2312" w:eastAsia="方正仿宋_GB2312" w:cs="方正仿宋_GB2312"/>
                <w:b w:val="0"/>
                <w:bCs w:val="0"/>
                <w:color w:val="000000"/>
                <w:kern w:val="0"/>
                <w:sz w:val="21"/>
                <w:szCs w:val="21"/>
                <w:highlight w:val="none"/>
              </w:rPr>
              <w:t>(50分)</w:t>
            </w:r>
          </w:p>
        </w:tc>
        <w:tc>
          <w:tcPr>
            <w:tcW w:w="953" w:type="dxa"/>
            <w:vMerge w:val="restart"/>
            <w:tcBorders>
              <w:top w:val="nil"/>
              <w:left w:val="nil"/>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highlight w:val="none"/>
              </w:rPr>
            </w:pPr>
            <w:r>
              <w:rPr>
                <w:rFonts w:hint="eastAsia" w:ascii="方正仿宋_GB2312" w:hAnsi="方正仿宋_GB2312" w:eastAsia="方正仿宋_GB2312" w:cs="方正仿宋_GB2312"/>
                <w:b w:val="0"/>
                <w:bCs w:val="0"/>
                <w:color w:val="000000"/>
                <w:kern w:val="0"/>
                <w:sz w:val="21"/>
                <w:szCs w:val="21"/>
                <w:highlight w:val="none"/>
              </w:rPr>
              <w:t>数量指标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年度招收新生4000人</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年度招收新生5000人</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技校年度招收注册新生1173人、职院4591年招生录取3854人，合计招收新生5764人，完成比例115%</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highlight w:val="none"/>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continue"/>
            <w:tcBorders>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953" w:type="dxa"/>
            <w:vMerge w:val="continue"/>
            <w:tcBorders>
              <w:left w:val="nil"/>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通过预算执行，保障在校职工、退休人员工资及社会保险缴费成本正常发放和正常运转</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年初基本支出预算23767.73万元</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年度基本支出决算26647.32万元</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continue"/>
            <w:tcBorders>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953" w:type="dxa"/>
            <w:vMerge w:val="continue"/>
            <w:tcBorders>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b w:val="0"/>
                <w:bCs w:val="0"/>
                <w:color w:val="000000"/>
                <w:kern w:val="0"/>
                <w:sz w:val="21"/>
                <w:szCs w:val="21"/>
                <w:lang w:val="en-US" w:eastAsia="zh-CN" w:bidi="ar-SA"/>
              </w:rPr>
            </w:pPr>
            <w:r>
              <w:rPr>
                <w:rFonts w:hint="default" w:ascii="Times New Roman" w:hAnsi="Times New Roman" w:eastAsia="仿宋_GB2312" w:cs="Times New Roman"/>
                <w:color w:val="000000"/>
                <w:sz w:val="20"/>
                <w:szCs w:val="20"/>
                <w:lang w:val="en-US" w:eastAsia="zh-CN"/>
              </w:rPr>
              <w:t>创新服务品牌，加快增值赋能</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2"/>
                <w:sz w:val="21"/>
                <w:szCs w:val="21"/>
                <w:lang w:val="en-US" w:eastAsia="zh-CN" w:bidi="ar-SA"/>
              </w:rPr>
            </w:pPr>
            <w:r>
              <w:rPr>
                <w:rFonts w:hint="default" w:ascii="Times New Roman" w:hAnsi="Times New Roman" w:eastAsia="仿宋_GB2312" w:cs="Times New Roman"/>
                <w:color w:val="000000"/>
                <w:sz w:val="20"/>
                <w:szCs w:val="20"/>
              </w:rPr>
              <w:t>　</w:t>
            </w:r>
            <w:r>
              <w:rPr>
                <w:rFonts w:hint="default" w:ascii="Times New Roman" w:hAnsi="Times New Roman" w:eastAsia="仿宋_GB2312" w:cs="Times New Roman"/>
                <w:color w:val="000000"/>
                <w:sz w:val="20"/>
                <w:szCs w:val="20"/>
                <w:lang w:val="en-US" w:eastAsia="zh-CN"/>
              </w:rPr>
              <w:t>科研工作持续创新</w:t>
            </w:r>
            <w:r>
              <w:rPr>
                <w:rFonts w:hint="eastAsia" w:ascii="Times New Roman" w:hAnsi="Times New Roman" w:eastAsia="仿宋_GB2312" w:cs="Times New Roman"/>
                <w:color w:val="000000"/>
                <w:sz w:val="20"/>
                <w:szCs w:val="20"/>
                <w:lang w:val="en-US" w:eastAsia="zh-CN"/>
              </w:rPr>
              <w:t>；</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2"/>
                <w:sz w:val="21"/>
                <w:szCs w:val="21"/>
                <w:lang w:val="en-US" w:eastAsia="zh-CN" w:bidi="ar-SA"/>
              </w:rPr>
            </w:pPr>
            <w:r>
              <w:rPr>
                <w:rFonts w:hint="default" w:ascii="Times New Roman" w:hAnsi="Times New Roman" w:eastAsia="仿宋_GB2312" w:cs="Times New Roman"/>
                <w:color w:val="000000"/>
                <w:sz w:val="20"/>
                <w:szCs w:val="20"/>
              </w:rPr>
              <w:t>　</w:t>
            </w:r>
            <w:r>
              <w:rPr>
                <w:rFonts w:hint="default" w:ascii="Times New Roman" w:hAnsi="Times New Roman" w:eastAsia="仿宋_GB2312" w:cs="Times New Roman"/>
                <w:color w:val="000000"/>
                <w:sz w:val="20"/>
                <w:szCs w:val="20"/>
                <w:lang w:val="en-US" w:eastAsia="zh-CN"/>
              </w:rPr>
              <w:t>全年立项38项市厅级及以上课题，其中教育部项目3项、省级项目17项，在“中国高职院校与社会服务竞争力”评价中，我院“科研与社会服务竞争力”排名全国第199位、湖南第14位，“课题竞争力”排名全国第67位、湖南第4位，稳居全省高职院校前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default" w:ascii="方正仿宋_GB2312" w:hAnsi="方正仿宋_GB2312" w:eastAsia="方正仿宋_GB2312" w:cs="方正仿宋_GB2312"/>
                <w:color w:val="000000"/>
                <w:kern w:val="2"/>
                <w:sz w:val="21"/>
                <w:szCs w:val="21"/>
                <w:lang w:val="en-US" w:eastAsia="zh-CN" w:bidi="ar-SA"/>
              </w:rPr>
            </w:pPr>
            <w:r>
              <w:rPr>
                <w:rFonts w:hint="eastAsia" w:ascii="Times New Roman" w:hAnsi="Times New Roman" w:eastAsia="仿宋_GB2312" w:cs="Times New Roman"/>
                <w:color w:val="000000"/>
                <w:sz w:val="20"/>
                <w:szCs w:val="20"/>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continue"/>
            <w:tcBorders>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eastAsia="zh-CN"/>
              </w:rPr>
            </w:pPr>
            <w:r>
              <w:rPr>
                <w:rFonts w:hint="eastAsia" w:ascii="方正仿宋_GB2312" w:hAnsi="方正仿宋_GB2312" w:eastAsia="方正仿宋_GB2312" w:cs="方正仿宋_GB2312"/>
                <w:b w:val="0"/>
                <w:bCs w:val="0"/>
                <w:color w:val="000000"/>
                <w:kern w:val="0"/>
                <w:sz w:val="21"/>
                <w:szCs w:val="21"/>
                <w:lang w:eastAsia="zh-CN"/>
              </w:rPr>
              <w:t>质量指标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毕业生平均就业率保持在90％以上</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毕业生平均就业率保持在90％以上</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毕业生平均就业率保持在93％以上</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continue"/>
            <w:tcBorders>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highlight w:val="none"/>
              </w:rPr>
            </w:pP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highlight w:val="none"/>
                <w:lang w:eastAsia="zh-CN"/>
              </w:rPr>
            </w:pPr>
            <w:r>
              <w:rPr>
                <w:rFonts w:hint="eastAsia" w:ascii="方正仿宋_GB2312" w:hAnsi="方正仿宋_GB2312" w:eastAsia="方正仿宋_GB2312" w:cs="方正仿宋_GB2312"/>
                <w:b w:val="0"/>
                <w:bCs w:val="0"/>
                <w:color w:val="000000"/>
                <w:kern w:val="0"/>
                <w:sz w:val="21"/>
                <w:szCs w:val="21"/>
              </w:rPr>
              <w:t>时效指标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完成初中起点三年制、高中起点五年制学制教学目标，学生毕业成绩合格率90%</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　完成教学目标，学生毕业成绩合格率90%</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　完成初中起点三年制、高中起点五年制学制教学目标，学生毕业成绩合格率86.02%</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9</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highlight w:val="none"/>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restart"/>
            <w:tcBorders>
              <w:top w:val="single" w:color="auto" w:sz="4" w:space="0"/>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sz w:val="21"/>
                <w:szCs w:val="21"/>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p>
          <w:p>
            <w:pPr>
              <w:bidi w:val="0"/>
              <w:jc w:val="center"/>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效益指标（40分）</w:t>
            </w:r>
          </w:p>
        </w:tc>
        <w:tc>
          <w:tcPr>
            <w:tcW w:w="953"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eastAsia="zh-CN"/>
              </w:rPr>
            </w:pPr>
            <w:r>
              <w:rPr>
                <w:rFonts w:hint="eastAsia" w:ascii="方正仿宋_GB2312" w:hAnsi="方正仿宋_GB2312" w:eastAsia="方正仿宋_GB2312" w:cs="方正仿宋_GB2312"/>
                <w:b w:val="0"/>
                <w:bCs w:val="0"/>
                <w:color w:val="000000"/>
                <w:kern w:val="0"/>
                <w:sz w:val="21"/>
                <w:szCs w:val="21"/>
                <w:lang w:eastAsia="zh-CN"/>
              </w:rPr>
              <w:t>经济效益指标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财务一体化系统、资金系统正常运转，为财务管理增效</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财务系统达到预期的经济效益</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九恒星资金系统和NC系统运维正常，取得了预期的经理效益，提高了工作效率。</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continue"/>
            <w:tcBorders>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953" w:type="dxa"/>
            <w:tcBorders>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eastAsia="zh-CN"/>
              </w:rPr>
            </w:pPr>
            <w:r>
              <w:rPr>
                <w:rFonts w:hint="eastAsia" w:ascii="方正仿宋_GB2312" w:hAnsi="方正仿宋_GB2312" w:eastAsia="方正仿宋_GB2312" w:cs="方正仿宋_GB2312"/>
                <w:b w:val="0"/>
                <w:bCs w:val="0"/>
                <w:color w:val="000000"/>
                <w:kern w:val="0"/>
                <w:sz w:val="21"/>
                <w:szCs w:val="21"/>
                <w:lang w:eastAsia="zh-CN"/>
              </w:rPr>
              <w:t>社会效益指标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default" w:ascii="方正仿宋_GB2312" w:hAnsi="方正仿宋_GB2312" w:eastAsia="方正仿宋_GB2312" w:cs="方正仿宋_GB2312"/>
                <w:color w:val="000000"/>
                <w:sz w:val="21"/>
                <w:szCs w:val="21"/>
                <w:lang w:val="en-US" w:eastAsia="zh-CN"/>
              </w:rPr>
              <w:t>创新服务品牌，加快增值赋能</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default" w:ascii="方正仿宋_GB2312" w:hAnsi="方正仿宋_GB2312" w:eastAsia="方正仿宋_GB2312" w:cs="方正仿宋_GB2312"/>
                <w:color w:val="000000"/>
                <w:sz w:val="21"/>
                <w:szCs w:val="21"/>
                <w:lang w:val="en-US" w:eastAsia="zh-CN"/>
              </w:rPr>
              <w:t>　社会服务开拓创新</w:t>
            </w:r>
            <w:r>
              <w:rPr>
                <w:rFonts w:hint="eastAsia" w:ascii="方正仿宋_GB2312" w:hAnsi="方正仿宋_GB2312" w:eastAsia="方正仿宋_GB2312" w:cs="方正仿宋_GB2312"/>
                <w:color w:val="000000"/>
                <w:sz w:val="21"/>
                <w:szCs w:val="21"/>
                <w:lang w:val="en-US" w:eastAsia="zh-CN"/>
              </w:rPr>
              <w:t>；继续教育改革创新</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sz w:val="21"/>
                <w:szCs w:val="21"/>
                <w:lang w:val="en-US" w:eastAsia="zh-CN"/>
              </w:rPr>
            </w:pPr>
            <w:r>
              <w:rPr>
                <w:rFonts w:hint="default" w:ascii="方正仿宋_GB2312" w:hAnsi="方正仿宋_GB2312" w:eastAsia="方正仿宋_GB2312" w:cs="方正仿宋_GB2312"/>
                <w:color w:val="000000"/>
                <w:sz w:val="21"/>
                <w:szCs w:val="21"/>
                <w:lang w:val="en-US" w:eastAsia="zh-CN"/>
              </w:rPr>
              <w:t>大力推动实施乡村振兴“1345”工程，面向稠清村消费帮扶40余万元</w:t>
            </w:r>
            <w:r>
              <w:rPr>
                <w:rFonts w:hint="eastAsia" w:ascii="方正仿宋_GB2312" w:hAnsi="方正仿宋_GB2312" w:eastAsia="方正仿宋_GB2312" w:cs="方正仿宋_GB2312"/>
                <w:color w:val="000000"/>
                <w:sz w:val="21"/>
                <w:szCs w:val="21"/>
                <w:lang w:val="en-US" w:eastAsia="zh-CN"/>
              </w:rPr>
              <w:t>；组织师生开展规划设计服务，获评首届湖南省乡村振兴青年先锋集体、湖南省村庄规划综合服务工作先进单位；完成建设领域施工现场专业人员16个项目培训2万余人次，开展3期省住建厅“乡村建设工匠师资班”培训360人，全年招收学历继续教育学生965人</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continue"/>
            <w:tcBorders>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953" w:type="dxa"/>
            <w:tcBorders>
              <w:left w:val="nil"/>
              <w:bottom w:val="single" w:color="auto" w:sz="4" w:space="0"/>
              <w:right w:val="single" w:color="auto" w:sz="4" w:space="0"/>
            </w:tcBorders>
            <w:shd w:val="clear" w:color="auto" w:fill="auto"/>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eastAsia="zh-CN"/>
              </w:rPr>
            </w:pPr>
            <w:r>
              <w:rPr>
                <w:rFonts w:hint="default" w:ascii="Times New Roman" w:hAnsi="Times New Roman" w:eastAsia="仿宋_GB2312" w:cs="Times New Roman"/>
                <w:color w:val="000000"/>
                <w:sz w:val="20"/>
                <w:szCs w:val="20"/>
              </w:rPr>
              <w:t>益指标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default" w:ascii="方正仿宋_GB2312" w:hAnsi="方正仿宋_GB2312" w:eastAsia="方正仿宋_GB2312" w:cs="方正仿宋_GB2312"/>
                <w:color w:val="000000"/>
                <w:sz w:val="21"/>
                <w:szCs w:val="21"/>
                <w:lang w:val="en-US" w:eastAsia="zh-CN"/>
              </w:rPr>
              <w:t>优化校园环境</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default" w:ascii="方正仿宋_GB2312" w:hAnsi="方正仿宋_GB2312" w:eastAsia="方正仿宋_GB2312" w:cs="方正仿宋_GB2312"/>
                <w:color w:val="000000"/>
                <w:sz w:val="21"/>
                <w:szCs w:val="21"/>
                <w:lang w:val="en-US" w:eastAsia="zh-CN"/>
              </w:rPr>
              <w:t>　美丽校园稳步推进</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default" w:ascii="方正仿宋_GB2312" w:hAnsi="方正仿宋_GB2312" w:eastAsia="方正仿宋_GB2312" w:cs="方正仿宋_GB2312"/>
                <w:color w:val="000000"/>
                <w:sz w:val="21"/>
                <w:szCs w:val="21"/>
                <w:lang w:val="en-US" w:eastAsia="zh-CN"/>
              </w:rPr>
              <w:t>湖南月意生态工程集团有限公司捐资300余万元建设北山公园，完成高新运动场翻新改造</w:t>
            </w:r>
            <w:r>
              <w:rPr>
                <w:rFonts w:hint="eastAsia" w:ascii="方正仿宋_GB2312" w:hAnsi="方正仿宋_GB2312" w:eastAsia="方正仿宋_GB2312" w:cs="方正仿宋_GB2312"/>
                <w:color w:val="000000"/>
                <w:sz w:val="21"/>
                <w:szCs w:val="21"/>
                <w:lang w:val="en-US" w:eastAsia="zh-CN"/>
              </w:rPr>
              <w:t>；</w:t>
            </w:r>
            <w:r>
              <w:rPr>
                <w:rFonts w:hint="default" w:ascii="方正仿宋_GB2312" w:hAnsi="方正仿宋_GB2312" w:eastAsia="方正仿宋_GB2312" w:cs="方正仿宋_GB2312"/>
                <w:color w:val="000000"/>
                <w:sz w:val="21"/>
                <w:szCs w:val="21"/>
                <w:lang w:val="en-US" w:eastAsia="zh-CN"/>
              </w:rPr>
              <w:t>立项湖南省“绿色校园”获评湖南省“节水型高校</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both"/>
              <w:rPr>
                <w:rFonts w:hint="default"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default"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trHeight w:val="270" w:hRule="atLeast"/>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vMerge w:val="continue"/>
            <w:tcBorders>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000000"/>
                <w:kern w:val="0"/>
                <w:sz w:val="21"/>
                <w:szCs w:val="21"/>
                <w:lang w:eastAsia="zh-CN"/>
              </w:rPr>
            </w:pPr>
            <w:r>
              <w:rPr>
                <w:rFonts w:hint="eastAsia" w:ascii="方正仿宋_GB2312" w:hAnsi="方正仿宋_GB2312" w:eastAsia="方正仿宋_GB2312" w:cs="方正仿宋_GB2312"/>
                <w:b w:val="0"/>
                <w:bCs w:val="0"/>
                <w:color w:val="000000"/>
                <w:kern w:val="0"/>
                <w:sz w:val="21"/>
                <w:szCs w:val="21"/>
                <w:lang w:eastAsia="zh-CN"/>
              </w:rPr>
              <w:t>可持续影响指标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师生参加行业、省市、国家级各类竞赛的获奖（人次）</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100人次</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137人次</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rPr>
            </w:pPr>
          </w:p>
        </w:tc>
      </w:tr>
      <w:tr>
        <w:tblPrEx>
          <w:tblCellMar>
            <w:top w:w="0" w:type="dxa"/>
            <w:left w:w="108" w:type="dxa"/>
            <w:bottom w:w="0" w:type="dxa"/>
            <w:right w:w="108" w:type="dxa"/>
          </w:tblCellMar>
        </w:tblPrEx>
        <w:trPr>
          <w:trHeight w:val="270" w:hRule="atLeast"/>
          <w:jc w:val="center"/>
        </w:trPr>
        <w:tc>
          <w:tcPr>
            <w:tcW w:w="1080" w:type="dxa"/>
            <w:vMerge w:val="continue"/>
            <w:tcBorders>
              <w:left w:val="single" w:color="auto" w:sz="4" w:space="0"/>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b w:val="0"/>
                <w:bCs w:val="0"/>
                <w:color w:val="000000"/>
                <w:kern w:val="0"/>
                <w:sz w:val="21"/>
                <w:szCs w:val="21"/>
              </w:rPr>
            </w:pPr>
          </w:p>
        </w:tc>
        <w:tc>
          <w:tcPr>
            <w:tcW w:w="1080" w:type="dxa"/>
            <w:tcBorders>
              <w:top w:val="single" w:color="auto" w:sz="4" w:space="0"/>
              <w:left w:val="nil"/>
              <w:right w:val="single" w:color="auto" w:sz="4" w:space="0"/>
            </w:tcBorders>
            <w:shd w:val="clear" w:color="auto" w:fill="auto"/>
            <w:vAlign w:val="center"/>
          </w:tcPr>
          <w:p>
            <w:pPr>
              <w:spacing w:line="240" w:lineRule="exact"/>
              <w:jc w:val="center"/>
              <w:rPr>
                <w:rFonts w:hint="eastAsia" w:ascii="方正仿宋_GB2312" w:hAnsi="方正仿宋_GB2312" w:eastAsia="方正仿宋_GB2312" w:cs="方正仿宋_GB2312"/>
                <w:sz w:val="21"/>
                <w:szCs w:val="21"/>
                <w:highlight w:val="none"/>
              </w:rPr>
            </w:pPr>
          </w:p>
          <w:p>
            <w:pPr>
              <w:bidi w:val="0"/>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kern w:val="2"/>
                <w:sz w:val="21"/>
                <w:szCs w:val="21"/>
                <w:highlight w:val="none"/>
                <w:lang w:val="en-US" w:eastAsia="zh-CN" w:bidi="ar-SA"/>
              </w:rPr>
              <w:t>满意度指标（10分）</w:t>
            </w:r>
          </w:p>
        </w:tc>
        <w:tc>
          <w:tcPr>
            <w:tcW w:w="953" w:type="dxa"/>
            <w:tcBorders>
              <w:top w:val="single" w:color="auto" w:sz="4" w:space="0"/>
              <w:left w:val="nil"/>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服务对象满意度指标</w:t>
            </w:r>
          </w:p>
        </w:tc>
        <w:tc>
          <w:tcPr>
            <w:tcW w:w="1351" w:type="dxa"/>
            <w:gridSpan w:val="2"/>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整体满意度达90%及以上</w:t>
            </w:r>
          </w:p>
        </w:tc>
        <w:tc>
          <w:tcPr>
            <w:tcW w:w="12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整体满意度达90%及以上</w:t>
            </w:r>
          </w:p>
        </w:tc>
        <w:tc>
          <w:tcPr>
            <w:tcW w:w="1645"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整体满意度达90%</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b w:val="0"/>
                <w:bCs w:val="0"/>
                <w:color w:val="000000"/>
                <w:kern w:val="0"/>
                <w:sz w:val="21"/>
                <w:szCs w:val="21"/>
                <w:highlight w:val="none"/>
              </w:rPr>
            </w:pPr>
          </w:p>
        </w:tc>
      </w:tr>
      <w:tr>
        <w:tblPrEx>
          <w:tblCellMar>
            <w:top w:w="0" w:type="dxa"/>
            <w:left w:w="108" w:type="dxa"/>
            <w:bottom w:w="0" w:type="dxa"/>
            <w:right w:w="108" w:type="dxa"/>
          </w:tblCellMar>
        </w:tblPrEx>
        <w:trPr>
          <w:trHeight w:val="270" w:hRule="atLeast"/>
          <w:jc w:val="center"/>
        </w:trPr>
        <w:tc>
          <w:tcPr>
            <w:tcW w:w="7309"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auto"/>
                <w:kern w:val="0"/>
                <w:sz w:val="21"/>
                <w:szCs w:val="21"/>
              </w:rPr>
            </w:pPr>
            <w:r>
              <w:rPr>
                <w:rFonts w:hint="eastAsia" w:ascii="方正仿宋_GB2312" w:hAnsi="方正仿宋_GB2312" w:eastAsia="方正仿宋_GB2312" w:cs="方正仿宋_GB2312"/>
                <w:b w:val="0"/>
                <w:bCs w:val="0"/>
                <w:color w:val="auto"/>
                <w:kern w:val="0"/>
                <w:sz w:val="21"/>
                <w:szCs w:val="21"/>
              </w:rPr>
              <w:t>总分</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auto"/>
                <w:kern w:val="0"/>
                <w:sz w:val="21"/>
                <w:szCs w:val="21"/>
              </w:rPr>
            </w:pPr>
            <w:r>
              <w:rPr>
                <w:rFonts w:hint="eastAsia" w:ascii="方正仿宋_GB2312" w:hAnsi="方正仿宋_GB2312" w:eastAsia="方正仿宋_GB2312" w:cs="方正仿宋_GB2312"/>
                <w:b w:val="0"/>
                <w:bCs w:val="0"/>
                <w:color w:val="auto"/>
                <w:kern w:val="0"/>
                <w:sz w:val="21"/>
                <w:szCs w:val="21"/>
              </w:rPr>
              <w:t>100</w:t>
            </w:r>
          </w:p>
        </w:tc>
        <w:tc>
          <w:tcPr>
            <w:tcW w:w="881"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auto"/>
                <w:kern w:val="0"/>
                <w:sz w:val="21"/>
                <w:szCs w:val="21"/>
                <w:lang w:val="en-US" w:eastAsia="zh-CN"/>
              </w:rPr>
            </w:pPr>
            <w:r>
              <w:rPr>
                <w:rFonts w:hint="eastAsia" w:ascii="方正仿宋_GB2312" w:hAnsi="方正仿宋_GB2312" w:eastAsia="方正仿宋_GB2312" w:cs="方正仿宋_GB2312"/>
                <w:b w:val="0"/>
                <w:bCs w:val="0"/>
                <w:color w:val="auto"/>
                <w:kern w:val="0"/>
                <w:sz w:val="21"/>
                <w:szCs w:val="21"/>
              </w:rPr>
              <w:t>9</w:t>
            </w:r>
            <w:r>
              <w:rPr>
                <w:rFonts w:hint="eastAsia" w:ascii="方正仿宋_GB2312" w:hAnsi="方正仿宋_GB2312" w:eastAsia="方正仿宋_GB2312" w:cs="方正仿宋_GB2312"/>
                <w:b w:val="0"/>
                <w:bCs w:val="0"/>
                <w:color w:val="auto"/>
                <w:kern w:val="0"/>
                <w:sz w:val="21"/>
                <w:szCs w:val="21"/>
                <w:lang w:val="en-US" w:eastAsia="zh-CN"/>
              </w:rPr>
              <w:t>8</w:t>
            </w:r>
          </w:p>
        </w:tc>
        <w:tc>
          <w:tcPr>
            <w:tcW w:w="110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b w:val="0"/>
                <w:bCs w:val="0"/>
                <w:color w:val="auto"/>
                <w:kern w:val="0"/>
                <w:sz w:val="21"/>
                <w:szCs w:val="21"/>
              </w:rPr>
            </w:pPr>
          </w:p>
        </w:tc>
      </w:tr>
    </w:tbl>
    <w:p>
      <w:pPr>
        <w:widowControl/>
        <w:spacing w:beforeLines="50" w:afterLines="50"/>
        <w:jc w:val="left"/>
        <w:rPr>
          <w:rFonts w:ascii="Times New Roman" w:hAnsi="Times New Roman" w:eastAsia="黑体" w:cs="Times New Roman"/>
          <w:b w:val="0"/>
          <w:bCs w:val="0"/>
          <w:kern w:val="0"/>
          <w:sz w:val="32"/>
          <w:szCs w:val="32"/>
        </w:rPr>
      </w:pPr>
      <w:r>
        <w:rPr>
          <w:rFonts w:ascii="Times New Roman" w:hAnsi="Times New Roman" w:eastAsia="仿宋_GB2312" w:cs="Times New Roman"/>
          <w:b w:val="0"/>
          <w:bCs w:val="0"/>
          <w:kern w:val="0"/>
          <w:szCs w:val="21"/>
        </w:rPr>
        <w:t>填表人：</w:t>
      </w:r>
      <w:r>
        <w:rPr>
          <w:rFonts w:hint="eastAsia" w:eastAsia="仿宋_GB2312" w:cs="Times New Roman"/>
          <w:b w:val="0"/>
          <w:bCs w:val="0"/>
          <w:kern w:val="0"/>
          <w:szCs w:val="21"/>
          <w:lang w:eastAsia="zh-CN"/>
        </w:rPr>
        <w:t>肖琳</w:t>
      </w:r>
      <w:r>
        <w:rPr>
          <w:rFonts w:ascii="Times New Roman" w:hAnsi="Times New Roman" w:eastAsia="仿宋_GB2312" w:cs="Times New Roman"/>
          <w:b w:val="0"/>
          <w:bCs w:val="0"/>
          <w:kern w:val="0"/>
          <w:szCs w:val="21"/>
        </w:rPr>
        <w:t xml:space="preserve"> 填报日期：</w:t>
      </w:r>
      <w:r>
        <w:rPr>
          <w:rFonts w:hint="eastAsia" w:ascii="Times New Roman" w:hAnsi="Times New Roman" w:eastAsia="仿宋_GB2312" w:cs="Times New Roman"/>
          <w:b w:val="0"/>
          <w:bCs w:val="0"/>
          <w:kern w:val="0"/>
          <w:szCs w:val="21"/>
        </w:rPr>
        <w:t>202</w:t>
      </w:r>
      <w:r>
        <w:rPr>
          <w:rFonts w:hint="eastAsia" w:eastAsia="仿宋_GB2312" w:cs="Times New Roman"/>
          <w:b w:val="0"/>
          <w:bCs w:val="0"/>
          <w:kern w:val="0"/>
          <w:szCs w:val="21"/>
          <w:lang w:val="en-US" w:eastAsia="zh-CN"/>
        </w:rPr>
        <w:t>3</w:t>
      </w:r>
      <w:r>
        <w:rPr>
          <w:rFonts w:hint="eastAsia" w:ascii="Times New Roman" w:hAnsi="Times New Roman" w:eastAsia="仿宋_GB2312" w:cs="Times New Roman"/>
          <w:b w:val="0"/>
          <w:bCs w:val="0"/>
          <w:kern w:val="0"/>
          <w:szCs w:val="21"/>
        </w:rPr>
        <w:t>.5.2</w:t>
      </w:r>
      <w:r>
        <w:rPr>
          <w:rFonts w:hint="eastAsia" w:eastAsia="仿宋_GB2312" w:cs="Times New Roman"/>
          <w:b w:val="0"/>
          <w:bCs w:val="0"/>
          <w:kern w:val="0"/>
          <w:szCs w:val="21"/>
          <w:lang w:val="en-US" w:eastAsia="zh-CN"/>
        </w:rPr>
        <w:t>9</w:t>
      </w:r>
      <w:r>
        <w:rPr>
          <w:rFonts w:hint="eastAsia" w:ascii="Times New Roman" w:hAnsi="Times New Roman" w:eastAsia="仿宋_GB2312" w:cs="Times New Roman"/>
          <w:b w:val="0"/>
          <w:bCs w:val="0"/>
          <w:kern w:val="0"/>
          <w:szCs w:val="21"/>
        </w:rPr>
        <w:t xml:space="preserve"> </w:t>
      </w:r>
      <w:r>
        <w:rPr>
          <w:rFonts w:ascii="Times New Roman" w:hAnsi="Times New Roman" w:eastAsia="仿宋_GB2312" w:cs="Times New Roman"/>
          <w:b w:val="0"/>
          <w:bCs w:val="0"/>
          <w:kern w:val="0"/>
          <w:szCs w:val="21"/>
        </w:rPr>
        <w:t xml:space="preserve"> 联系电话： </w:t>
      </w:r>
      <w:r>
        <w:rPr>
          <w:rFonts w:hint="eastAsia" w:eastAsia="仿宋_GB2312" w:cs="Times New Roman"/>
          <w:b w:val="0"/>
          <w:bCs w:val="0"/>
          <w:kern w:val="0"/>
          <w:szCs w:val="21"/>
          <w:lang w:val="en-US" w:eastAsia="zh-CN"/>
        </w:rPr>
        <w:t>85628022</w:t>
      </w:r>
      <w:r>
        <w:rPr>
          <w:rFonts w:ascii="Times New Roman" w:hAnsi="Times New Roman" w:eastAsia="仿宋_GB2312" w:cs="Times New Roman"/>
          <w:b w:val="0"/>
          <w:bCs w:val="0"/>
          <w:kern w:val="0"/>
          <w:szCs w:val="21"/>
        </w:rPr>
        <w:t xml:space="preserve">  单位负责人签字：</w:t>
      </w:r>
    </w:p>
    <w:p>
      <w:pPr>
        <w:pStyle w:val="2"/>
        <w:rPr>
          <w:rFonts w:hint="default" w:cs="Times New Roman"/>
          <w:sz w:val="32"/>
          <w:szCs w:val="32"/>
          <w:lang w:val="en-US" w:eastAsia="zh-CN"/>
        </w:rPr>
      </w:pPr>
      <w:r>
        <w:rPr>
          <w:rFonts w:hint="eastAsia" w:cs="Times New Roman"/>
          <w:sz w:val="32"/>
          <w:szCs w:val="32"/>
          <w:lang w:val="en-US" w:eastAsia="zh-CN"/>
        </w:rPr>
        <w:t>附件3-1：</w:t>
      </w:r>
    </w:p>
    <w:p>
      <w:pPr>
        <w:widowControl/>
        <w:spacing w:line="570" w:lineRule="exact"/>
        <w:jc w:val="center"/>
        <w:rPr>
          <w:rFonts w:hint="eastAsia" w:ascii="Times New Roman" w:hAnsi="Times New Roman" w:eastAsia="方正小标宋_GBK" w:cs="Times New Roman"/>
          <w:color w:val="000000"/>
          <w:kern w:val="0"/>
          <w:sz w:val="44"/>
          <w:szCs w:val="44"/>
          <w:lang w:val="en-US" w:eastAsia="zh-CN"/>
        </w:rPr>
      </w:pPr>
      <w:r>
        <w:rPr>
          <w:rFonts w:hint="eastAsia" w:ascii="Times New Roman" w:hAnsi="Times New Roman" w:eastAsia="仿宋_GB2312" w:cs="Times New Roman"/>
          <w:sz w:val="32"/>
          <w:szCs w:val="32"/>
        </w:rPr>
        <w:t>20</w:t>
      </w:r>
      <w:r>
        <w:rPr>
          <w:rFonts w:hint="eastAsia" w:eastAsia="仿宋_GB2312" w:cs="Times New Roman"/>
          <w:sz w:val="32"/>
          <w:szCs w:val="32"/>
          <w:lang w:val="en-US" w:eastAsia="zh-CN"/>
        </w:rPr>
        <w:t>22</w:t>
      </w:r>
      <w:r>
        <w:rPr>
          <w:rFonts w:hint="eastAsia" w:ascii="Times New Roman" w:hAnsi="Times New Roman" w:eastAsia="仿宋_GB2312" w:cs="Times New Roman"/>
          <w:sz w:val="32"/>
          <w:szCs w:val="32"/>
        </w:rPr>
        <w:t>年度项目支出绩效自评表</w:t>
      </w:r>
      <w:r>
        <w:rPr>
          <w:rFonts w:hint="eastAsia" w:ascii="Times New Roman" w:hAnsi="Times New Roman" w:eastAsia="仿宋_GB2312" w:cs="Times New Roman"/>
          <w:sz w:val="32"/>
          <w:szCs w:val="32"/>
          <w:lang w:val="en-US" w:eastAsia="zh-CN"/>
        </w:rPr>
        <w:t>1</w:t>
      </w:r>
    </w:p>
    <w:tbl>
      <w:tblPr>
        <w:tblStyle w:val="12"/>
        <w:tblW w:w="9851" w:type="dxa"/>
        <w:jc w:val="center"/>
        <w:tblLayout w:type="autofit"/>
        <w:tblCellMar>
          <w:top w:w="0" w:type="dxa"/>
          <w:left w:w="108" w:type="dxa"/>
          <w:bottom w:w="0" w:type="dxa"/>
          <w:right w:w="108" w:type="dxa"/>
        </w:tblCellMar>
      </w:tblPr>
      <w:tblGrid>
        <w:gridCol w:w="1080"/>
        <w:gridCol w:w="1080"/>
        <w:gridCol w:w="1080"/>
        <w:gridCol w:w="1431"/>
        <w:gridCol w:w="927"/>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项目支</w:t>
            </w:r>
          </w:p>
          <w:p>
            <w:pPr>
              <w:widowControl/>
              <w:spacing w:line="26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auto"/>
                <w:sz w:val="21"/>
                <w:szCs w:val="21"/>
                <w:lang w:val="en-US" w:eastAsia="zh-CN"/>
              </w:rPr>
              <w:t>高校“双一流”建设专项</w:t>
            </w: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项目资金</w:t>
            </w:r>
            <w:r>
              <w:rPr>
                <w:rFonts w:hint="eastAsia" w:ascii="方正仿宋_GB2312" w:hAnsi="方正仿宋_GB2312" w:eastAsia="方正仿宋_GB2312" w:cs="方正仿宋_GB2312"/>
                <w:color w:val="000000"/>
                <w:sz w:val="21"/>
                <w:szCs w:val="21"/>
              </w:rPr>
              <w:br w:type="textWrapping"/>
            </w:r>
            <w:r>
              <w:rPr>
                <w:rFonts w:hint="eastAsia" w:ascii="方正仿宋_GB2312" w:hAnsi="方正仿宋_GB2312" w:eastAsia="方正仿宋_GB2312" w:cs="方正仿宋_GB2312"/>
                <w:color w:val="000000"/>
                <w:sz w:val="21"/>
                <w:szCs w:val="21"/>
              </w:rPr>
              <w:t>（万元）</w:t>
            </w: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31"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年初</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预算数</w:t>
            </w:r>
          </w:p>
        </w:tc>
        <w:tc>
          <w:tcPr>
            <w:tcW w:w="9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全年</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预算数</w:t>
            </w:r>
          </w:p>
        </w:tc>
        <w:tc>
          <w:tcPr>
            <w:tcW w:w="1134"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全年</w:t>
            </w:r>
          </w:p>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执行数</w:t>
            </w:r>
          </w:p>
        </w:tc>
        <w:tc>
          <w:tcPr>
            <w:tcW w:w="828"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分值</w:t>
            </w:r>
          </w:p>
        </w:tc>
        <w:tc>
          <w:tcPr>
            <w:tcW w:w="873"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执行率</w:t>
            </w:r>
          </w:p>
        </w:tc>
        <w:tc>
          <w:tcPr>
            <w:tcW w:w="1418"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年度资金总额　</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899</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899</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394.7</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10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43.9%</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8</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其中：当年财政拨款　</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ind w:firstLine="630" w:firstLineChars="300"/>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上年结转资金　</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ind w:firstLine="630" w:firstLineChars="300"/>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其他资金</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ind w:firstLine="420" w:firstLineChars="200"/>
              <w:jc w:val="both"/>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auto"/>
                <w:sz w:val="21"/>
                <w:szCs w:val="21"/>
                <w:lang w:val="en-US" w:eastAsia="zh-CN"/>
              </w:rPr>
              <w:t>完成湖南省双高 校、双高专业建设方案及申报立项；</w:t>
            </w:r>
            <w:r>
              <w:rPr>
                <w:rFonts w:hint="eastAsia" w:ascii="方正仿宋_GB2312" w:hAnsi="方正仿宋_GB2312" w:eastAsia="方正仿宋_GB2312" w:cs="方正仿宋_GB2312"/>
                <w:color w:val="auto"/>
                <w:sz w:val="21"/>
                <w:szCs w:val="21"/>
              </w:rPr>
              <w:t>完成湖南省卓越院校建设治理能力、教师队伍、鲁班文化育人实践体系、5大专业群等子项目的年度建设任务；完成课程</w:t>
            </w:r>
            <w:r>
              <w:rPr>
                <w:rFonts w:hint="eastAsia" w:ascii="方正仿宋_GB2312" w:hAnsi="方正仿宋_GB2312" w:eastAsia="方正仿宋_GB2312" w:cs="方正仿宋_GB2312"/>
                <w:color w:val="auto"/>
                <w:sz w:val="21"/>
                <w:szCs w:val="21"/>
                <w:lang w:val="en-US" w:eastAsia="zh-CN"/>
              </w:rPr>
              <w:t>质量年各项活动</w:t>
            </w:r>
            <w:r>
              <w:rPr>
                <w:rFonts w:hint="eastAsia" w:ascii="方正仿宋_GB2312" w:hAnsi="方正仿宋_GB2312" w:eastAsia="方正仿宋_GB2312" w:cs="方正仿宋_GB2312"/>
                <w:color w:val="auto"/>
                <w:sz w:val="21"/>
                <w:szCs w:val="21"/>
              </w:rPr>
              <w:t>，确保</w:t>
            </w:r>
            <w:r>
              <w:rPr>
                <w:rFonts w:hint="eastAsia" w:ascii="方正仿宋_GB2312" w:hAnsi="方正仿宋_GB2312" w:eastAsia="方正仿宋_GB2312" w:cs="方正仿宋_GB2312"/>
                <w:color w:val="auto"/>
                <w:sz w:val="21"/>
                <w:szCs w:val="21"/>
                <w:lang w:val="en-US" w:eastAsia="zh-CN"/>
              </w:rPr>
              <w:t>1</w:t>
            </w:r>
            <w:r>
              <w:rPr>
                <w:rFonts w:hint="eastAsia" w:ascii="方正仿宋_GB2312" w:hAnsi="方正仿宋_GB2312" w:eastAsia="方正仿宋_GB2312" w:cs="方正仿宋_GB2312"/>
                <w:color w:val="auto"/>
                <w:sz w:val="21"/>
                <w:szCs w:val="21"/>
              </w:rPr>
              <w:t>门精品在线开放课程通过省教育厅认定；立项</w:t>
            </w:r>
            <w:r>
              <w:rPr>
                <w:rFonts w:hint="eastAsia" w:ascii="方正仿宋_GB2312" w:hAnsi="方正仿宋_GB2312" w:eastAsia="方正仿宋_GB2312" w:cs="方正仿宋_GB2312"/>
                <w:color w:val="auto"/>
                <w:sz w:val="21"/>
                <w:szCs w:val="21"/>
                <w:lang w:val="en-US" w:eastAsia="zh-CN"/>
              </w:rPr>
              <w:t>1</w:t>
            </w:r>
            <w:r>
              <w:rPr>
                <w:rFonts w:hint="eastAsia" w:ascii="方正仿宋_GB2312" w:hAnsi="方正仿宋_GB2312" w:eastAsia="方正仿宋_GB2312" w:cs="方正仿宋_GB2312"/>
                <w:color w:val="auto"/>
                <w:sz w:val="21"/>
                <w:szCs w:val="21"/>
              </w:rPr>
              <w:t>门省级精品在线开放课程；做好已立项省级专业资源库建设，并新立项1个省级专业资源库；加大教师队伍建设，完成3个省级专业教学团队年度建设任务；师生技能竞赛取得优异成绩，教师在职业能力竞赛中获得省级及以上奖项4个；学生在技能竞赛中获得省级及以上奖项</w:t>
            </w:r>
            <w:r>
              <w:rPr>
                <w:rFonts w:hint="eastAsia" w:ascii="方正仿宋_GB2312" w:hAnsi="方正仿宋_GB2312" w:eastAsia="方正仿宋_GB2312" w:cs="方正仿宋_GB2312"/>
                <w:color w:val="auto"/>
                <w:sz w:val="21"/>
                <w:szCs w:val="21"/>
                <w:lang w:val="en-US" w:eastAsia="zh-CN"/>
              </w:rPr>
              <w:t>10</w:t>
            </w:r>
            <w:r>
              <w:rPr>
                <w:rFonts w:hint="eastAsia" w:ascii="方正仿宋_GB2312" w:hAnsi="方正仿宋_GB2312" w:eastAsia="方正仿宋_GB2312" w:cs="方正仿宋_GB2312"/>
                <w:color w:val="auto"/>
                <w:sz w:val="21"/>
                <w:szCs w:val="21"/>
              </w:rPr>
              <w:t>个；在毕业设计、专业技能及人才培养方案省厅抽查中100%合格率通过；完成湖南职教集团年度建设任务；立项省级及以上优秀、规划教材3部左右；推进“1+X”考证，考证人数300人，通过率在80%左右；加大产教融合、校企合作，1个专业群建设1个产业学院。</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eastAsia="zh-CN"/>
              </w:rPr>
            </w:pPr>
            <w:r>
              <w:rPr>
                <w:rFonts w:hint="eastAsia" w:ascii="方正仿宋_GB2312" w:hAnsi="方正仿宋_GB2312" w:eastAsia="方正仿宋_GB2312" w:cs="方正仿宋_GB2312"/>
                <w:color w:val="000000"/>
                <w:sz w:val="21"/>
                <w:szCs w:val="21"/>
              </w:rPr>
              <w:t>　在2022年人才培养方案、毕业设计抽查中合格率均为100%，其中4个专业的人才培养方案、专业技能考核标准与题库获评“优秀”等级，建筑工程技术和工程造价专业学生毕业设计抽查结果评价为“优秀”等级。建筑工程技术、工程造价、建筑设计等3个专业群成功立项湖南省楚怡高水平专业群（A档）建设计划；《村庄人居环境综合整治》成功入选首届涉农职业院校服务乡村振兴“名课名师”资助项目；主持或参与国家高等职业教育土木建筑大类《专业简介》和《专业教学标准》、《实训条件建设标准》等14个教学标准研制工作；“智能建造”产教融合实训基地立项为湖南省“楚怡”产教融合实训基地；2门省级精品在线开放课程和1个省级专业资源库通过认定；湖湘特色古村落数字博物馆立项为湖南省智慧教育平台“大国长技”试点项目。在2022年湖南省教学成果奖评选中，获得一等奖1项，二等奖2项以及三等奖1项的好成绩。一年来，教学工作委员会根据职责，在人才培养、专业建设、课程建设、质量监控等重要方面进行了履职尽责，完满完成了年度工作任务</w:t>
            </w:r>
            <w:r>
              <w:rPr>
                <w:rFonts w:hint="eastAsia" w:ascii="方正仿宋_GB2312" w:hAnsi="方正仿宋_GB2312" w:eastAsia="方正仿宋_GB2312" w:cs="方正仿宋_GB2312"/>
                <w:color w:val="000000"/>
                <w:sz w:val="21"/>
                <w:szCs w:val="21"/>
                <w:lang w:eastAsia="zh-CN"/>
              </w:rPr>
              <w:t>。</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绩</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指</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一级指标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二级指标</w:t>
            </w:r>
          </w:p>
        </w:tc>
        <w:tc>
          <w:tcPr>
            <w:tcW w:w="143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三级指标</w:t>
            </w:r>
          </w:p>
        </w:tc>
        <w:tc>
          <w:tcPr>
            <w:tcW w:w="927"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年度</w:t>
            </w:r>
          </w:p>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指标值</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实际</w:t>
            </w:r>
          </w:p>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完成值</w:t>
            </w:r>
          </w:p>
        </w:tc>
        <w:tc>
          <w:tcPr>
            <w:tcW w:w="82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分值</w:t>
            </w:r>
          </w:p>
        </w:tc>
        <w:tc>
          <w:tcPr>
            <w:tcW w:w="873"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得分</w:t>
            </w:r>
          </w:p>
        </w:tc>
        <w:tc>
          <w:tcPr>
            <w:tcW w:w="1418" w:type="dxa"/>
            <w:tcBorders>
              <w:top w:val="nil"/>
              <w:left w:val="nil"/>
              <w:bottom w:val="single" w:color="auto" w:sz="4" w:space="0"/>
              <w:right w:val="single" w:color="auto" w:sz="4" w:space="0"/>
            </w:tcBorders>
            <w:noWrap w:val="0"/>
            <w:vAlign w:val="center"/>
          </w:tcPr>
          <w:p>
            <w:pPr>
              <w:widowControl/>
              <w:spacing w:line="240" w:lineRule="exact"/>
              <w:jc w:val="both"/>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产出指标</w:t>
            </w:r>
          </w:p>
          <w:p>
            <w:pPr>
              <w:widowControl/>
              <w:jc w:val="center"/>
              <w:rPr>
                <w:rFonts w:hint="eastAsia" w:ascii="方正仿宋_GB2312" w:hAnsi="方正仿宋_GB2312" w:eastAsia="方正仿宋_GB2312" w:cs="方正仿宋_GB2312"/>
                <w:color w:val="000000"/>
                <w:sz w:val="21"/>
                <w:szCs w:val="21"/>
              </w:rPr>
            </w:pP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(50分)</w:t>
            </w: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数量指标</w:t>
            </w: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CN" w:bidi="zh-CN"/>
              </w:rPr>
              <w:t>进入省赛教学团队数量</w:t>
            </w:r>
          </w:p>
        </w:tc>
        <w:tc>
          <w:tcPr>
            <w:tcW w:w="92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CN" w:bidi="zh-CN"/>
              </w:rPr>
              <w:t>6个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8个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CN" w:bidi="zh-CN"/>
              </w:rPr>
              <w:t>进入国赛预选赛及以上教学团队数量</w:t>
            </w:r>
          </w:p>
        </w:tc>
        <w:tc>
          <w:tcPr>
            <w:tcW w:w="92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CN" w:bidi="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sz w:val="21"/>
                <w:szCs w:val="21"/>
                <w:lang w:val="en-US" w:eastAsia="zh-Hans"/>
              </w:rPr>
              <w:t>立项</w:t>
            </w:r>
            <w:r>
              <w:rPr>
                <w:rFonts w:hint="eastAsia" w:ascii="方正仿宋_GB2312" w:hAnsi="方正仿宋_GB2312" w:eastAsia="方正仿宋_GB2312" w:cs="方正仿宋_GB2312"/>
                <w:color w:val="auto"/>
                <w:sz w:val="21"/>
                <w:szCs w:val="21"/>
                <w:lang w:eastAsia="zh-Hans"/>
              </w:rPr>
              <w:t>2022</w:t>
            </w:r>
            <w:r>
              <w:rPr>
                <w:rFonts w:hint="eastAsia" w:ascii="方正仿宋_GB2312" w:hAnsi="方正仿宋_GB2312" w:eastAsia="方正仿宋_GB2312" w:cs="方正仿宋_GB2312"/>
                <w:color w:val="auto"/>
                <w:sz w:val="21"/>
                <w:szCs w:val="21"/>
                <w:lang w:val="en-US" w:eastAsia="zh-Hans"/>
              </w:rPr>
              <w:t>年国内访问学者</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zh-CN" w:eastAsia="zh-Hans" w:bidi="zh-CN"/>
              </w:rPr>
            </w:pPr>
            <w:r>
              <w:rPr>
                <w:rFonts w:hint="eastAsia" w:ascii="方正仿宋_GB2312" w:hAnsi="方正仿宋_GB2312" w:eastAsia="方正仿宋_GB2312" w:cs="方正仿宋_GB2312"/>
                <w:color w:val="auto"/>
                <w:sz w:val="21"/>
                <w:szCs w:val="21"/>
                <w:lang w:val="en-US" w:eastAsia="zh-CN"/>
              </w:rPr>
              <w:t>2</w:t>
            </w:r>
            <w:r>
              <w:rPr>
                <w:rFonts w:hint="eastAsia" w:ascii="方正仿宋_GB2312" w:hAnsi="方正仿宋_GB2312" w:eastAsia="方正仿宋_GB2312" w:cs="方正仿宋_GB2312"/>
                <w:color w:val="auto"/>
                <w:sz w:val="21"/>
                <w:szCs w:val="21"/>
                <w:lang w:val="en-US" w:eastAsia="zh-Hans"/>
              </w:rPr>
              <w:t>人</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2人</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sz w:val="21"/>
                <w:szCs w:val="21"/>
                <w:lang w:val="en-US" w:eastAsia="zh-Hans"/>
              </w:rPr>
              <w:t>立项</w:t>
            </w:r>
            <w:r>
              <w:rPr>
                <w:rFonts w:hint="eastAsia" w:ascii="方正仿宋_GB2312" w:hAnsi="方正仿宋_GB2312" w:eastAsia="方正仿宋_GB2312" w:cs="方正仿宋_GB2312"/>
                <w:color w:val="auto"/>
                <w:sz w:val="21"/>
                <w:szCs w:val="21"/>
                <w:lang w:eastAsia="zh-Hans"/>
              </w:rPr>
              <w:t>2022</w:t>
            </w:r>
            <w:r>
              <w:rPr>
                <w:rFonts w:hint="eastAsia" w:ascii="方正仿宋_GB2312" w:hAnsi="方正仿宋_GB2312" w:eastAsia="方正仿宋_GB2312" w:cs="方正仿宋_GB2312"/>
                <w:color w:val="auto"/>
                <w:sz w:val="21"/>
                <w:szCs w:val="21"/>
                <w:lang w:val="en-US" w:eastAsia="zh-Hans"/>
              </w:rPr>
              <w:t>年省青年骨干教师</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zh-CN" w:eastAsia="zh-Hans" w:bidi="zh-CN"/>
              </w:rPr>
            </w:pPr>
            <w:r>
              <w:rPr>
                <w:rFonts w:hint="eastAsia" w:ascii="方正仿宋_GB2312" w:hAnsi="方正仿宋_GB2312" w:eastAsia="方正仿宋_GB2312" w:cs="方正仿宋_GB2312"/>
                <w:color w:val="auto"/>
                <w:sz w:val="21"/>
                <w:szCs w:val="21"/>
                <w:lang w:eastAsia="zh-Hans"/>
              </w:rPr>
              <w:t>3</w:t>
            </w:r>
            <w:r>
              <w:rPr>
                <w:rFonts w:hint="eastAsia" w:ascii="方正仿宋_GB2312" w:hAnsi="方正仿宋_GB2312" w:eastAsia="方正仿宋_GB2312" w:cs="方正仿宋_GB2312"/>
                <w:color w:val="auto"/>
                <w:sz w:val="21"/>
                <w:szCs w:val="21"/>
                <w:lang w:val="en-US" w:eastAsia="zh-Hans"/>
              </w:rPr>
              <w:t>人</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auto"/>
                <w:sz w:val="21"/>
                <w:szCs w:val="21"/>
                <w:lang w:eastAsia="zh-Hans"/>
              </w:rPr>
              <w:t>3</w:t>
            </w:r>
            <w:r>
              <w:rPr>
                <w:rFonts w:hint="eastAsia" w:ascii="方正仿宋_GB2312" w:hAnsi="方正仿宋_GB2312" w:eastAsia="方正仿宋_GB2312" w:cs="方正仿宋_GB2312"/>
                <w:color w:val="auto"/>
                <w:sz w:val="21"/>
                <w:szCs w:val="21"/>
                <w:lang w:val="en-US" w:eastAsia="zh-Hans"/>
              </w:rPr>
              <w:t>人</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学生获得省技能竞赛奖项</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10个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16个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教师职业能力竞赛省赛一等奖</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 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sz w:val="21"/>
                <w:szCs w:val="21"/>
                <w:lang w:val="en-US" w:eastAsia="zh-CN"/>
              </w:rPr>
              <w:t>教师职业能力竞赛国赛获奖奖</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 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6</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6</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新增省级精品在线开放课程</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1门</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2门</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sz w:val="21"/>
                <w:szCs w:val="21"/>
                <w:lang w:val="en-US" w:eastAsia="zh-CN"/>
              </w:rPr>
              <w:t>专业群、课程资源类建设</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新增资源数40万个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auto"/>
                <w:sz w:val="21"/>
                <w:szCs w:val="21"/>
                <w:lang w:val="en-US" w:eastAsia="zh-CN"/>
              </w:rPr>
              <w:t>新增资源数40万个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完成人才培养方案制定</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26个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26个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sz w:val="21"/>
                <w:szCs w:val="21"/>
                <w:lang w:val="en-US" w:eastAsia="zh-CN"/>
              </w:rPr>
              <w:t>人才培养方案获优秀</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2个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4个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pStyle w:val="30"/>
              <w:spacing w:line="240" w:lineRule="auto"/>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完成专业技能抽查标准及题库</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CN" w:bidi="zh-CN"/>
              </w:rPr>
            </w:pPr>
            <w:r>
              <w:rPr>
                <w:rFonts w:hint="eastAsia" w:ascii="方正仿宋_GB2312" w:hAnsi="方正仿宋_GB2312" w:eastAsia="方正仿宋_GB2312" w:cs="方正仿宋_GB2312"/>
                <w:color w:val="auto"/>
                <w:sz w:val="21"/>
                <w:szCs w:val="21"/>
                <w:lang w:val="en-US" w:eastAsia="zh-CN"/>
              </w:rPr>
              <w:t>26个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26个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楚怡职教集团</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双高专业群</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省级产教融合实训基地项目</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湖南省教学成果奖</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4个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教学标准研制</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5个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14个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“名课名师”资助项目</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省级专业资源库通过认定</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湖南省智慧教育平台“大国长技”试点项目</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1个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1个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1+X考证</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200人</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191人</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校企合作订单班</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2个</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5个</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新增校企合作企业</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5家</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10家</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质量指标</w:t>
            </w: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eastAsia="zh-Hans" w:bidi="zh-CN"/>
              </w:rPr>
              <w:t>2018</w:t>
            </w:r>
            <w:r>
              <w:rPr>
                <w:rFonts w:hint="eastAsia" w:ascii="方正仿宋_GB2312" w:hAnsi="方正仿宋_GB2312" w:eastAsia="方正仿宋_GB2312" w:cs="方正仿宋_GB2312"/>
                <w:color w:val="auto"/>
                <w:kern w:val="0"/>
                <w:sz w:val="21"/>
                <w:szCs w:val="21"/>
                <w:lang w:val="en-US" w:eastAsia="zh-Hans" w:bidi="zh-CN"/>
              </w:rPr>
              <w:t>青年骨干教师验收合格</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合格</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合格</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省级专业教学资源库年度建设任务完成情况</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完成</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完成</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省级专业教学团队年度建设任务完成情况</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完成</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完成</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lang w:val="en-US" w:eastAsia="zh-CN"/>
              </w:rPr>
              <w:t>1</w:t>
            </w: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毕业设计抽查、人才培养方案、专业技能抽查全部合格</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合格</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合格</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CN" w:bidi="zh-CN"/>
              </w:rPr>
              <w:t>虚拟仿真实训基地建设</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完成第一、二阶段任务</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完成第一、二阶段任务</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完成所有课程标准、教案修订</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所有课程</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r>
              <w:rPr>
                <w:rFonts w:hint="eastAsia" w:ascii="方正仿宋_GB2312" w:hAnsi="方正仿宋_GB2312" w:eastAsia="方正仿宋_GB2312" w:cs="方正仿宋_GB2312"/>
                <w:color w:val="auto"/>
                <w:kern w:val="0"/>
                <w:sz w:val="21"/>
                <w:szCs w:val="21"/>
                <w:lang w:val="en-US" w:eastAsia="zh-Hans" w:bidi="zh-CN"/>
              </w:rPr>
              <w:t>所有课程</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时效指标</w:t>
            </w: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方正仿宋_GB2312" w:hAnsi="方正仿宋_GB2312" w:eastAsia="方正仿宋_GB2312" w:cs="方正仿宋_GB2312"/>
                <w:color w:val="auto"/>
                <w:kern w:val="0"/>
                <w:sz w:val="21"/>
                <w:szCs w:val="21"/>
                <w:lang w:val="en-US" w:eastAsia="zh-Hans" w:bidi="zh-CN"/>
              </w:rPr>
            </w:pP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方正仿宋_GB2312" w:hAnsi="方正仿宋_GB2312" w:eastAsia="方正仿宋_GB2312" w:cs="方正仿宋_GB2312"/>
                <w:color w:val="auto"/>
                <w:kern w:val="0"/>
                <w:sz w:val="21"/>
                <w:szCs w:val="21"/>
                <w:lang w:val="en-US" w:eastAsia="zh-Hans" w:bidi="zh-CN"/>
              </w:rPr>
            </w:pP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方正仿宋_GB2312" w:hAnsi="方正仿宋_GB2312" w:eastAsia="方正仿宋_GB2312" w:cs="方正仿宋_GB2312"/>
                <w:color w:val="auto"/>
                <w:kern w:val="0"/>
                <w:sz w:val="21"/>
                <w:szCs w:val="21"/>
                <w:lang w:val="en-US" w:eastAsia="zh-Hans" w:bidi="zh-CN"/>
              </w:rPr>
            </w:pP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成本指标</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效益指标</w:t>
            </w:r>
          </w:p>
          <w:p>
            <w:pPr>
              <w:widowControl/>
              <w:jc w:val="left"/>
              <w:rPr>
                <w:rFonts w:hint="eastAsia" w:ascii="方正仿宋_GB2312" w:hAnsi="方正仿宋_GB2312" w:eastAsia="方正仿宋_GB2312" w:cs="方正仿宋_GB2312"/>
                <w:color w:val="000000"/>
                <w:sz w:val="21"/>
                <w:szCs w:val="21"/>
              </w:rPr>
            </w:pPr>
          </w:p>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（30分）</w:t>
            </w:r>
          </w:p>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经济效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益指标</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社会效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益指标</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生态效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益指标</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可持续影响指标</w:t>
            </w:r>
          </w:p>
        </w:tc>
        <w:tc>
          <w:tcPr>
            <w:tcW w:w="1431"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431"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满意度</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指标</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（10分）</w:t>
            </w: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服务对象满意度指标</w:t>
            </w: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43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w:t>
            </w:r>
          </w:p>
        </w:tc>
        <w:tc>
          <w:tcPr>
            <w:tcW w:w="9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总分</w:t>
            </w:r>
          </w:p>
        </w:tc>
        <w:tc>
          <w:tcPr>
            <w:tcW w:w="82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100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98</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bl>
    <w:p>
      <w:pPr>
        <w:pStyle w:val="2"/>
      </w:pPr>
      <w:r>
        <w:rPr>
          <w:rFonts w:hint="eastAsia" w:cs="Times New Roman"/>
          <w:sz w:val="32"/>
          <w:szCs w:val="32"/>
          <w:lang w:val="en-US" w:eastAsia="zh-CN"/>
        </w:rPr>
        <w:t>附件3-2：</w:t>
      </w:r>
    </w:p>
    <w:p>
      <w:pPr>
        <w:jc w:val="center"/>
        <w:rPr>
          <w:rFonts w:hint="eastAsia" w:ascii="仿宋" w:hAnsi="仿宋" w:eastAsia="仿宋" w:cs="仿宋"/>
          <w:bCs/>
          <w:kern w:val="2"/>
          <w:sz w:val="28"/>
          <w:szCs w:val="28"/>
          <w:lang w:val="en-US" w:eastAsia="zh-CN" w:bidi="ar-SA"/>
        </w:rPr>
      </w:pPr>
      <w:r>
        <w:rPr>
          <w:rFonts w:hint="eastAsia" w:ascii="Times New Roman" w:hAnsi="Times New Roman" w:eastAsia="仿宋_GB2312" w:cs="Times New Roman"/>
          <w:sz w:val="32"/>
          <w:szCs w:val="32"/>
        </w:rPr>
        <w:t>20</w:t>
      </w:r>
      <w:r>
        <w:rPr>
          <w:rFonts w:hint="eastAsia" w:eastAsia="仿宋_GB2312" w:cs="Times New Roman"/>
          <w:sz w:val="32"/>
          <w:szCs w:val="32"/>
          <w:lang w:val="en-US" w:eastAsia="zh-CN"/>
        </w:rPr>
        <w:t>22</w:t>
      </w:r>
      <w:r>
        <w:rPr>
          <w:rFonts w:hint="eastAsia" w:ascii="Times New Roman" w:hAnsi="Times New Roman" w:eastAsia="仿宋_GB2312" w:cs="Times New Roman"/>
          <w:sz w:val="32"/>
          <w:szCs w:val="32"/>
        </w:rPr>
        <w:t>年度项目支出绩效自评表</w:t>
      </w:r>
      <w:r>
        <w:rPr>
          <w:rFonts w:hint="eastAsia" w:ascii="仿宋" w:hAnsi="仿宋" w:eastAsia="仿宋" w:cs="仿宋"/>
          <w:bCs/>
          <w:kern w:val="2"/>
          <w:sz w:val="28"/>
          <w:szCs w:val="28"/>
          <w:lang w:val="en-US" w:eastAsia="zh-CN" w:bidi="ar-SA"/>
        </w:rPr>
        <w:t>2</w:t>
      </w:r>
    </w:p>
    <w:tbl>
      <w:tblPr>
        <w:tblStyle w:val="12"/>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项目支</w:t>
            </w:r>
          </w:p>
          <w:p>
            <w:pPr>
              <w:widowControl/>
              <w:spacing w:line="26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lang w:val="en-US" w:eastAsia="zh-CN"/>
              </w:rPr>
              <w:t>学生资助补助经费　</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　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项目资金</w:t>
            </w:r>
            <w:r>
              <w:rPr>
                <w:rFonts w:hint="eastAsia" w:ascii="方正仿宋_GB2312" w:hAnsi="方正仿宋_GB2312" w:eastAsia="方正仿宋_GB2312" w:cs="方正仿宋_GB2312"/>
                <w:color w:val="000000"/>
                <w:sz w:val="21"/>
                <w:szCs w:val="21"/>
              </w:rPr>
              <w:br w:type="textWrapping"/>
            </w:r>
            <w:r>
              <w:rPr>
                <w:rFonts w:hint="eastAsia" w:ascii="方正仿宋_GB2312" w:hAnsi="方正仿宋_GB2312" w:eastAsia="方正仿宋_GB2312" w:cs="方正仿宋_GB2312"/>
                <w:color w:val="000000"/>
                <w:sz w:val="21"/>
                <w:szCs w:val="21"/>
              </w:rPr>
              <w:t>（万元）</w:t>
            </w: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22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年初</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预算数</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全年</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预算数</w:t>
            </w:r>
          </w:p>
        </w:tc>
        <w:tc>
          <w:tcPr>
            <w:tcW w:w="1134"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全年</w:t>
            </w:r>
          </w:p>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执行数</w:t>
            </w:r>
          </w:p>
        </w:tc>
        <w:tc>
          <w:tcPr>
            <w:tcW w:w="828"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分值</w:t>
            </w:r>
          </w:p>
        </w:tc>
        <w:tc>
          <w:tcPr>
            <w:tcW w:w="873"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执行率</w:t>
            </w:r>
          </w:p>
        </w:tc>
        <w:tc>
          <w:tcPr>
            <w:tcW w:w="1418"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年度资金总额　</w:t>
            </w:r>
          </w:p>
        </w:tc>
        <w:tc>
          <w:tcPr>
            <w:tcW w:w="122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1438.1</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lang w:val="en-US" w:eastAsia="zh-CN"/>
              </w:rPr>
              <w:t>1438.1</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lang w:val="en-US" w:eastAsia="zh-CN"/>
              </w:rPr>
              <w:t>1438.1</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10</w:t>
            </w:r>
          </w:p>
        </w:tc>
        <w:tc>
          <w:tcPr>
            <w:tcW w:w="8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100%</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其中：当年财政拨款　</w:t>
            </w:r>
          </w:p>
        </w:tc>
        <w:tc>
          <w:tcPr>
            <w:tcW w:w="122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lang w:val="en-US" w:eastAsia="zh-CN"/>
              </w:rPr>
              <w:t>1438.1</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b/>
                <w:bCs/>
                <w:color w:val="000000"/>
                <w:sz w:val="21"/>
                <w:szCs w:val="21"/>
              </w:rPr>
            </w:pPr>
            <w:r>
              <w:rPr>
                <w:rFonts w:hint="eastAsia" w:ascii="方正仿宋_GB2312" w:hAnsi="方正仿宋_GB2312" w:eastAsia="方正仿宋_GB2312" w:cs="方正仿宋_GB2312"/>
                <w:color w:val="000000"/>
                <w:sz w:val="21"/>
                <w:szCs w:val="21"/>
                <w:lang w:val="en-US" w:eastAsia="zh-CN"/>
              </w:rPr>
              <w:t>1438.1</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lang w:val="en-US" w:eastAsia="zh-CN"/>
              </w:rPr>
              <w:t>1438.1</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100%</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ind w:firstLine="630" w:firstLineChars="300"/>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上年结转资金　</w:t>
            </w:r>
          </w:p>
        </w:tc>
        <w:tc>
          <w:tcPr>
            <w:tcW w:w="122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p>
        </w:tc>
        <w:tc>
          <w:tcPr>
            <w:tcW w:w="873"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2160" w:type="dxa"/>
            <w:gridSpan w:val="2"/>
            <w:tcBorders>
              <w:top w:val="nil"/>
              <w:left w:val="nil"/>
              <w:bottom w:val="single" w:color="auto" w:sz="4" w:space="0"/>
              <w:right w:val="single" w:color="auto" w:sz="4" w:space="0"/>
            </w:tcBorders>
            <w:noWrap w:val="0"/>
            <w:vAlign w:val="center"/>
          </w:tcPr>
          <w:p>
            <w:pPr>
              <w:widowControl/>
              <w:ind w:firstLine="630" w:firstLineChars="300"/>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其他资金</w:t>
            </w:r>
          </w:p>
        </w:tc>
        <w:tc>
          <w:tcPr>
            <w:tcW w:w="122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lang w:val="en-US" w:eastAsia="zh-CN"/>
              </w:rPr>
            </w:pP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完成度100%</w:t>
            </w:r>
            <w:r>
              <w:rPr>
                <w:rFonts w:hint="eastAsia" w:ascii="方正仿宋_GB2312" w:hAnsi="方正仿宋_GB2312" w:eastAsia="方正仿宋_GB2312" w:cs="方正仿宋_GB2312"/>
                <w:color w:val="000000"/>
                <w:sz w:val="21"/>
                <w:szCs w:val="21"/>
              </w:rPr>
              <w:t>　　</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lang w:val="en-US" w:eastAsia="zh-CN"/>
              </w:rPr>
              <w:t>完成度100%</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绩</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指</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一级指标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二级指标</w:t>
            </w:r>
          </w:p>
        </w:tc>
        <w:tc>
          <w:tcPr>
            <w:tcW w:w="1224"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三级指标</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年度</w:t>
            </w:r>
          </w:p>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指标值</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实际</w:t>
            </w:r>
          </w:p>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完成值</w:t>
            </w:r>
          </w:p>
        </w:tc>
        <w:tc>
          <w:tcPr>
            <w:tcW w:w="82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分值</w:t>
            </w:r>
          </w:p>
        </w:tc>
        <w:tc>
          <w:tcPr>
            <w:tcW w:w="873"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得分</w:t>
            </w:r>
          </w:p>
        </w:tc>
        <w:tc>
          <w:tcPr>
            <w:tcW w:w="1418" w:type="dxa"/>
            <w:tcBorders>
              <w:top w:val="nil"/>
              <w:left w:val="nil"/>
              <w:bottom w:val="single" w:color="auto" w:sz="4" w:space="0"/>
              <w:right w:val="single" w:color="auto" w:sz="4" w:space="0"/>
            </w:tcBorders>
            <w:noWrap w:val="0"/>
            <w:vAlign w:val="center"/>
          </w:tcPr>
          <w:p>
            <w:pPr>
              <w:widowControl/>
              <w:spacing w:line="240" w:lineRule="exact"/>
              <w:jc w:val="both"/>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产出指标</w:t>
            </w:r>
          </w:p>
          <w:p>
            <w:pPr>
              <w:widowControl/>
              <w:jc w:val="center"/>
              <w:rPr>
                <w:rFonts w:hint="eastAsia" w:ascii="方正仿宋_GB2312" w:hAnsi="方正仿宋_GB2312" w:eastAsia="方正仿宋_GB2312" w:cs="方正仿宋_GB2312"/>
                <w:color w:val="000000"/>
                <w:sz w:val="21"/>
                <w:szCs w:val="21"/>
              </w:rPr>
            </w:pP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(50分)</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数量指标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2022年国家奖助学金</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1089.02万元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1089.02万元</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20</w:t>
            </w:r>
            <w:r>
              <w:rPr>
                <w:rFonts w:hint="eastAsia" w:ascii="方正仿宋_GB2312" w:hAnsi="方正仿宋_GB2312" w:eastAsia="方正仿宋_GB2312" w:cs="方正仿宋_GB2312"/>
                <w:color w:val="000000"/>
                <w:sz w:val="21"/>
                <w:szCs w:val="21"/>
                <w:lang w:val="en-US" w:eastAsia="zh-CN"/>
              </w:rPr>
              <w:t>22</w:t>
            </w:r>
            <w:r>
              <w:rPr>
                <w:rFonts w:hint="eastAsia" w:ascii="方正仿宋_GB2312" w:hAnsi="方正仿宋_GB2312" w:eastAsia="方正仿宋_GB2312" w:cs="方正仿宋_GB2312"/>
                <w:color w:val="000000"/>
                <w:sz w:val="21"/>
                <w:szCs w:val="21"/>
              </w:rPr>
              <w:t>年应征入伍服义务兵役国家资助</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349.08万元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349.08万元</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质量指标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国家助学金平均资助标准</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每人每年3300元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2"/>
                <w:sz w:val="21"/>
                <w:szCs w:val="21"/>
                <w:lang w:val="en-US" w:eastAsia="zh-CN" w:bidi="ar-SA"/>
              </w:rPr>
            </w:pPr>
            <w:r>
              <w:rPr>
                <w:rFonts w:hint="eastAsia" w:ascii="方正仿宋_GB2312" w:hAnsi="方正仿宋_GB2312" w:eastAsia="方正仿宋_GB2312" w:cs="方正仿宋_GB2312"/>
                <w:color w:val="000000"/>
                <w:sz w:val="21"/>
                <w:szCs w:val="21"/>
                <w:lang w:val="en-US" w:eastAsia="zh-CN"/>
              </w:rPr>
              <w:t>每人每年3300元</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color w:val="000000"/>
                <w:sz w:val="21"/>
                <w:szCs w:val="21"/>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实施分档资助</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分三档实施</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分三档实施</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时效指标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资助资金及时足额发放</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指标分配完成情况</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single" w:color="auto" w:sz="4" w:space="0"/>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效益指标</w:t>
            </w:r>
          </w:p>
          <w:p>
            <w:pPr>
              <w:widowControl/>
              <w:jc w:val="left"/>
              <w:rPr>
                <w:rFonts w:hint="eastAsia" w:ascii="方正仿宋_GB2312" w:hAnsi="方正仿宋_GB2312" w:eastAsia="方正仿宋_GB2312" w:cs="方正仿宋_GB2312"/>
                <w:color w:val="000000"/>
                <w:sz w:val="21"/>
                <w:szCs w:val="21"/>
              </w:rPr>
            </w:pPr>
          </w:p>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（30分）</w:t>
            </w:r>
          </w:p>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c>
          <w:tcPr>
            <w:tcW w:w="108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经济效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益指标</w:t>
            </w:r>
          </w:p>
        </w:tc>
        <w:tc>
          <w:tcPr>
            <w:tcW w:w="122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资助标准</w:t>
            </w:r>
          </w:p>
        </w:tc>
        <w:tc>
          <w:tcPr>
            <w:tcW w:w="113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lang w:eastAsia="zh-CN"/>
              </w:rPr>
              <w:t>稳定</w:t>
            </w:r>
          </w:p>
        </w:tc>
        <w:tc>
          <w:tcPr>
            <w:tcW w:w="1134" w:type="dxa"/>
            <w:tcBorders>
              <w:top w:val="single" w:color="auto" w:sz="4" w:space="0"/>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lang w:eastAsia="zh-CN"/>
              </w:rPr>
              <w:t>稳定</w:t>
            </w:r>
          </w:p>
        </w:tc>
        <w:tc>
          <w:tcPr>
            <w:tcW w:w="828"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社会效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益指标</w:t>
            </w:r>
          </w:p>
        </w:tc>
        <w:tc>
          <w:tcPr>
            <w:tcW w:w="122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学生资助政策知晓率</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生态效</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益指标</w:t>
            </w:r>
          </w:p>
        </w:tc>
        <w:tc>
          <w:tcPr>
            <w:tcW w:w="122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因贫失学现象</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lang w:eastAsia="zh-CN"/>
              </w:rPr>
              <w:t>无</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lang w:eastAsia="zh-CN"/>
              </w:rPr>
              <w:t>无</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可持续影响指标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家庭经济困难学生资助需求</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lang w:eastAsia="zh-CN"/>
              </w:rPr>
              <w:t>基本满足</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lang w:eastAsia="zh-CN"/>
              </w:rPr>
              <w:t>基本满足</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满意度</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指标</w:t>
            </w:r>
          </w:p>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w:t>
            </w:r>
            <w:r>
              <w:rPr>
                <w:rFonts w:hint="eastAsia" w:ascii="方正仿宋_GB2312" w:hAnsi="方正仿宋_GB2312" w:eastAsia="方正仿宋_GB2312" w:cs="方正仿宋_GB2312"/>
                <w:color w:val="000000"/>
                <w:sz w:val="21"/>
                <w:szCs w:val="21"/>
                <w:lang w:val="en-US" w:eastAsia="zh-CN"/>
              </w:rPr>
              <w:t>1</w:t>
            </w:r>
            <w:r>
              <w:rPr>
                <w:rFonts w:hint="eastAsia" w:ascii="方正仿宋_GB2312" w:hAnsi="方正仿宋_GB2312" w:eastAsia="方正仿宋_GB2312" w:cs="方正仿宋_GB2312"/>
                <w:color w:val="000000"/>
                <w:sz w:val="21"/>
                <w:szCs w:val="21"/>
              </w:rPr>
              <w:t>0分）</w:t>
            </w:r>
          </w:p>
        </w:tc>
        <w:tc>
          <w:tcPr>
            <w:tcW w:w="1080" w:type="dxa"/>
            <w:vMerge w:val="restart"/>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服务对象满意度指标</w:t>
            </w:r>
          </w:p>
        </w:tc>
        <w:tc>
          <w:tcPr>
            <w:tcW w:w="122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获国家助学金学生满意度</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nil"/>
              <w:bottom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000000"/>
                <w:sz w:val="21"/>
                <w:szCs w:val="21"/>
              </w:rPr>
            </w:pPr>
          </w:p>
        </w:tc>
        <w:tc>
          <w:tcPr>
            <w:tcW w:w="122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获国家奖学金、国家励志奖学金学生满意度</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trHeight w:val="90" w:hRule="atLeast"/>
          <w:jc w:val="center"/>
        </w:trPr>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080"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p>
        </w:tc>
        <w:tc>
          <w:tcPr>
            <w:tcW w:w="122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征兵入伍学生及家长满意度</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sz w:val="21"/>
                <w:szCs w:val="21"/>
              </w:rPr>
              <w:t>100%</w:t>
            </w:r>
          </w:p>
        </w:tc>
        <w:tc>
          <w:tcPr>
            <w:tcW w:w="82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3</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3</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总分</w:t>
            </w:r>
          </w:p>
        </w:tc>
        <w:tc>
          <w:tcPr>
            <w:tcW w:w="82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100</w:t>
            </w:r>
          </w:p>
        </w:tc>
        <w:tc>
          <w:tcPr>
            <w:tcW w:w="873"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lang w:val="en-US" w:eastAsia="zh-CN"/>
              </w:rPr>
            </w:pPr>
            <w:r>
              <w:rPr>
                <w:rFonts w:hint="eastAsia" w:ascii="方正仿宋_GB2312" w:hAnsi="方正仿宋_GB2312" w:eastAsia="方正仿宋_GB2312" w:cs="方正仿宋_GB2312"/>
                <w:color w:val="000000"/>
                <w:sz w:val="21"/>
                <w:szCs w:val="21"/>
              </w:rPr>
              <w:t>　</w:t>
            </w:r>
            <w:r>
              <w:rPr>
                <w:rFonts w:hint="eastAsia" w:ascii="方正仿宋_GB2312" w:hAnsi="方正仿宋_GB2312" w:eastAsia="方正仿宋_GB2312" w:cs="方正仿宋_GB2312"/>
                <w:color w:val="000000"/>
                <w:sz w:val="21"/>
                <w:szCs w:val="21"/>
                <w:lang w:val="en-US" w:eastAsia="zh-CN"/>
              </w:rPr>
              <w:t>100</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000000"/>
                <w:sz w:val="21"/>
                <w:szCs w:val="21"/>
              </w:rPr>
            </w:pPr>
            <w:r>
              <w:rPr>
                <w:rFonts w:hint="eastAsia" w:ascii="方正仿宋_GB2312" w:hAnsi="方正仿宋_GB2312" w:eastAsia="方正仿宋_GB2312" w:cs="方正仿宋_GB2312"/>
                <w:color w:val="000000"/>
                <w:sz w:val="21"/>
                <w:szCs w:val="21"/>
              </w:rPr>
              <w:t>　</w:t>
            </w:r>
          </w:p>
        </w:tc>
      </w:tr>
    </w:tbl>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rPr>
          <w:rFonts w:hint="eastAsia" w:cs="Times New Roman"/>
          <w:sz w:val="32"/>
          <w:szCs w:val="32"/>
          <w:lang w:val="en-US" w:eastAsia="zh-CN"/>
        </w:rPr>
      </w:pPr>
    </w:p>
    <w:p>
      <w:pPr>
        <w:pStyle w:val="2"/>
      </w:pPr>
      <w:r>
        <w:rPr>
          <w:rFonts w:hint="eastAsia" w:cs="Times New Roman"/>
          <w:sz w:val="32"/>
          <w:szCs w:val="32"/>
          <w:lang w:val="en-US" w:eastAsia="zh-CN"/>
        </w:rPr>
        <w:t>附件3-3：</w:t>
      </w:r>
    </w:p>
    <w:p>
      <w:pPr>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2022年度项目支出绩效自评表3</w:t>
      </w:r>
    </w:p>
    <w:tbl>
      <w:tblPr>
        <w:tblStyle w:val="12"/>
        <w:tblW w:w="9851" w:type="dxa"/>
        <w:jc w:val="center"/>
        <w:tblLayout w:type="autofit"/>
        <w:tblCellMar>
          <w:top w:w="0" w:type="dxa"/>
          <w:left w:w="108" w:type="dxa"/>
          <w:bottom w:w="0" w:type="dxa"/>
          <w:right w:w="108" w:type="dxa"/>
        </w:tblCellMar>
      </w:tblPr>
      <w:tblGrid>
        <w:gridCol w:w="1078"/>
        <w:gridCol w:w="1078"/>
        <w:gridCol w:w="1303"/>
        <w:gridCol w:w="1181"/>
        <w:gridCol w:w="948"/>
        <w:gridCol w:w="1132"/>
        <w:gridCol w:w="827"/>
        <w:gridCol w:w="872"/>
        <w:gridCol w:w="1432"/>
      </w:tblGrid>
      <w:tr>
        <w:trPr>
          <w:jc w:val="center"/>
        </w:trPr>
        <w:tc>
          <w:tcPr>
            <w:tcW w:w="1078"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项目支</w:t>
            </w:r>
          </w:p>
          <w:p>
            <w:pPr>
              <w:widowControl/>
              <w:spacing w:line="260" w:lineRule="exact"/>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出名称</w:t>
            </w:r>
          </w:p>
        </w:tc>
        <w:tc>
          <w:tcPr>
            <w:tcW w:w="8773"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lang w:val="en-US" w:eastAsia="zh-CN"/>
              </w:rPr>
              <w:t>“三高四新”和立德树人专项</w:t>
            </w:r>
          </w:p>
        </w:tc>
      </w:tr>
      <w:tr>
        <w:tblPrEx>
          <w:tblCellMar>
            <w:top w:w="0" w:type="dxa"/>
            <w:left w:w="108" w:type="dxa"/>
            <w:bottom w:w="0" w:type="dxa"/>
            <w:right w:w="108" w:type="dxa"/>
          </w:tblCellMar>
        </w:tblPrEx>
        <w:trPr>
          <w:jc w:val="center"/>
        </w:trPr>
        <w:tc>
          <w:tcPr>
            <w:tcW w:w="1078" w:type="dxa"/>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主管部门</w:t>
            </w:r>
          </w:p>
        </w:tc>
        <w:tc>
          <w:tcPr>
            <w:tcW w:w="4510" w:type="dxa"/>
            <w:gridSpan w:val="4"/>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2" w:type="dxa"/>
            <w:tcBorders>
              <w:top w:val="single" w:color="auto" w:sz="4" w:space="0"/>
              <w:left w:val="nil"/>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实施单位</w:t>
            </w:r>
          </w:p>
        </w:tc>
        <w:tc>
          <w:tcPr>
            <w:tcW w:w="3131" w:type="dxa"/>
            <w:gridSpan w:val="3"/>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湖南城建职业技术学院</w:t>
            </w:r>
          </w:p>
        </w:tc>
      </w:tr>
      <w:tr>
        <w:tblPrEx>
          <w:tblCellMar>
            <w:top w:w="0" w:type="dxa"/>
            <w:left w:w="108" w:type="dxa"/>
            <w:bottom w:w="0" w:type="dxa"/>
            <w:right w:w="108" w:type="dxa"/>
          </w:tblCellMar>
        </w:tblPrEx>
        <w:trPr>
          <w:jc w:val="center"/>
        </w:trPr>
        <w:tc>
          <w:tcPr>
            <w:tcW w:w="107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项目资金</w:t>
            </w:r>
            <w:r>
              <w:rPr>
                <w:rFonts w:hint="eastAsia" w:ascii="方正仿宋_GB2312" w:hAnsi="方正仿宋_GB2312" w:eastAsia="方正仿宋_GB2312" w:cs="方正仿宋_GB2312"/>
                <w:color w:val="auto"/>
                <w:sz w:val="21"/>
                <w:szCs w:val="21"/>
              </w:rPr>
              <w:br w:type="textWrapping"/>
            </w:r>
            <w:r>
              <w:rPr>
                <w:rFonts w:hint="eastAsia" w:ascii="方正仿宋_GB2312" w:hAnsi="方正仿宋_GB2312" w:eastAsia="方正仿宋_GB2312" w:cs="方正仿宋_GB2312"/>
                <w:color w:val="auto"/>
                <w:sz w:val="21"/>
                <w:szCs w:val="21"/>
              </w:rPr>
              <w:t>（万元）</w:t>
            </w:r>
          </w:p>
        </w:tc>
        <w:tc>
          <w:tcPr>
            <w:tcW w:w="2381"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81"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年初</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预算数</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全年</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预算数</w:t>
            </w:r>
          </w:p>
        </w:tc>
        <w:tc>
          <w:tcPr>
            <w:tcW w:w="1132"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全年</w:t>
            </w:r>
          </w:p>
          <w:p>
            <w:pPr>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执行数</w:t>
            </w:r>
          </w:p>
        </w:tc>
        <w:tc>
          <w:tcPr>
            <w:tcW w:w="827"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分值</w:t>
            </w:r>
          </w:p>
        </w:tc>
        <w:tc>
          <w:tcPr>
            <w:tcW w:w="872"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执行率</w:t>
            </w:r>
          </w:p>
        </w:tc>
        <w:tc>
          <w:tcPr>
            <w:tcW w:w="1432" w:type="dxa"/>
            <w:tcBorders>
              <w:top w:val="nil"/>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得分</w:t>
            </w:r>
          </w:p>
        </w:tc>
      </w:tr>
      <w:tr>
        <w:tblPrEx>
          <w:tblCellMar>
            <w:top w:w="0" w:type="dxa"/>
            <w:left w:w="108" w:type="dxa"/>
            <w:bottom w:w="0" w:type="dxa"/>
            <w:right w:w="108" w:type="dxa"/>
          </w:tblCellMar>
        </w:tblPrEx>
        <w:trPr>
          <w:jc w:val="center"/>
        </w:trPr>
        <w:tc>
          <w:tcPr>
            <w:tcW w:w="107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2381"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年度资金总额　</w:t>
            </w:r>
          </w:p>
        </w:tc>
        <w:tc>
          <w:tcPr>
            <w:tcW w:w="1181" w:type="dxa"/>
            <w:tcBorders>
              <w:top w:val="nil"/>
              <w:left w:val="nil"/>
              <w:bottom w:val="single" w:color="auto" w:sz="4" w:space="0"/>
              <w:right w:val="single" w:color="auto" w:sz="4" w:space="0"/>
            </w:tcBorders>
            <w:noWrap w:val="0"/>
            <w:vAlign w:val="center"/>
          </w:tcPr>
          <w:p>
            <w:pPr>
              <w:widowControl/>
              <w:ind w:firstLine="420" w:firstLineChars="200"/>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20</w:t>
            </w:r>
          </w:p>
        </w:tc>
        <w:tc>
          <w:tcPr>
            <w:tcW w:w="948" w:type="dxa"/>
            <w:tcBorders>
              <w:top w:val="nil"/>
              <w:left w:val="nil"/>
              <w:bottom w:val="single" w:color="auto" w:sz="4" w:space="0"/>
              <w:right w:val="single" w:color="auto" w:sz="4" w:space="0"/>
            </w:tcBorders>
            <w:noWrap w:val="0"/>
            <w:vAlign w:val="center"/>
          </w:tcPr>
          <w:p>
            <w:pPr>
              <w:widowControl/>
              <w:ind w:firstLine="420" w:firstLineChars="200"/>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20</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2.9718</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10</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14.8%</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5</w:t>
            </w:r>
          </w:p>
        </w:tc>
      </w:tr>
      <w:tr>
        <w:tblPrEx>
          <w:tblCellMar>
            <w:top w:w="0" w:type="dxa"/>
            <w:left w:w="108" w:type="dxa"/>
            <w:bottom w:w="0" w:type="dxa"/>
            <w:right w:w="108" w:type="dxa"/>
          </w:tblCellMar>
        </w:tblPrEx>
        <w:trPr>
          <w:jc w:val="center"/>
        </w:trPr>
        <w:tc>
          <w:tcPr>
            <w:tcW w:w="107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2381" w:type="dxa"/>
            <w:gridSpan w:val="2"/>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其中：当年财政拨款　</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rPr>
              <w:t>　</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2381" w:type="dxa"/>
            <w:gridSpan w:val="2"/>
            <w:tcBorders>
              <w:top w:val="nil"/>
              <w:left w:val="nil"/>
              <w:bottom w:val="single" w:color="auto" w:sz="4" w:space="0"/>
              <w:right w:val="single" w:color="auto" w:sz="4" w:space="0"/>
            </w:tcBorders>
            <w:noWrap w:val="0"/>
            <w:vAlign w:val="center"/>
          </w:tcPr>
          <w:p>
            <w:pPr>
              <w:widowControl/>
              <w:ind w:firstLine="630" w:firstLineChars="300"/>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上年结转资金　</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2381" w:type="dxa"/>
            <w:gridSpan w:val="2"/>
            <w:tcBorders>
              <w:top w:val="nil"/>
              <w:left w:val="nil"/>
              <w:bottom w:val="single" w:color="auto" w:sz="4" w:space="0"/>
              <w:right w:val="single" w:color="auto" w:sz="4" w:space="0"/>
            </w:tcBorders>
            <w:noWrap w:val="0"/>
            <w:vAlign w:val="center"/>
          </w:tcPr>
          <w:p>
            <w:pPr>
              <w:widowControl/>
              <w:ind w:firstLine="630" w:firstLineChars="300"/>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其他资金</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年度总体目标</w:t>
            </w:r>
          </w:p>
        </w:tc>
        <w:tc>
          <w:tcPr>
            <w:tcW w:w="4510"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预期目标</w:t>
            </w:r>
          </w:p>
        </w:tc>
        <w:tc>
          <w:tcPr>
            <w:tcW w:w="4263"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实际完成情况　</w:t>
            </w:r>
          </w:p>
        </w:tc>
      </w:tr>
      <w:tr>
        <w:tblPrEx>
          <w:tblCellMar>
            <w:top w:w="0" w:type="dxa"/>
            <w:left w:w="108" w:type="dxa"/>
            <w:bottom w:w="0" w:type="dxa"/>
            <w:right w:w="108" w:type="dxa"/>
          </w:tblCellMar>
        </w:tblPrEx>
        <w:trPr>
          <w:jc w:val="center"/>
        </w:trPr>
        <w:tc>
          <w:tcPr>
            <w:tcW w:w="107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4510"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lang w:val="en-US" w:eastAsia="zh-CN"/>
              </w:rPr>
              <w:t>2022年计划完成5个45分钟视频拍摄+10个思政移动课堂+20个精品微课，完成《概论课》的分专题教学课件，完成《概论课》的分专题教案</w:t>
            </w:r>
            <w:r>
              <w:rPr>
                <w:rFonts w:hint="eastAsia" w:ascii="方正仿宋_GB2312" w:hAnsi="方正仿宋_GB2312" w:eastAsia="方正仿宋_GB2312" w:cs="方正仿宋_GB2312"/>
                <w:color w:val="auto"/>
                <w:sz w:val="21"/>
                <w:szCs w:val="21"/>
              </w:rPr>
              <w:t>　</w:t>
            </w:r>
          </w:p>
        </w:tc>
        <w:tc>
          <w:tcPr>
            <w:tcW w:w="4263" w:type="dxa"/>
            <w:gridSpan w:val="4"/>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实际完成5个微课，还需进一步优化。</w:t>
            </w:r>
          </w:p>
        </w:tc>
      </w:tr>
      <w:tr>
        <w:tblPrEx>
          <w:tblCellMar>
            <w:top w:w="0" w:type="dxa"/>
            <w:left w:w="108" w:type="dxa"/>
            <w:bottom w:w="0" w:type="dxa"/>
            <w:right w:w="108" w:type="dxa"/>
          </w:tblCellMar>
        </w:tblPrEx>
        <w:trPr>
          <w:jc w:val="center"/>
        </w:trPr>
        <w:tc>
          <w:tcPr>
            <w:tcW w:w="1078" w:type="dxa"/>
            <w:vMerge w:val="restart"/>
            <w:tcBorders>
              <w:top w:val="nil"/>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绩</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效</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指</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标</w:t>
            </w:r>
          </w:p>
        </w:tc>
        <w:tc>
          <w:tcPr>
            <w:tcW w:w="107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一级指标</w:t>
            </w:r>
          </w:p>
        </w:tc>
        <w:tc>
          <w:tcPr>
            <w:tcW w:w="1303"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二级指标</w:t>
            </w:r>
          </w:p>
        </w:tc>
        <w:tc>
          <w:tcPr>
            <w:tcW w:w="1181"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三级指标</w:t>
            </w:r>
          </w:p>
        </w:tc>
        <w:tc>
          <w:tcPr>
            <w:tcW w:w="948"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年度</w:t>
            </w:r>
          </w:p>
          <w:p>
            <w:pPr>
              <w:widowControl/>
              <w:spacing w:line="240" w:lineRule="exact"/>
              <w:jc w:val="center"/>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指标值</w:t>
            </w:r>
          </w:p>
        </w:tc>
        <w:tc>
          <w:tcPr>
            <w:tcW w:w="1132"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实际</w:t>
            </w:r>
          </w:p>
          <w:p>
            <w:pPr>
              <w:widowControl/>
              <w:spacing w:line="240" w:lineRule="exact"/>
              <w:jc w:val="center"/>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完成值</w:t>
            </w:r>
          </w:p>
        </w:tc>
        <w:tc>
          <w:tcPr>
            <w:tcW w:w="827"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分值</w:t>
            </w:r>
          </w:p>
        </w:tc>
        <w:tc>
          <w:tcPr>
            <w:tcW w:w="872" w:type="dxa"/>
            <w:tcBorders>
              <w:top w:val="nil"/>
              <w:left w:val="nil"/>
              <w:bottom w:val="single" w:color="auto" w:sz="4" w:space="0"/>
              <w:right w:val="single" w:color="auto" w:sz="4" w:space="0"/>
            </w:tcBorders>
            <w:noWrap w:val="0"/>
            <w:vAlign w:val="center"/>
          </w:tcPr>
          <w:p>
            <w:pPr>
              <w:widowControl/>
              <w:spacing w:line="240" w:lineRule="exact"/>
              <w:jc w:val="center"/>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得分</w:t>
            </w:r>
          </w:p>
        </w:tc>
        <w:tc>
          <w:tcPr>
            <w:tcW w:w="1432" w:type="dxa"/>
            <w:tcBorders>
              <w:top w:val="nil"/>
              <w:left w:val="nil"/>
              <w:bottom w:val="single" w:color="auto" w:sz="4" w:space="0"/>
              <w:right w:val="single" w:color="auto" w:sz="4" w:space="0"/>
            </w:tcBorders>
            <w:noWrap w:val="0"/>
            <w:vAlign w:val="center"/>
          </w:tcPr>
          <w:p>
            <w:pPr>
              <w:widowControl/>
              <w:spacing w:line="240" w:lineRule="exact"/>
              <w:jc w:val="both"/>
              <w:rPr>
                <w:rFonts w:hint="eastAsia" w:ascii="方正仿宋_GB2312" w:hAnsi="方正仿宋_GB2312" w:eastAsia="方正仿宋_GB2312" w:cs="方正仿宋_GB2312"/>
                <w:b w:val="0"/>
                <w:bCs w:val="0"/>
                <w:color w:val="auto"/>
                <w:sz w:val="21"/>
                <w:szCs w:val="21"/>
              </w:rPr>
            </w:pPr>
            <w:r>
              <w:rPr>
                <w:rFonts w:hint="eastAsia" w:ascii="方正仿宋_GB2312" w:hAnsi="方正仿宋_GB2312" w:eastAsia="方正仿宋_GB2312" w:cs="方正仿宋_GB2312"/>
                <w:b w:val="0"/>
                <w:bCs w:val="0"/>
                <w:color w:val="auto"/>
                <w:sz w:val="21"/>
                <w:szCs w:val="21"/>
              </w:rPr>
              <w:t>偏差原因分析及改进措施</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产出指标</w:t>
            </w:r>
          </w:p>
          <w:p>
            <w:pPr>
              <w:widowControl/>
              <w:jc w:val="center"/>
              <w:rPr>
                <w:rFonts w:hint="eastAsia" w:ascii="方正仿宋_GB2312" w:hAnsi="方正仿宋_GB2312" w:eastAsia="方正仿宋_GB2312" w:cs="方正仿宋_GB2312"/>
                <w:color w:val="auto"/>
                <w:sz w:val="21"/>
                <w:szCs w:val="21"/>
              </w:rPr>
            </w:pP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r>
              <w:rPr>
                <w:rFonts w:hint="eastAsia" w:ascii="方正仿宋_GB2312" w:hAnsi="方正仿宋_GB2312" w:eastAsia="方正仿宋_GB2312" w:cs="方正仿宋_GB2312"/>
                <w:color w:val="auto"/>
                <w:sz w:val="21"/>
                <w:szCs w:val="21"/>
                <w:lang w:val="en-US" w:eastAsia="zh-CN"/>
              </w:rPr>
              <w:t>6</w:t>
            </w:r>
            <w:r>
              <w:rPr>
                <w:rFonts w:hint="eastAsia" w:ascii="方正仿宋_GB2312" w:hAnsi="方正仿宋_GB2312" w:eastAsia="方正仿宋_GB2312" w:cs="方正仿宋_GB2312"/>
                <w:color w:val="auto"/>
                <w:sz w:val="21"/>
                <w:szCs w:val="21"/>
              </w:rPr>
              <w:t>0分)</w:t>
            </w:r>
          </w:p>
        </w:tc>
        <w:tc>
          <w:tcPr>
            <w:tcW w:w="1303"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数量指标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i w:val="0"/>
                <w:color w:val="auto"/>
                <w:sz w:val="21"/>
                <w:szCs w:val="21"/>
                <w:u w:val="none"/>
                <w:lang w:val="en-US" w:eastAsia="zh-CN"/>
              </w:rPr>
              <w:t>45分钟视频数量</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5</w:t>
            </w:r>
          </w:p>
        </w:tc>
        <w:tc>
          <w:tcPr>
            <w:tcW w:w="113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3</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10</w:t>
            </w:r>
          </w:p>
        </w:tc>
        <w:tc>
          <w:tcPr>
            <w:tcW w:w="87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6</w:t>
            </w:r>
          </w:p>
        </w:tc>
        <w:tc>
          <w:tcPr>
            <w:tcW w:w="1432" w:type="dxa"/>
            <w:vMerge w:val="restart"/>
            <w:tcBorders>
              <w:top w:val="nil"/>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因2022年下半年参加国赛导致未能完成，2023年将会在验收前完成。</w:t>
            </w:r>
          </w:p>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trHeight w:val="345" w:hRule="atLeast"/>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思政移动课堂数量</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10</w:t>
            </w:r>
          </w:p>
        </w:tc>
        <w:tc>
          <w:tcPr>
            <w:tcW w:w="113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4</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10</w:t>
            </w:r>
          </w:p>
        </w:tc>
        <w:tc>
          <w:tcPr>
            <w:tcW w:w="87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4</w:t>
            </w:r>
          </w:p>
        </w:tc>
        <w:tc>
          <w:tcPr>
            <w:tcW w:w="1432"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trHeight w:val="206" w:hRule="atLeast"/>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p>
        </w:tc>
        <w:tc>
          <w:tcPr>
            <w:tcW w:w="1181"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精品微课数量</w:t>
            </w:r>
          </w:p>
        </w:tc>
        <w:tc>
          <w:tcPr>
            <w:tcW w:w="94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60</w:t>
            </w:r>
          </w:p>
        </w:tc>
        <w:tc>
          <w:tcPr>
            <w:tcW w:w="113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60</w:t>
            </w:r>
          </w:p>
        </w:tc>
        <w:tc>
          <w:tcPr>
            <w:tcW w:w="82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10</w:t>
            </w:r>
          </w:p>
        </w:tc>
        <w:tc>
          <w:tcPr>
            <w:tcW w:w="87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10</w:t>
            </w:r>
          </w:p>
        </w:tc>
        <w:tc>
          <w:tcPr>
            <w:tcW w:w="1432"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trHeight w:val="116" w:hRule="atLeast"/>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p>
        </w:tc>
        <w:tc>
          <w:tcPr>
            <w:tcW w:w="1181"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教学课件数量</w:t>
            </w:r>
          </w:p>
        </w:tc>
        <w:tc>
          <w:tcPr>
            <w:tcW w:w="94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60</w:t>
            </w:r>
          </w:p>
        </w:tc>
        <w:tc>
          <w:tcPr>
            <w:tcW w:w="113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10</w:t>
            </w:r>
          </w:p>
        </w:tc>
        <w:tc>
          <w:tcPr>
            <w:tcW w:w="82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5</w:t>
            </w:r>
          </w:p>
        </w:tc>
        <w:tc>
          <w:tcPr>
            <w:tcW w:w="87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2</w:t>
            </w:r>
          </w:p>
        </w:tc>
        <w:tc>
          <w:tcPr>
            <w:tcW w:w="1432"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教学设计（专题教案数量）</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40</w:t>
            </w:r>
          </w:p>
        </w:tc>
        <w:tc>
          <w:tcPr>
            <w:tcW w:w="113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10</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5</w:t>
            </w:r>
          </w:p>
        </w:tc>
        <w:tc>
          <w:tcPr>
            <w:tcW w:w="87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3</w:t>
            </w:r>
          </w:p>
        </w:tc>
        <w:tc>
          <w:tcPr>
            <w:tcW w:w="1432"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理论知识点</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80</w:t>
            </w:r>
          </w:p>
        </w:tc>
        <w:tc>
          <w:tcPr>
            <w:tcW w:w="113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20</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2</w:t>
            </w:r>
          </w:p>
        </w:tc>
        <w:tc>
          <w:tcPr>
            <w:tcW w:w="87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1</w:t>
            </w:r>
          </w:p>
        </w:tc>
        <w:tc>
          <w:tcPr>
            <w:tcW w:w="1432" w:type="dxa"/>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案例</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120</w:t>
            </w:r>
          </w:p>
        </w:tc>
        <w:tc>
          <w:tcPr>
            <w:tcW w:w="113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40</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3</w:t>
            </w:r>
          </w:p>
        </w:tc>
        <w:tc>
          <w:tcPr>
            <w:tcW w:w="87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1</w:t>
            </w:r>
          </w:p>
        </w:tc>
        <w:tc>
          <w:tcPr>
            <w:tcW w:w="1432" w:type="dxa"/>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试题</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6000道</w:t>
            </w:r>
          </w:p>
        </w:tc>
        <w:tc>
          <w:tcPr>
            <w:tcW w:w="113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6000</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3</w:t>
            </w:r>
          </w:p>
        </w:tc>
        <w:tc>
          <w:tcPr>
            <w:tcW w:w="87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1</w:t>
            </w:r>
          </w:p>
        </w:tc>
        <w:tc>
          <w:tcPr>
            <w:tcW w:w="1432" w:type="dxa"/>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课程同城集体备课</w:t>
            </w:r>
          </w:p>
        </w:tc>
        <w:tc>
          <w:tcPr>
            <w:tcW w:w="948"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6次</w:t>
            </w:r>
          </w:p>
        </w:tc>
        <w:tc>
          <w:tcPr>
            <w:tcW w:w="113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2</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2</w:t>
            </w:r>
          </w:p>
        </w:tc>
        <w:tc>
          <w:tcPr>
            <w:tcW w:w="872"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kern w:val="2"/>
                <w:sz w:val="21"/>
                <w:szCs w:val="21"/>
                <w:lang w:val="en-US" w:eastAsia="zh-CN" w:bidi="ar-SA"/>
              </w:rPr>
            </w:pPr>
            <w:r>
              <w:rPr>
                <w:rFonts w:hint="eastAsia" w:ascii="方正仿宋_GB2312" w:hAnsi="方正仿宋_GB2312" w:eastAsia="方正仿宋_GB2312" w:cs="方正仿宋_GB2312"/>
                <w:color w:val="auto"/>
                <w:sz w:val="21"/>
                <w:szCs w:val="21"/>
                <w:lang w:val="en-US" w:eastAsia="zh-CN"/>
              </w:rPr>
              <w:t>1</w:t>
            </w:r>
          </w:p>
        </w:tc>
        <w:tc>
          <w:tcPr>
            <w:tcW w:w="1432" w:type="dxa"/>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质量指标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i w:val="0"/>
                <w:color w:val="auto"/>
                <w:sz w:val="21"/>
                <w:szCs w:val="21"/>
                <w:u w:val="none"/>
                <w:lang w:eastAsia="zh-CN"/>
              </w:rPr>
              <w:t>课程资源建设合格率</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kern w:val="0"/>
                <w:sz w:val="21"/>
                <w:szCs w:val="21"/>
                <w:lang w:val="en-US" w:eastAsia="zh-CN"/>
              </w:rPr>
              <w:t>100%</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80%</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15</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lang w:val="en-US" w:eastAsia="zh-CN"/>
              </w:rPr>
              <w:t>12</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lang w:val="en-US" w:eastAsia="zh-CN"/>
              </w:rPr>
              <w:t>目前工作正在进行当中，将会在验收前完成。</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时效指标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成本指标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restart"/>
            <w:tcBorders>
              <w:top w:val="nil"/>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效益指标（30分）</w:t>
            </w:r>
          </w:p>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303"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经济效</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益指标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社会效</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益指标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i w:val="0"/>
                <w:color w:val="auto"/>
                <w:sz w:val="21"/>
                <w:szCs w:val="21"/>
                <w:u w:val="none"/>
                <w:lang w:eastAsia="zh-CN"/>
              </w:rPr>
              <w:t>受益学生数</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rPr>
              <w:t>　</w:t>
            </w:r>
            <w:r>
              <w:rPr>
                <w:rFonts w:hint="eastAsia" w:ascii="方正仿宋_GB2312" w:hAnsi="方正仿宋_GB2312" w:eastAsia="方正仿宋_GB2312" w:cs="方正仿宋_GB2312"/>
                <w:color w:val="auto"/>
                <w:kern w:val="0"/>
                <w:sz w:val="21"/>
                <w:szCs w:val="21"/>
                <w:lang w:val="en-US" w:eastAsia="zh-CN"/>
              </w:rPr>
              <w:t>11000</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rPr>
              <w:t>　</w:t>
            </w:r>
            <w:r>
              <w:rPr>
                <w:rFonts w:hint="eastAsia" w:ascii="方正仿宋_GB2312" w:hAnsi="方正仿宋_GB2312" w:eastAsia="方正仿宋_GB2312" w:cs="方正仿宋_GB2312"/>
                <w:color w:val="auto"/>
                <w:kern w:val="0"/>
                <w:sz w:val="21"/>
                <w:szCs w:val="21"/>
                <w:lang w:val="en-US" w:eastAsia="zh-CN"/>
              </w:rPr>
              <w:t>11000</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rPr>
              <w:t>　</w:t>
            </w:r>
            <w:r>
              <w:rPr>
                <w:rFonts w:hint="eastAsia" w:ascii="方正仿宋_GB2312" w:hAnsi="方正仿宋_GB2312" w:eastAsia="方正仿宋_GB2312" w:cs="方正仿宋_GB2312"/>
                <w:color w:val="auto"/>
                <w:kern w:val="0"/>
                <w:sz w:val="21"/>
                <w:szCs w:val="21"/>
                <w:lang w:val="en-US" w:eastAsia="zh-CN"/>
              </w:rPr>
              <w:t>30</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lang w:val="en-US" w:eastAsia="zh-CN" w:bidi="ar-SA"/>
              </w:rPr>
              <w:t>30</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生态效</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益指标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303"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可持续影响指标</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181"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single" w:color="auto" w:sz="4" w:space="0"/>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303"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满意度</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指标</w:t>
            </w:r>
          </w:p>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（10分）</w:t>
            </w:r>
          </w:p>
        </w:tc>
        <w:tc>
          <w:tcPr>
            <w:tcW w:w="1303" w:type="dxa"/>
            <w:vMerge w:val="restart"/>
            <w:tcBorders>
              <w:top w:val="nil"/>
              <w:left w:val="nil"/>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服务对象满意度指标</w:t>
            </w: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i w:val="0"/>
                <w:color w:val="auto"/>
                <w:sz w:val="21"/>
                <w:szCs w:val="21"/>
                <w:u w:val="none"/>
                <w:lang w:eastAsia="zh-CN"/>
              </w:rPr>
              <w:t>受益学生数</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rPr>
              <w:t>　</w:t>
            </w:r>
            <w:r>
              <w:rPr>
                <w:rFonts w:hint="eastAsia" w:ascii="方正仿宋_GB2312" w:hAnsi="方正仿宋_GB2312" w:eastAsia="方正仿宋_GB2312" w:cs="方正仿宋_GB2312"/>
                <w:color w:val="auto"/>
                <w:kern w:val="0"/>
                <w:sz w:val="21"/>
                <w:szCs w:val="21"/>
                <w:lang w:val="en-US" w:eastAsia="zh-CN"/>
              </w:rPr>
              <w:t>11000</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lang w:val="en-US" w:eastAsia="zh-CN"/>
              </w:rPr>
              <w:t>11000</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rPr>
              <w:t>　</w:t>
            </w:r>
            <w:r>
              <w:rPr>
                <w:rFonts w:hint="eastAsia" w:ascii="方正仿宋_GB2312" w:hAnsi="方正仿宋_GB2312" w:eastAsia="方正仿宋_GB2312" w:cs="方正仿宋_GB2312"/>
                <w:color w:val="auto"/>
                <w:kern w:val="0"/>
                <w:sz w:val="21"/>
                <w:szCs w:val="21"/>
                <w:lang w:val="en-US" w:eastAsia="zh-CN"/>
              </w:rPr>
              <w:t>10</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kern w:val="0"/>
                <w:sz w:val="21"/>
                <w:szCs w:val="21"/>
                <w:lang w:val="en-US" w:eastAsia="zh-CN" w:bidi="ar-SA"/>
              </w:rPr>
            </w:pPr>
            <w:r>
              <w:rPr>
                <w:rFonts w:hint="eastAsia" w:ascii="方正仿宋_GB2312" w:hAnsi="方正仿宋_GB2312" w:eastAsia="方正仿宋_GB2312" w:cs="方正仿宋_GB2312"/>
                <w:color w:val="auto"/>
                <w:kern w:val="0"/>
                <w:sz w:val="21"/>
                <w:szCs w:val="21"/>
                <w:lang w:val="en-US" w:eastAsia="zh-CN"/>
              </w:rPr>
              <w:t>10</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right w:val="single" w:color="auto" w:sz="4" w:space="0"/>
            </w:tcBorders>
            <w:noWrap w:val="0"/>
            <w:vAlign w:val="center"/>
          </w:tcPr>
          <w:p>
            <w:pPr>
              <w:jc w:val="left"/>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1078"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078"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303" w:type="dxa"/>
            <w:vMerge w:val="continue"/>
            <w:tcBorders>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p>
        </w:tc>
        <w:tc>
          <w:tcPr>
            <w:tcW w:w="1181"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w:t>
            </w:r>
          </w:p>
        </w:tc>
        <w:tc>
          <w:tcPr>
            <w:tcW w:w="948"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1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27"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r>
        <w:tblPrEx>
          <w:tblCellMar>
            <w:top w:w="0" w:type="dxa"/>
            <w:left w:w="108" w:type="dxa"/>
            <w:bottom w:w="0" w:type="dxa"/>
            <w:right w:w="108" w:type="dxa"/>
          </w:tblCellMar>
        </w:tblPrEx>
        <w:trPr>
          <w:jc w:val="center"/>
        </w:trPr>
        <w:tc>
          <w:tcPr>
            <w:tcW w:w="6720"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总分</w:t>
            </w:r>
          </w:p>
        </w:tc>
        <w:tc>
          <w:tcPr>
            <w:tcW w:w="827" w:type="dxa"/>
            <w:tcBorders>
              <w:top w:val="nil"/>
              <w:left w:val="nil"/>
              <w:bottom w:val="single" w:color="auto" w:sz="4" w:space="0"/>
              <w:right w:val="single" w:color="auto" w:sz="4" w:space="0"/>
            </w:tcBorders>
            <w:noWrap w:val="0"/>
            <w:vAlign w:val="center"/>
          </w:tcPr>
          <w:p>
            <w:pPr>
              <w:widowControl/>
              <w:jc w:val="center"/>
              <w:rPr>
                <w:rFonts w:hint="eastAsia" w:ascii="方正仿宋_GB2312" w:hAnsi="方正仿宋_GB2312" w:eastAsia="方正仿宋_GB2312" w:cs="方正仿宋_GB2312"/>
                <w:color w:val="auto"/>
                <w:sz w:val="21"/>
                <w:szCs w:val="21"/>
              </w:rPr>
            </w:pPr>
          </w:p>
        </w:tc>
        <w:tc>
          <w:tcPr>
            <w:tcW w:w="87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lang w:val="en-US" w:eastAsia="zh-CN"/>
              </w:rPr>
            </w:pPr>
            <w:r>
              <w:rPr>
                <w:rFonts w:hint="eastAsia" w:ascii="方正仿宋_GB2312" w:hAnsi="方正仿宋_GB2312" w:eastAsia="方正仿宋_GB2312" w:cs="方正仿宋_GB2312"/>
                <w:color w:val="auto"/>
                <w:sz w:val="21"/>
                <w:szCs w:val="21"/>
              </w:rPr>
              <w:t>　</w:t>
            </w:r>
            <w:r>
              <w:rPr>
                <w:rFonts w:hint="eastAsia" w:ascii="方正仿宋_GB2312" w:hAnsi="方正仿宋_GB2312" w:eastAsia="方正仿宋_GB2312" w:cs="方正仿宋_GB2312"/>
                <w:color w:val="auto"/>
                <w:sz w:val="21"/>
                <w:szCs w:val="21"/>
                <w:lang w:val="en-US" w:eastAsia="zh-CN"/>
              </w:rPr>
              <w:t>81</w:t>
            </w:r>
          </w:p>
        </w:tc>
        <w:tc>
          <w:tcPr>
            <w:tcW w:w="1432" w:type="dxa"/>
            <w:tcBorders>
              <w:top w:val="nil"/>
              <w:left w:val="nil"/>
              <w:bottom w:val="single" w:color="auto" w:sz="4" w:space="0"/>
              <w:right w:val="single" w:color="auto" w:sz="4" w:space="0"/>
            </w:tcBorders>
            <w:noWrap w:val="0"/>
            <w:vAlign w:val="center"/>
          </w:tcPr>
          <w:p>
            <w:pPr>
              <w:widowControl/>
              <w:jc w:val="left"/>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rPr>
              <w:t>　</w:t>
            </w:r>
          </w:p>
        </w:tc>
      </w:tr>
    </w:tbl>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pPr>
      <w:r>
        <w:rPr>
          <w:rFonts w:hint="eastAsia" w:cs="Times New Roman"/>
          <w:sz w:val="32"/>
          <w:szCs w:val="32"/>
          <w:lang w:val="en-US" w:eastAsia="zh-CN"/>
        </w:rPr>
        <w:t>附件3-4：</w:t>
      </w:r>
    </w:p>
    <w:p>
      <w:pPr>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2022年度项目支出绩效自评表4</w:t>
      </w:r>
    </w:p>
    <w:tbl>
      <w:tblPr>
        <w:tblStyle w:val="12"/>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widowControl/>
              <w:spacing w:line="26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rPr>
            </w:pPr>
            <w:r>
              <w:rPr>
                <w:rFonts w:hint="eastAsia" w:ascii="Times New Roman" w:hAnsi="Times New Roman" w:eastAsia="仿宋_GB2312" w:cs="Times New Roman"/>
                <w:color w:val="000000"/>
                <w:sz w:val="20"/>
                <w:szCs w:val="20"/>
                <w:lang w:val="en-US" w:eastAsia="zh-CN"/>
              </w:rPr>
              <w:t>教育综合发展专项（教育信息化）-2022年智慧教育平台“大国长技”试点项目“湖湘特色古村落数字博物馆”</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22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　</w:t>
            </w:r>
          </w:p>
        </w:tc>
        <w:tc>
          <w:tcPr>
            <w:tcW w:w="122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0.162</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1.62</w:t>
            </w:r>
            <w:r>
              <w:rPr>
                <w:rFonts w:hint="eastAsia" w:ascii="Times New Roman" w:hAnsi="Times New Roman" w:eastAsia="仿宋_GB2312" w:cs="Times New Roman"/>
                <w:color w:val="000000"/>
                <w:sz w:val="20"/>
                <w:szCs w:val="20"/>
                <w:lang w:val="en-US" w:eastAsia="zh-CN"/>
              </w:rPr>
              <w:t>%</w:t>
            </w:r>
          </w:p>
        </w:tc>
        <w:tc>
          <w:tcPr>
            <w:tcW w:w="141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FF0000"/>
                <w:sz w:val="20"/>
                <w:szCs w:val="20"/>
                <w:lang w:val="en-US" w:eastAsia="zh-CN"/>
              </w:rPr>
              <w:t>0.2</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　</w:t>
            </w:r>
          </w:p>
        </w:tc>
        <w:tc>
          <w:tcPr>
            <w:tcW w:w="1224"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val="en-US" w:eastAsia="zh-CN"/>
              </w:rPr>
            </w:pP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0.162</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1.62</w:t>
            </w:r>
            <w:r>
              <w:rPr>
                <w:rFonts w:hint="eastAsia" w:ascii="Times New Roman" w:hAnsi="Times New Roman" w:eastAsia="仿宋_GB2312" w:cs="Times New Roman"/>
                <w:color w:val="000000"/>
                <w:sz w:val="20"/>
                <w:szCs w:val="20"/>
                <w:lang w:val="en-US" w:eastAsia="zh-CN"/>
              </w:rPr>
              <w:t>%</w:t>
            </w:r>
          </w:p>
        </w:tc>
        <w:tc>
          <w:tcPr>
            <w:tcW w:w="141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0.2</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ind w:firstLine="600" w:firstLineChars="300"/>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　</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ind w:firstLine="600" w:firstLineChars="300"/>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ind w:firstLine="400" w:firstLineChars="200"/>
              <w:jc w:val="left"/>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严格按照《“大国长技”行业数字博物馆遴选及建设标准》等要求。根据自有特点，应用unity3d 平台开发，采用 3ds Max 进行模型构建，基于WebGL技术，采用图文、语音视频、动画、3D、虚拟仿真等形式整体建设“湖湘特色古村落数字博物馆”。</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ind w:firstLine="400" w:firstLineChars="200"/>
              <w:jc w:val="left"/>
              <w:rPr>
                <w:rFonts w:hint="default" w:ascii="Times New Roman" w:hAnsi="Times New Roman" w:eastAsia="仿宋_GB2312" w:cs="Times New Roman"/>
                <w:color w:val="000000"/>
                <w:sz w:val="20"/>
                <w:szCs w:val="20"/>
                <w:lang w:val="en-US"/>
              </w:rPr>
            </w:pPr>
            <w:r>
              <w:rPr>
                <w:rFonts w:hint="eastAsia" w:ascii="Times New Roman" w:hAnsi="Times New Roman" w:eastAsia="仿宋_GB2312" w:cs="Times New Roman"/>
                <w:color w:val="000000"/>
                <w:sz w:val="20"/>
                <w:szCs w:val="20"/>
                <w:lang w:val="en-US" w:eastAsia="zh-CN"/>
              </w:rPr>
              <w:t>已初步搭建完成了村落导览区、历史馆、文化馆、风貌馆、非遗馆、复兴馆等6个分馆所的浏览界面，并完成了部分数字素材。已初步实现网上展览、自主学习和交互操作，在项目组15个数字博物馆内测中排名第6。</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widowControl/>
              <w:spacing w:line="240" w:lineRule="exact"/>
              <w:jc w:val="both"/>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widowControl/>
              <w:jc w:val="center"/>
              <w:rPr>
                <w:rFonts w:hint="default" w:ascii="Times New Roman" w:hAnsi="Times New Roman" w:eastAsia="仿宋_GB2312" w:cs="Times New Roman"/>
                <w:color w:val="000000"/>
                <w:sz w:val="20"/>
                <w:szCs w:val="20"/>
              </w:rPr>
            </w:pP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分馆搭建</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6个分馆</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6个分馆</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20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20</w:t>
            </w:r>
          </w:p>
        </w:tc>
        <w:tc>
          <w:tcPr>
            <w:tcW w:w="141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素材制作</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符合标准</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符合标准</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kern w:val="2"/>
                <w:sz w:val="20"/>
                <w:szCs w:val="20"/>
                <w:lang w:val="en-US" w:eastAsia="zh-CN" w:bidi="ar-SA"/>
              </w:rPr>
            </w:pP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素材精度</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符合标准</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符合标准</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调研、会议</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5次</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5次</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widowControl/>
              <w:jc w:val="left"/>
              <w:rPr>
                <w:rFonts w:hint="default" w:ascii="Times New Roman" w:hAnsi="Times New Roman" w:eastAsia="仿宋_GB2312" w:cs="Times New Roman"/>
                <w:color w:val="000000"/>
                <w:sz w:val="20"/>
                <w:szCs w:val="20"/>
              </w:rPr>
            </w:pPr>
          </w:p>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经费使用率</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0.2</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经费于11月下拨，下拨时间较晚</w:t>
            </w:r>
          </w:p>
        </w:tc>
      </w:tr>
      <w:tr>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浏览人数</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建设期中，还未整体上线</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收藏、引用次数</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w:t>
            </w:r>
          </w:p>
        </w:tc>
        <w:tc>
          <w:tcPr>
            <w:tcW w:w="1134"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建设期中，还未整体上线</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val="en-US" w:eastAsia="zh-CN"/>
              </w:rPr>
              <w:t>生态价值</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社会影响</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服务对象满意度指标</w:t>
            </w:r>
          </w:p>
        </w:tc>
        <w:tc>
          <w:tcPr>
            <w:tcW w:w="122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rPr>
            </w:pPr>
            <w:r>
              <w:rPr>
                <w:rFonts w:hint="eastAsia" w:ascii="Times New Roman" w:hAnsi="Times New Roman" w:eastAsia="仿宋_GB2312" w:cs="Times New Roman"/>
                <w:color w:val="000000"/>
                <w:sz w:val="20"/>
                <w:szCs w:val="20"/>
                <w:lang w:val="en-US" w:eastAsia="zh-CN"/>
              </w:rPr>
              <w:t>用户满意度</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70.4</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pStyle w:val="11"/>
        <w:ind w:left="0" w:leftChars="0" w:firstLine="0" w:firstLineChars="0"/>
      </w:pPr>
      <w:r>
        <w:rPr>
          <w:rFonts w:hint="eastAsia" w:cs="Times New Roman"/>
          <w:sz w:val="32"/>
          <w:szCs w:val="32"/>
          <w:lang w:val="en-US" w:eastAsia="zh-CN"/>
        </w:rPr>
        <w:t>附件3-5：</w:t>
      </w:r>
    </w:p>
    <w:p>
      <w:pPr>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2022年度项目支出绩效自评表5</w:t>
      </w:r>
    </w:p>
    <w:tbl>
      <w:tblPr>
        <w:tblStyle w:val="12"/>
        <w:tblW w:w="10308" w:type="dxa"/>
        <w:jc w:val="center"/>
        <w:tblLayout w:type="autofit"/>
        <w:tblCellMar>
          <w:top w:w="0" w:type="dxa"/>
          <w:left w:w="108" w:type="dxa"/>
          <w:bottom w:w="0" w:type="dxa"/>
          <w:right w:w="108" w:type="dxa"/>
        </w:tblCellMar>
      </w:tblPr>
      <w:tblGrid>
        <w:gridCol w:w="1080"/>
        <w:gridCol w:w="1080"/>
        <w:gridCol w:w="1080"/>
        <w:gridCol w:w="1433"/>
        <w:gridCol w:w="925"/>
        <w:gridCol w:w="1134"/>
        <w:gridCol w:w="828"/>
        <w:gridCol w:w="657"/>
        <w:gridCol w:w="2091"/>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项目支</w:t>
            </w:r>
          </w:p>
          <w:p>
            <w:pPr>
              <w:widowControl/>
              <w:spacing w:line="26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出名称</w:t>
            </w:r>
          </w:p>
        </w:tc>
        <w:tc>
          <w:tcPr>
            <w:tcW w:w="9228" w:type="dxa"/>
            <w:gridSpan w:val="8"/>
            <w:tcBorders>
              <w:top w:val="single" w:color="auto" w:sz="4" w:space="0"/>
              <w:left w:val="nil"/>
              <w:bottom w:val="single" w:color="auto" w:sz="4" w:space="0"/>
              <w:right w:val="single" w:color="auto" w:sz="4" w:space="0"/>
            </w:tcBorders>
            <w:vAlign w:val="center"/>
          </w:tcPr>
          <w:p>
            <w:pPr>
              <w:widowControl/>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教育综合发展专项——</w:t>
            </w:r>
            <w:r>
              <w:rPr>
                <w:rFonts w:hint="eastAsia" w:ascii="Times New Roman" w:hAnsi="Times New Roman" w:eastAsia="仿宋_GB2312" w:cs="Times New Roman"/>
                <w:color w:val="000000"/>
                <w:sz w:val="20"/>
                <w:szCs w:val="20"/>
              </w:rPr>
              <w:t>“三全育人”理念下湖南高职院校少数民族学生政治认同提升机制创新研究</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实施单位</w:t>
            </w:r>
          </w:p>
        </w:tc>
        <w:tc>
          <w:tcPr>
            <w:tcW w:w="3576" w:type="dxa"/>
            <w:gridSpan w:val="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项目资金</w:t>
            </w:r>
            <w:r>
              <w:rPr>
                <w:rFonts w:ascii="Times New Roman" w:hAnsi="Times New Roman" w:eastAsia="仿宋_GB2312" w:cs="Times New Roman"/>
                <w:color w:val="000000"/>
                <w:sz w:val="20"/>
                <w:szCs w:val="20"/>
              </w:rPr>
              <w:br w:type="textWrapping"/>
            </w:r>
            <w:r>
              <w:rPr>
                <w:rFonts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33"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年初</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预算数</w:t>
            </w:r>
          </w:p>
        </w:tc>
        <w:tc>
          <w:tcPr>
            <w:tcW w:w="925"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全年</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全年</w:t>
            </w:r>
          </w:p>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分值</w:t>
            </w:r>
          </w:p>
        </w:tc>
        <w:tc>
          <w:tcPr>
            <w:tcW w:w="657"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执行率</w:t>
            </w:r>
          </w:p>
        </w:tc>
        <w:tc>
          <w:tcPr>
            <w:tcW w:w="2091"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年度资金总额　</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sz w:val="20"/>
                <w:szCs w:val="20"/>
              </w:rPr>
            </w:pPr>
            <w:r>
              <w:rPr>
                <w:rFonts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rPr>
              <w:t xml:space="preserve">  1</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sz w:val="20"/>
                <w:szCs w:val="20"/>
              </w:rPr>
            </w:pPr>
            <w:r>
              <w:rPr>
                <w:rFonts w:ascii="Times New Roman" w:hAnsi="Times New Roman" w:eastAsia="仿宋_GB2312" w:cs="Times New Roman"/>
                <w:color w:val="auto"/>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sz w:val="20"/>
                <w:szCs w:val="20"/>
              </w:rPr>
            </w:pPr>
            <w:r>
              <w:rPr>
                <w:rFonts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rPr>
              <w:t>0</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sz w:val="20"/>
                <w:szCs w:val="20"/>
              </w:rPr>
            </w:pPr>
            <w:r>
              <w:rPr>
                <w:rFonts w:ascii="Times New Roman" w:hAnsi="Times New Roman" w:eastAsia="仿宋_GB2312" w:cs="Times New Roman"/>
                <w:color w:val="auto"/>
                <w:sz w:val="20"/>
                <w:szCs w:val="20"/>
              </w:rPr>
              <w:t>　10</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sz w:val="20"/>
                <w:szCs w:val="20"/>
              </w:rPr>
            </w:pPr>
            <w:r>
              <w:rPr>
                <w:rFonts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rPr>
              <w:t>0</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sz w:val="20"/>
                <w:szCs w:val="20"/>
              </w:rPr>
            </w:pPr>
            <w:r>
              <w:rPr>
                <w:rFonts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rPr>
              <w:t xml:space="preserve">  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其中：当年财政拨款　</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 xml:space="preserve"> </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ind w:firstLine="600" w:firstLineChars="300"/>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上年结转资金　</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ind w:firstLine="600" w:firstLineChars="300"/>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其他资金</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预期目标</w:t>
            </w:r>
          </w:p>
        </w:tc>
        <w:tc>
          <w:tcPr>
            <w:tcW w:w="4710"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vAlign w:val="center"/>
          </w:tcPr>
          <w:p>
            <w:pPr>
              <w:widowControl/>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 xml:space="preserve">   完成1篇论文、1本专著的撰写和发表</w:t>
            </w:r>
          </w:p>
        </w:tc>
        <w:tc>
          <w:tcPr>
            <w:tcW w:w="4710" w:type="dxa"/>
            <w:gridSpan w:val="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完成一篇论文的撰写，因期刊评审排版问题，预计在2023年9月发表见刊，专著目前还在撰写中。</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绩</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二级指标</w:t>
            </w:r>
          </w:p>
        </w:tc>
        <w:tc>
          <w:tcPr>
            <w:tcW w:w="1433"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三级指标</w:t>
            </w:r>
          </w:p>
        </w:tc>
        <w:tc>
          <w:tcPr>
            <w:tcW w:w="925"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w:t>
            </w:r>
          </w:p>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实际</w:t>
            </w:r>
          </w:p>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分值</w:t>
            </w:r>
          </w:p>
        </w:tc>
        <w:tc>
          <w:tcPr>
            <w:tcW w:w="657"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得分</w:t>
            </w:r>
          </w:p>
        </w:tc>
        <w:tc>
          <w:tcPr>
            <w:tcW w:w="2091" w:type="dxa"/>
            <w:tcBorders>
              <w:top w:val="nil"/>
              <w:left w:val="nil"/>
              <w:bottom w:val="single" w:color="auto" w:sz="4" w:space="0"/>
              <w:right w:val="single" w:color="auto" w:sz="4" w:space="0"/>
            </w:tcBorders>
            <w:vAlign w:val="center"/>
          </w:tcPr>
          <w:p>
            <w:pPr>
              <w:widowControl/>
              <w:spacing w:line="240" w:lineRule="exac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产出指标</w:t>
            </w:r>
          </w:p>
          <w:p>
            <w:pPr>
              <w:widowControl/>
              <w:jc w:val="center"/>
              <w:rPr>
                <w:rFonts w:ascii="Times New Roman" w:hAnsi="Times New Roman" w:eastAsia="仿宋_GB2312" w:cs="Times New Roman"/>
                <w:color w:val="000000"/>
                <w:sz w:val="20"/>
                <w:szCs w:val="20"/>
              </w:rPr>
            </w:pP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数量指标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发表论文</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 xml:space="preserve"> 1篇</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1篇</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40</w:t>
            </w:r>
          </w:p>
        </w:tc>
        <w:tc>
          <w:tcPr>
            <w:tcW w:w="657" w:type="dxa"/>
            <w:tcBorders>
              <w:top w:val="nil"/>
              <w:left w:val="nil"/>
              <w:bottom w:val="single" w:color="auto" w:sz="4" w:space="0"/>
              <w:right w:val="single" w:color="auto" w:sz="4" w:space="0"/>
            </w:tcBorders>
            <w:vAlign w:val="center"/>
          </w:tcPr>
          <w:p>
            <w:pPr>
              <w:widowControl/>
              <w:ind w:firstLine="200" w:firstLineChars="100"/>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30</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目前论文投稿成功，但论文发表在2023年9月以后见刊。</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专著撰写</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 xml:space="preserve"> 1本</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还在撰写</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10</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5</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继续撰写</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质量指标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时效指标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成本指标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效益指标</w:t>
            </w:r>
          </w:p>
          <w:p>
            <w:pPr>
              <w:widowControl/>
              <w:jc w:val="left"/>
              <w:rPr>
                <w:rFonts w:ascii="Times New Roman" w:hAnsi="Times New Roman" w:eastAsia="仿宋_GB2312" w:cs="Times New Roman"/>
                <w:color w:val="000000"/>
                <w:sz w:val="20"/>
                <w:szCs w:val="20"/>
              </w:rPr>
            </w:pPr>
          </w:p>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（30分）</w:t>
            </w:r>
          </w:p>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经济效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社会效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服务少数民族学生成长，为同列院校少数民族学生培养提供社会效益</w:t>
            </w:r>
          </w:p>
        </w:tc>
        <w:tc>
          <w:tcPr>
            <w:tcW w:w="925" w:type="dxa"/>
            <w:tcBorders>
              <w:top w:val="nil"/>
              <w:left w:val="nil"/>
              <w:bottom w:val="single" w:color="auto" w:sz="4" w:space="0"/>
              <w:right w:val="single" w:color="auto" w:sz="4" w:space="0"/>
            </w:tcBorders>
            <w:vAlign w:val="center"/>
          </w:tcPr>
          <w:p>
            <w:pPr>
              <w:pStyle w:val="9"/>
              <w:widowControl/>
              <w:spacing w:before="270"/>
              <w:jc w:val="center"/>
              <w:rPr>
                <w:rFonts w:eastAsia="宋体"/>
              </w:rPr>
            </w:pPr>
            <w:r>
              <w:rPr>
                <w:rFonts w:ascii="Times New Roman" w:hAnsi="Times New Roman" w:eastAsia="仿宋_GB2312" w:cs="Times New Roman"/>
                <w:color w:val="000000"/>
                <w:sz w:val="20"/>
                <w:szCs w:val="20"/>
              </w:rPr>
              <w:t>　</w:t>
            </w:r>
            <w:r>
              <w:t>≥</w:t>
            </w:r>
            <w:r>
              <w:rPr>
                <w:rFonts w:hint="eastAsia"/>
              </w:rPr>
              <w:t>99%</w:t>
            </w:r>
          </w:p>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pStyle w:val="9"/>
              <w:widowControl/>
              <w:spacing w:before="270"/>
              <w:jc w:val="center"/>
              <w:rPr>
                <w:rFonts w:eastAsia="宋体"/>
              </w:rPr>
            </w:pPr>
            <w:r>
              <w:rPr>
                <w:rFonts w:ascii="Times New Roman" w:hAnsi="Times New Roman" w:eastAsia="仿宋_GB2312" w:cs="Times New Roman"/>
                <w:color w:val="000000"/>
                <w:sz w:val="20"/>
                <w:szCs w:val="20"/>
              </w:rPr>
              <w:t>　</w:t>
            </w:r>
            <w:r>
              <w:t>≥</w:t>
            </w:r>
            <w:r>
              <w:rPr>
                <w:rFonts w:hint="eastAsia"/>
              </w:rPr>
              <w:t>90%</w:t>
            </w:r>
          </w:p>
          <w:p>
            <w:pPr>
              <w:widowControl/>
              <w:jc w:val="left"/>
              <w:rPr>
                <w:rFonts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30</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25</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生态效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可持续影响指标</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25"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满意度</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指标</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服务对象满意度指标</w:t>
            </w: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受益学生满意度</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t>≥</w:t>
            </w:r>
            <w:r>
              <w:rPr>
                <w:rFonts w:hint="eastAsia"/>
              </w:rPr>
              <w:t>99%</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t>≥</w:t>
            </w:r>
            <w:r>
              <w:rPr>
                <w:rFonts w:hint="eastAsia"/>
              </w:rPr>
              <w:t>99%</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10</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10</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3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2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rPr>
              <w:t>90</w:t>
            </w:r>
          </w:p>
        </w:tc>
        <w:tc>
          <w:tcPr>
            <w:tcW w:w="657"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FF0000"/>
                <w:sz w:val="20"/>
                <w:szCs w:val="20"/>
              </w:rPr>
            </w:pPr>
            <w:r>
              <w:rPr>
                <w:rFonts w:ascii="Times New Roman" w:hAnsi="Times New Roman" w:eastAsia="仿宋_GB2312" w:cs="Times New Roman"/>
                <w:color w:val="FF0000"/>
                <w:sz w:val="20"/>
                <w:szCs w:val="20"/>
              </w:rPr>
              <w:t>　</w:t>
            </w:r>
            <w:r>
              <w:rPr>
                <w:rFonts w:hint="eastAsia" w:ascii="Times New Roman" w:hAnsi="Times New Roman" w:eastAsia="仿宋_GB2312" w:cs="Times New Roman"/>
                <w:color w:val="auto"/>
                <w:sz w:val="20"/>
                <w:szCs w:val="20"/>
              </w:rPr>
              <w:t>70</w:t>
            </w:r>
          </w:p>
        </w:tc>
        <w:tc>
          <w:tcPr>
            <w:tcW w:w="2091"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FF0000"/>
                <w:sz w:val="20"/>
                <w:szCs w:val="20"/>
              </w:rPr>
            </w:pPr>
            <w:r>
              <w:rPr>
                <w:rFonts w:ascii="Times New Roman" w:hAnsi="Times New Roman" w:eastAsia="仿宋_GB2312" w:cs="Times New Roman"/>
                <w:color w:val="FF0000"/>
                <w:sz w:val="20"/>
                <w:szCs w:val="20"/>
              </w:rPr>
              <w:t>　</w:t>
            </w:r>
          </w:p>
        </w:tc>
      </w:tr>
    </w:tbl>
    <w:p>
      <w:pPr>
        <w:pStyle w:val="11"/>
        <w:ind w:left="0" w:leftChars="0" w:firstLine="0" w:firstLineChars="0"/>
        <w:rPr>
          <w:rFonts w:hint="eastAsia"/>
          <w:lang w:val="en-US" w:eastAsia="zh-CN"/>
        </w:rPr>
      </w:pPr>
    </w:p>
    <w:p>
      <w:pPr>
        <w:pStyle w:val="11"/>
        <w:ind w:left="0" w:leftChars="0" w:firstLine="0" w:firstLineChars="0"/>
      </w:pPr>
      <w:r>
        <w:rPr>
          <w:rFonts w:hint="eastAsia" w:cs="Times New Roman"/>
          <w:sz w:val="32"/>
          <w:szCs w:val="32"/>
          <w:lang w:val="en-US" w:eastAsia="zh-CN"/>
        </w:rPr>
        <w:t>附件3-6：</w:t>
      </w:r>
    </w:p>
    <w:p>
      <w:pPr>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2022年度项目支出绩效自评表6</w:t>
      </w:r>
    </w:p>
    <w:tbl>
      <w:tblPr>
        <w:tblStyle w:val="12"/>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项目支</w:t>
            </w:r>
          </w:p>
          <w:p>
            <w:pPr>
              <w:widowControl/>
              <w:spacing w:line="26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hint="eastAsia" w:ascii="仿宋_GB2312" w:hAnsi="仿宋_GB2312" w:eastAsia="仿宋_GB2312" w:cs="仿宋_GB2312"/>
                <w:sz w:val="20"/>
                <w:szCs w:val="20"/>
              </w:rPr>
              <w:t>2022年度湖南省社会科学成果评审委员会课题</w:t>
            </w:r>
            <w:r>
              <w:rPr>
                <w:rFonts w:hint="eastAsia" w:ascii="仿宋_GB2312" w:hAnsi="仿宋_GB2312" w:eastAsia="仿宋_GB2312" w:cs="仿宋_GB2312"/>
                <w:sz w:val="20"/>
                <w:szCs w:val="20"/>
                <w:lang w:val="en-US" w:eastAsia="zh-CN"/>
              </w:rPr>
              <w:t>----</w:t>
            </w:r>
            <w:r>
              <w:rPr>
                <w:rFonts w:hint="eastAsia" w:ascii="仿宋_GB2312" w:hAnsi="仿宋_GB2312" w:eastAsia="仿宋_GB2312" w:cs="仿宋_GB2312"/>
                <w:sz w:val="20"/>
                <w:szCs w:val="20"/>
              </w:rPr>
              <w:t>“乡村振兴”视域下高校发展性资助体系建设“12345模式”研究</w:t>
            </w:r>
            <w:r>
              <w:rPr>
                <w:rFonts w:hint="eastAsia" w:ascii="仿宋_GB2312" w:hAnsi="仿宋_GB2312" w:eastAsia="仿宋_GB2312" w:cs="仿宋_GB2312"/>
                <w:sz w:val="20"/>
                <w:szCs w:val="20"/>
                <w:lang w:eastAsia="zh-CN"/>
              </w:rPr>
              <w:t>（</w:t>
            </w:r>
            <w:r>
              <w:rPr>
                <w:rFonts w:hint="eastAsia" w:ascii="仿宋_GB2312" w:hAnsi="仿宋_GB2312" w:eastAsia="仿宋_GB2312" w:cs="仿宋_GB2312"/>
                <w:sz w:val="20"/>
                <w:szCs w:val="20"/>
                <w:lang w:val="en-US" w:eastAsia="zh-CN"/>
              </w:rPr>
              <w:t>XSP22YBZ144）</w:t>
            </w: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仿宋_GB2312" w:hAnsi="仿宋_GB2312" w:eastAsia="仿宋_GB2312" w:cs="仿宋_GB2312"/>
                <w:sz w:val="20"/>
                <w:szCs w:val="20"/>
                <w:lang w:val="en-US" w:eastAsia="zh-CN"/>
              </w:rPr>
              <w:t>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项目资金</w:t>
            </w:r>
            <w:r>
              <w:rPr>
                <w:rFonts w:ascii="Times New Roman" w:hAnsi="Times New Roman" w:eastAsia="仿宋_GB2312" w:cs="Times New Roman"/>
                <w:color w:val="000000"/>
                <w:sz w:val="20"/>
                <w:szCs w:val="20"/>
              </w:rPr>
              <w:br w:type="textWrapping"/>
            </w:r>
            <w:r>
              <w:rPr>
                <w:rFonts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22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年初</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全年</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全年</w:t>
            </w:r>
          </w:p>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年度资金总额　</w:t>
            </w:r>
          </w:p>
        </w:tc>
        <w:tc>
          <w:tcPr>
            <w:tcW w:w="1224"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1</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sz w:val="20"/>
                <w:szCs w:val="20"/>
              </w:rPr>
            </w:pPr>
            <w:r>
              <w:rPr>
                <w:rFonts w:ascii="Times New Roman" w:hAnsi="Times New Roman" w:eastAsia="仿宋_GB2312" w:cs="Times New Roman"/>
                <w:color w:val="auto"/>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auto"/>
                <w:kern w:val="2"/>
                <w:sz w:val="20"/>
                <w:szCs w:val="20"/>
                <w:lang w:val="en-US" w:eastAsia="zh-CN" w:bidi="ar-SA"/>
              </w:rPr>
            </w:pPr>
            <w:r>
              <w:rPr>
                <w:rFonts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lang w:val="en-US" w:eastAsia="zh-CN"/>
              </w:rPr>
              <w:t>0.5</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auto"/>
                <w:kern w:val="2"/>
                <w:sz w:val="20"/>
                <w:szCs w:val="20"/>
                <w:lang w:val="en-US" w:eastAsia="zh-CN" w:bidi="ar-SA"/>
              </w:rPr>
            </w:pPr>
            <w:r>
              <w:rPr>
                <w:rFonts w:ascii="Times New Roman" w:hAnsi="Times New Roman" w:eastAsia="仿宋_GB2312" w:cs="Times New Roman"/>
                <w:color w:val="auto"/>
                <w:sz w:val="20"/>
                <w:szCs w:val="20"/>
              </w:rPr>
              <w:t>　10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auto"/>
                <w:kern w:val="2"/>
                <w:sz w:val="20"/>
                <w:szCs w:val="20"/>
                <w:lang w:val="en-US" w:eastAsia="zh-CN" w:bidi="ar-SA"/>
              </w:rPr>
            </w:pPr>
            <w:r>
              <w:rPr>
                <w:rFonts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lang w:val="en-US" w:eastAsia="zh-CN"/>
              </w:rPr>
              <w:t>50%</w:t>
            </w:r>
          </w:p>
        </w:tc>
        <w:tc>
          <w:tcPr>
            <w:tcW w:w="141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auto"/>
                <w:kern w:val="2"/>
                <w:sz w:val="20"/>
                <w:szCs w:val="20"/>
                <w:lang w:val="en-US" w:eastAsia="zh-CN" w:bidi="ar-SA"/>
              </w:rPr>
            </w:pPr>
            <w:r>
              <w:rPr>
                <w:rFonts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lang w:val="en-US" w:eastAsia="zh-CN"/>
              </w:rPr>
              <w:t xml:space="preserve">   5</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其中：当年财政拨款　</w:t>
            </w:r>
          </w:p>
        </w:tc>
        <w:tc>
          <w:tcPr>
            <w:tcW w:w="1224" w:type="dxa"/>
            <w:tcBorders>
              <w:top w:val="nil"/>
              <w:left w:val="nil"/>
              <w:bottom w:val="single" w:color="auto" w:sz="4" w:space="0"/>
              <w:right w:val="single" w:color="auto" w:sz="4" w:space="0"/>
            </w:tcBorders>
            <w:vAlign w:val="center"/>
          </w:tcPr>
          <w:p>
            <w:pPr>
              <w:widowControl/>
              <w:jc w:val="center"/>
              <w:rPr>
                <w:rFonts w:hint="eastAsia" w:ascii="Times New Roman" w:hAnsi="Times New Roman" w:eastAsia="仿宋_GB2312" w:cs="Times New Roman"/>
                <w:color w:val="000000"/>
                <w:sz w:val="20"/>
                <w:szCs w:val="20"/>
                <w:lang w:val="en-US" w:eastAsia="zh-CN"/>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ind w:firstLine="600" w:firstLineChars="300"/>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上年结转资金　</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ind w:firstLine="600" w:firstLineChars="300"/>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4253" w:type="dxa"/>
            <w:gridSpan w:val="4"/>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绩</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w:t>
            </w:r>
          </w:p>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实际</w:t>
            </w:r>
          </w:p>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vAlign w:val="center"/>
          </w:tcPr>
          <w:p>
            <w:pPr>
              <w:widowControl/>
              <w:spacing w:line="240" w:lineRule="exac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产出指标</w:t>
            </w:r>
          </w:p>
          <w:p>
            <w:pPr>
              <w:widowControl/>
              <w:jc w:val="center"/>
              <w:rPr>
                <w:rFonts w:ascii="Times New Roman" w:hAnsi="Times New Roman" w:eastAsia="仿宋_GB2312" w:cs="Times New Roman"/>
                <w:color w:val="000000"/>
                <w:sz w:val="20"/>
                <w:szCs w:val="20"/>
              </w:rPr>
            </w:pP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(50分)</w:t>
            </w:r>
          </w:p>
        </w:tc>
        <w:tc>
          <w:tcPr>
            <w:tcW w:w="1080" w:type="dxa"/>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发表论文</w:t>
            </w:r>
          </w:p>
        </w:tc>
        <w:tc>
          <w:tcPr>
            <w:tcW w:w="1134"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 xml:space="preserve"> 2篇</w:t>
            </w:r>
          </w:p>
        </w:tc>
        <w:tc>
          <w:tcPr>
            <w:tcW w:w="1134"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1篇</w:t>
            </w:r>
          </w:p>
        </w:tc>
        <w:tc>
          <w:tcPr>
            <w:tcW w:w="82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50</w:t>
            </w:r>
          </w:p>
        </w:tc>
        <w:tc>
          <w:tcPr>
            <w:tcW w:w="873" w:type="dxa"/>
            <w:tcBorders>
              <w:top w:val="nil"/>
              <w:left w:val="nil"/>
              <w:bottom w:val="single" w:color="auto" w:sz="4" w:space="0"/>
              <w:right w:val="single" w:color="auto" w:sz="4" w:space="0"/>
            </w:tcBorders>
            <w:vAlign w:val="center"/>
          </w:tcPr>
          <w:p>
            <w:pPr>
              <w:widowControl/>
              <w:ind w:firstLine="200" w:firstLineChars="100"/>
              <w:jc w:val="left"/>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35</w:t>
            </w:r>
          </w:p>
        </w:tc>
        <w:tc>
          <w:tcPr>
            <w:tcW w:w="141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因个人原因，只有一篇论文投稿成功，但论文发表在2023年9月见刊。</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90" w:hRule="atLeast"/>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效益指标</w:t>
            </w:r>
          </w:p>
          <w:p>
            <w:pPr>
              <w:widowControl/>
              <w:jc w:val="left"/>
              <w:rPr>
                <w:rFonts w:ascii="Times New Roman" w:hAnsi="Times New Roman" w:eastAsia="仿宋_GB2312" w:cs="Times New Roman"/>
                <w:color w:val="000000"/>
                <w:sz w:val="20"/>
                <w:szCs w:val="20"/>
              </w:rPr>
            </w:pPr>
          </w:p>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（30分）</w:t>
            </w:r>
          </w:p>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经济效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center"/>
              <w:rPr>
                <w:rFonts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社会效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仿宋_GB2312" w:hAnsi="仿宋_GB2312" w:eastAsia="仿宋_GB2312" w:cs="仿宋_GB2312"/>
                <w:sz w:val="18"/>
                <w:szCs w:val="18"/>
                <w:lang w:val="en-US" w:eastAsia="zh-CN"/>
              </w:rPr>
              <w:t>探索“乡村振兴”视域下高校发展性资助体系的建设规律，</w:t>
            </w:r>
            <w:r>
              <w:rPr>
                <w:rFonts w:hint="eastAsia" w:ascii="Times New Roman" w:hAnsi="Times New Roman" w:eastAsia="仿宋_GB2312" w:cs="Times New Roman"/>
                <w:color w:val="000000"/>
                <w:sz w:val="18"/>
                <w:szCs w:val="18"/>
                <w:lang w:val="en-US" w:eastAsia="zh-CN"/>
              </w:rPr>
              <w:t>为贫困学生精准帮扶带来一定社会效益</w:t>
            </w:r>
          </w:p>
        </w:tc>
        <w:tc>
          <w:tcPr>
            <w:tcW w:w="1134" w:type="dxa"/>
            <w:tcBorders>
              <w:top w:val="nil"/>
              <w:left w:val="nil"/>
              <w:bottom w:val="single" w:color="auto" w:sz="4" w:space="0"/>
              <w:right w:val="single" w:color="auto" w:sz="4" w:space="0"/>
            </w:tcBorders>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270" w:beforeAutospacing="0" w:after="0" w:afterAutospacing="0"/>
              <w:ind w:right="0"/>
              <w:jc w:val="center"/>
              <w:rPr>
                <w:rFonts w:hint="default" w:eastAsia="宋体"/>
                <w:lang w:val="en-US" w:eastAsia="zh-CN"/>
              </w:rPr>
            </w:pPr>
            <w:r>
              <w:rPr>
                <w:rFonts w:ascii="Times New Roman" w:hAnsi="Times New Roman" w:eastAsia="仿宋_GB2312" w:cs="Times New Roman"/>
                <w:color w:val="000000"/>
                <w:sz w:val="20"/>
                <w:szCs w:val="20"/>
              </w:rPr>
              <w:t>　</w:t>
            </w:r>
            <w:r>
              <w:t>≥</w:t>
            </w:r>
            <w:r>
              <w:rPr>
                <w:rFonts w:hint="eastAsia"/>
                <w:lang w:val="en-US" w:eastAsia="zh-CN"/>
              </w:rPr>
              <w:t>99%</w:t>
            </w:r>
          </w:p>
          <w:p>
            <w:pPr>
              <w:widowControl/>
              <w:jc w:val="left"/>
              <w:rPr>
                <w:rFonts w:ascii="Times New Roman" w:hAnsi="Times New Roman" w:eastAsia="仿宋_GB2312" w:cs="Times New Roman"/>
                <w:color w:val="000000"/>
                <w:kern w:val="2"/>
                <w:sz w:val="20"/>
                <w:szCs w:val="20"/>
                <w:lang w:val="en-US" w:eastAsia="zh-CN" w:bidi="ar-SA"/>
              </w:rPr>
            </w:pPr>
          </w:p>
        </w:tc>
        <w:tc>
          <w:tcPr>
            <w:tcW w:w="1134" w:type="dxa"/>
            <w:tcBorders>
              <w:top w:val="nil"/>
              <w:left w:val="nil"/>
              <w:bottom w:val="single" w:color="auto" w:sz="4" w:space="0"/>
              <w:right w:val="single" w:color="auto" w:sz="4" w:space="0"/>
            </w:tcBorders>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270" w:beforeAutospacing="0" w:after="0" w:afterAutospacing="0"/>
              <w:ind w:right="0"/>
              <w:jc w:val="center"/>
              <w:rPr>
                <w:rFonts w:hint="default" w:eastAsia="宋体"/>
                <w:lang w:val="en-US" w:eastAsia="zh-CN"/>
              </w:rPr>
            </w:pPr>
            <w:r>
              <w:rPr>
                <w:rFonts w:ascii="Times New Roman" w:hAnsi="Times New Roman" w:eastAsia="仿宋_GB2312" w:cs="Times New Roman"/>
                <w:color w:val="000000"/>
                <w:sz w:val="20"/>
                <w:szCs w:val="20"/>
              </w:rPr>
              <w:t>　</w:t>
            </w:r>
            <w:r>
              <w:t>≥</w:t>
            </w:r>
            <w:r>
              <w:rPr>
                <w:rFonts w:hint="eastAsia"/>
                <w:lang w:val="en-US" w:eastAsia="zh-CN"/>
              </w:rPr>
              <w:t>90%</w:t>
            </w:r>
          </w:p>
          <w:p>
            <w:pPr>
              <w:widowControl/>
              <w:jc w:val="left"/>
              <w:rPr>
                <w:rFonts w:ascii="Times New Roman" w:hAnsi="Times New Roman" w:eastAsia="仿宋_GB2312" w:cs="Times New Roman"/>
                <w:color w:val="000000"/>
                <w:kern w:val="2"/>
                <w:sz w:val="20"/>
                <w:szCs w:val="20"/>
                <w:lang w:val="en-US" w:eastAsia="zh-CN" w:bidi="ar-SA"/>
              </w:rPr>
            </w:pPr>
          </w:p>
        </w:tc>
        <w:tc>
          <w:tcPr>
            <w:tcW w:w="82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30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28</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生态效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54" w:hRule="atLeast"/>
          <w:jc w:val="center"/>
        </w:trPr>
        <w:tc>
          <w:tcPr>
            <w:tcW w:w="1080" w:type="dxa"/>
            <w:vMerge w:val="continue"/>
            <w:tcBorders>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tcBorders>
              <w:top w:val="single" w:color="auto" w:sz="4" w:space="0"/>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可持续影响指标</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满意度</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指标</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（10分）</w:t>
            </w:r>
          </w:p>
        </w:tc>
        <w:tc>
          <w:tcPr>
            <w:tcW w:w="1080" w:type="dxa"/>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服务对象满意度指标</w:t>
            </w:r>
          </w:p>
        </w:tc>
        <w:tc>
          <w:tcPr>
            <w:tcW w:w="122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受益学生满意度</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t>≥</w:t>
            </w:r>
            <w:r>
              <w:rPr>
                <w:rFonts w:hint="eastAsia"/>
                <w:lang w:val="en-US" w:eastAsia="zh-CN"/>
              </w:rPr>
              <w:t>99%</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t>≥</w:t>
            </w:r>
            <w:r>
              <w:rPr>
                <w:rFonts w:hint="eastAsia"/>
                <w:lang w:val="en-US" w:eastAsia="zh-CN"/>
              </w:rPr>
              <w:t>99%</w:t>
            </w:r>
          </w:p>
        </w:tc>
        <w:tc>
          <w:tcPr>
            <w:tcW w:w="82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78</w:t>
            </w:r>
          </w:p>
        </w:tc>
        <w:tc>
          <w:tcPr>
            <w:tcW w:w="141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bl>
    <w:p>
      <w:pPr>
        <w:pStyle w:val="11"/>
        <w:ind w:left="0" w:leftChars="0" w:firstLine="0" w:firstLineChars="0"/>
        <w:rPr>
          <w:rFonts w:hint="eastAsia"/>
          <w:lang w:val="en-US" w:eastAsia="zh-CN"/>
        </w:rPr>
      </w:pPr>
    </w:p>
    <w:p>
      <w:pPr>
        <w:pStyle w:val="11"/>
        <w:ind w:left="0" w:leftChars="0" w:firstLine="0" w:firstLineChars="0"/>
        <w:rPr>
          <w:rFonts w:hint="default"/>
          <w:lang w:val="en-US"/>
        </w:rPr>
      </w:pPr>
      <w:r>
        <w:rPr>
          <w:rFonts w:hint="eastAsia" w:cs="Times New Roman"/>
          <w:sz w:val="32"/>
          <w:szCs w:val="32"/>
          <w:lang w:val="en-US" w:eastAsia="zh-CN"/>
        </w:rPr>
        <w:t>附件3-7：</w:t>
      </w:r>
    </w:p>
    <w:p>
      <w:pPr>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2022年度项目支出绩效自评表7</w:t>
      </w:r>
    </w:p>
    <w:tbl>
      <w:tblPr>
        <w:tblStyle w:val="12"/>
        <w:tblW w:w="10308" w:type="dxa"/>
        <w:jc w:val="center"/>
        <w:tblLayout w:type="autofit"/>
        <w:tblCellMar>
          <w:top w:w="0" w:type="dxa"/>
          <w:left w:w="108" w:type="dxa"/>
          <w:bottom w:w="0" w:type="dxa"/>
          <w:right w:w="108" w:type="dxa"/>
        </w:tblCellMar>
      </w:tblPr>
      <w:tblGrid>
        <w:gridCol w:w="1080"/>
        <w:gridCol w:w="1080"/>
        <w:gridCol w:w="1080"/>
        <w:gridCol w:w="1450"/>
        <w:gridCol w:w="908"/>
        <w:gridCol w:w="1134"/>
        <w:gridCol w:w="828"/>
        <w:gridCol w:w="873"/>
        <w:gridCol w:w="1875"/>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项目支</w:t>
            </w:r>
          </w:p>
          <w:p>
            <w:pPr>
              <w:widowControl/>
              <w:spacing w:line="26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出名称</w:t>
            </w:r>
          </w:p>
        </w:tc>
        <w:tc>
          <w:tcPr>
            <w:tcW w:w="9228" w:type="dxa"/>
            <w:gridSpan w:val="8"/>
            <w:tcBorders>
              <w:top w:val="single" w:color="auto" w:sz="4" w:space="0"/>
              <w:left w:val="nil"/>
              <w:bottom w:val="single" w:color="auto" w:sz="4" w:space="0"/>
              <w:right w:val="single" w:color="auto" w:sz="4" w:space="0"/>
            </w:tcBorders>
            <w:vAlign w:val="center"/>
          </w:tcPr>
          <w:p>
            <w:pPr>
              <w:widowControl/>
              <w:jc w:val="both"/>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rPr>
              <w:t>2022年度湖南省社会科学成果评审委员会课题</w:t>
            </w:r>
            <w:r>
              <w:rPr>
                <w:rFonts w:hint="eastAsia" w:ascii="Times New Roman" w:hAnsi="Times New Roman" w:eastAsia="仿宋_GB2312" w:cs="Times New Roman"/>
                <w:color w:val="000000"/>
                <w:sz w:val="20"/>
                <w:szCs w:val="20"/>
                <w:lang w:val="en-US" w:eastAsia="zh-CN"/>
              </w:rPr>
              <w:t>----场域理论视角下高校“一站式”学生社区建设路径研究</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实施单位</w:t>
            </w:r>
          </w:p>
        </w:tc>
        <w:tc>
          <w:tcPr>
            <w:tcW w:w="3576" w:type="dxa"/>
            <w:gridSpan w:val="3"/>
            <w:tcBorders>
              <w:top w:val="single" w:color="auto" w:sz="4" w:space="0"/>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项目资金</w:t>
            </w:r>
            <w:r>
              <w:rPr>
                <w:rFonts w:ascii="Times New Roman" w:hAnsi="Times New Roman" w:eastAsia="仿宋_GB2312" w:cs="Times New Roman"/>
                <w:color w:val="000000"/>
                <w:sz w:val="20"/>
                <w:szCs w:val="20"/>
              </w:rPr>
              <w:br w:type="textWrapping"/>
            </w:r>
            <w:r>
              <w:rPr>
                <w:rFonts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450"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年初</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预算数</w:t>
            </w:r>
          </w:p>
        </w:tc>
        <w:tc>
          <w:tcPr>
            <w:tcW w:w="90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全年</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全年</w:t>
            </w:r>
          </w:p>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执行率</w:t>
            </w:r>
          </w:p>
        </w:tc>
        <w:tc>
          <w:tcPr>
            <w:tcW w:w="1875"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sz w:val="20"/>
                <w:szCs w:val="20"/>
              </w:rPr>
            </w:pPr>
            <w:r>
              <w:rPr>
                <w:rFonts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年度资金总额　</w:t>
            </w:r>
          </w:p>
        </w:tc>
        <w:tc>
          <w:tcPr>
            <w:tcW w:w="1450" w:type="dxa"/>
            <w:tcBorders>
              <w:top w:val="nil"/>
              <w:left w:val="nil"/>
              <w:bottom w:val="single" w:color="auto" w:sz="4" w:space="0"/>
              <w:right w:val="single" w:color="auto" w:sz="4" w:space="0"/>
            </w:tcBorders>
            <w:vAlign w:val="center"/>
          </w:tcPr>
          <w:p>
            <w:pPr>
              <w:widowControl/>
              <w:jc w:val="left"/>
              <w:rPr>
                <w:rFonts w:hint="eastAsia"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 xml:space="preserve">  1</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0.5</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10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50%</w:t>
            </w:r>
          </w:p>
        </w:tc>
        <w:tc>
          <w:tcPr>
            <w:tcW w:w="1875"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 xml:space="preserve">   5</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其中：当年财政拨款　</w:t>
            </w:r>
          </w:p>
        </w:tc>
        <w:tc>
          <w:tcPr>
            <w:tcW w:w="1450" w:type="dxa"/>
            <w:tcBorders>
              <w:top w:val="nil"/>
              <w:left w:val="nil"/>
              <w:bottom w:val="single" w:color="auto" w:sz="4" w:space="0"/>
              <w:right w:val="single" w:color="auto" w:sz="4" w:space="0"/>
            </w:tcBorders>
            <w:vAlign w:val="center"/>
          </w:tcPr>
          <w:p>
            <w:pPr>
              <w:widowControl/>
              <w:jc w:val="left"/>
              <w:rPr>
                <w:rFonts w:hint="eastAsia" w:ascii="Times New Roman" w:hAnsi="Times New Roman" w:eastAsia="仿宋_GB2312" w:cs="Times New Roman"/>
                <w:color w:val="000000"/>
                <w:sz w:val="20"/>
                <w:szCs w:val="20"/>
                <w:lang w:val="en-US" w:eastAsia="zh-CN"/>
              </w:rPr>
            </w:pP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ind w:firstLine="600" w:firstLineChars="300"/>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上年结转资金　</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ind w:firstLine="600" w:firstLineChars="300"/>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其他资金</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预期目标</w:t>
            </w:r>
          </w:p>
        </w:tc>
        <w:tc>
          <w:tcPr>
            <w:tcW w:w="4710" w:type="dxa"/>
            <w:gridSpan w:val="4"/>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vAlign w:val="center"/>
          </w:tcPr>
          <w:p>
            <w:pPr>
              <w:widowControl/>
              <w:jc w:val="both"/>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 xml:space="preserve">   完成2篇论文、1本专著的撰写和发表</w:t>
            </w:r>
          </w:p>
        </w:tc>
        <w:tc>
          <w:tcPr>
            <w:tcW w:w="4710" w:type="dxa"/>
            <w:gridSpan w:val="4"/>
            <w:tcBorders>
              <w:top w:val="single" w:color="auto" w:sz="4" w:space="0"/>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完成两篇论文的撰写，因时间差异，均在2023年发表见刊，专著目前还在撰写中。</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绩</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二级指标</w:t>
            </w:r>
          </w:p>
        </w:tc>
        <w:tc>
          <w:tcPr>
            <w:tcW w:w="1450"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三级指标</w:t>
            </w:r>
          </w:p>
        </w:tc>
        <w:tc>
          <w:tcPr>
            <w:tcW w:w="908"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年度</w:t>
            </w:r>
          </w:p>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实际</w:t>
            </w:r>
          </w:p>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vAlign w:val="center"/>
          </w:tcPr>
          <w:p>
            <w:pPr>
              <w:widowControl/>
              <w:spacing w:line="240" w:lineRule="exact"/>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得分</w:t>
            </w:r>
          </w:p>
        </w:tc>
        <w:tc>
          <w:tcPr>
            <w:tcW w:w="1875" w:type="dxa"/>
            <w:tcBorders>
              <w:top w:val="nil"/>
              <w:left w:val="nil"/>
              <w:bottom w:val="single" w:color="auto" w:sz="4" w:space="0"/>
              <w:right w:val="single" w:color="auto" w:sz="4" w:space="0"/>
            </w:tcBorders>
            <w:vAlign w:val="center"/>
          </w:tcPr>
          <w:p>
            <w:pPr>
              <w:widowControl/>
              <w:spacing w:line="240" w:lineRule="exac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产出指标</w:t>
            </w:r>
          </w:p>
          <w:p>
            <w:pPr>
              <w:widowControl/>
              <w:jc w:val="center"/>
              <w:rPr>
                <w:rFonts w:ascii="Times New Roman" w:hAnsi="Times New Roman" w:eastAsia="仿宋_GB2312" w:cs="Times New Roman"/>
                <w:color w:val="000000"/>
                <w:sz w:val="20"/>
                <w:szCs w:val="20"/>
              </w:rPr>
            </w:pP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数量指标</w:t>
            </w:r>
          </w:p>
        </w:tc>
        <w:tc>
          <w:tcPr>
            <w:tcW w:w="1450"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发表论文</w:t>
            </w:r>
          </w:p>
        </w:tc>
        <w:tc>
          <w:tcPr>
            <w:tcW w:w="90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 xml:space="preserve"> 2篇</w:t>
            </w:r>
          </w:p>
        </w:tc>
        <w:tc>
          <w:tcPr>
            <w:tcW w:w="1134"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1篇</w:t>
            </w:r>
          </w:p>
        </w:tc>
        <w:tc>
          <w:tcPr>
            <w:tcW w:w="82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40</w:t>
            </w:r>
          </w:p>
        </w:tc>
        <w:tc>
          <w:tcPr>
            <w:tcW w:w="873" w:type="dxa"/>
            <w:tcBorders>
              <w:top w:val="nil"/>
              <w:left w:val="nil"/>
              <w:bottom w:val="single" w:color="auto" w:sz="4" w:space="0"/>
              <w:right w:val="single" w:color="auto" w:sz="4" w:space="0"/>
            </w:tcBorders>
            <w:vAlign w:val="center"/>
          </w:tcPr>
          <w:p>
            <w:pPr>
              <w:widowControl/>
              <w:ind w:firstLine="200" w:firstLineChars="100"/>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30</w:t>
            </w:r>
          </w:p>
        </w:tc>
        <w:tc>
          <w:tcPr>
            <w:tcW w:w="1875"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因个人原因，只有一篇论文投稿成功，但论文发表在2023年5月见刊。</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专著撰写</w:t>
            </w:r>
          </w:p>
        </w:tc>
        <w:tc>
          <w:tcPr>
            <w:tcW w:w="90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 xml:space="preserve"> 1本</w:t>
            </w:r>
          </w:p>
        </w:tc>
        <w:tc>
          <w:tcPr>
            <w:tcW w:w="1134"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还在撰写</w:t>
            </w:r>
          </w:p>
        </w:tc>
        <w:tc>
          <w:tcPr>
            <w:tcW w:w="82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widowControl/>
              <w:jc w:val="left"/>
              <w:rPr>
                <w:rFonts w:hint="eastAsia"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5</w:t>
            </w:r>
          </w:p>
        </w:tc>
        <w:tc>
          <w:tcPr>
            <w:tcW w:w="1875"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继续撰写</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质量指标</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时效指标</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成本指标</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效益指标</w:t>
            </w:r>
          </w:p>
          <w:p>
            <w:pPr>
              <w:widowControl/>
              <w:jc w:val="left"/>
              <w:rPr>
                <w:rFonts w:ascii="Times New Roman" w:hAnsi="Times New Roman" w:eastAsia="仿宋_GB2312" w:cs="Times New Roman"/>
                <w:color w:val="000000"/>
                <w:sz w:val="20"/>
                <w:szCs w:val="20"/>
              </w:rPr>
            </w:pPr>
          </w:p>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（30分）</w:t>
            </w:r>
          </w:p>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经济效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社会效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450"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服务学生，为学生社区现状的改变带来一定社会效益</w:t>
            </w:r>
          </w:p>
        </w:tc>
        <w:tc>
          <w:tcPr>
            <w:tcW w:w="908" w:type="dxa"/>
            <w:tcBorders>
              <w:top w:val="nil"/>
              <w:left w:val="nil"/>
              <w:bottom w:val="single" w:color="auto" w:sz="4" w:space="0"/>
              <w:right w:val="single" w:color="auto" w:sz="4" w:space="0"/>
            </w:tcBorders>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270" w:beforeAutospacing="0" w:after="0" w:afterAutospacing="0"/>
              <w:ind w:right="0"/>
              <w:jc w:val="center"/>
              <w:rPr>
                <w:rFonts w:hint="default" w:eastAsia="宋体"/>
                <w:lang w:val="en-US" w:eastAsia="zh-CN"/>
              </w:rPr>
            </w:pPr>
            <w:r>
              <w:rPr>
                <w:rFonts w:ascii="Times New Roman" w:hAnsi="Times New Roman" w:eastAsia="仿宋_GB2312" w:cs="Times New Roman"/>
                <w:color w:val="000000"/>
                <w:sz w:val="20"/>
                <w:szCs w:val="20"/>
              </w:rPr>
              <w:t>　</w:t>
            </w:r>
            <w:r>
              <w:t>≥</w:t>
            </w:r>
            <w:r>
              <w:rPr>
                <w:rFonts w:hint="eastAsia"/>
                <w:lang w:val="en-US" w:eastAsia="zh-CN"/>
              </w:rPr>
              <w:t>99%</w:t>
            </w:r>
          </w:p>
          <w:p>
            <w:pPr>
              <w:widowControl/>
              <w:jc w:val="left"/>
              <w:rPr>
                <w:rFonts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270" w:beforeAutospacing="0" w:after="0" w:afterAutospacing="0"/>
              <w:ind w:right="0"/>
              <w:jc w:val="center"/>
              <w:rPr>
                <w:rFonts w:hint="default" w:eastAsia="宋体"/>
                <w:lang w:val="en-US" w:eastAsia="zh-CN"/>
              </w:rPr>
            </w:pPr>
            <w:r>
              <w:rPr>
                <w:rFonts w:ascii="Times New Roman" w:hAnsi="Times New Roman" w:eastAsia="仿宋_GB2312" w:cs="Times New Roman"/>
                <w:color w:val="000000"/>
                <w:sz w:val="20"/>
                <w:szCs w:val="20"/>
              </w:rPr>
              <w:t>　</w:t>
            </w:r>
            <w:r>
              <w:t>≥</w:t>
            </w:r>
            <w:r>
              <w:rPr>
                <w:rFonts w:hint="eastAsia"/>
                <w:lang w:val="en-US" w:eastAsia="zh-CN"/>
              </w:rPr>
              <w:t>90%</w:t>
            </w:r>
          </w:p>
          <w:p>
            <w:pPr>
              <w:widowControl/>
              <w:jc w:val="left"/>
              <w:rPr>
                <w:rFonts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30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28</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生态效</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益指标</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可持续影响指标</w:t>
            </w:r>
          </w:p>
        </w:tc>
        <w:tc>
          <w:tcPr>
            <w:tcW w:w="1450"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90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jc w:val="left"/>
              <w:rPr>
                <w:rFonts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满意度</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指标</w:t>
            </w:r>
          </w:p>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服务对象满意度指标</w:t>
            </w: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受益学生满意度</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t>≥</w:t>
            </w:r>
            <w:r>
              <w:rPr>
                <w:rFonts w:hint="eastAsia"/>
                <w:lang w:val="en-US" w:eastAsia="zh-CN"/>
              </w:rPr>
              <w:t>99%</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r>
              <w:t>≥</w:t>
            </w:r>
            <w:r>
              <w:rPr>
                <w:rFonts w:hint="eastAsia"/>
                <w:lang w:val="en-US" w:eastAsia="zh-CN"/>
              </w:rPr>
              <w:t>99%</w:t>
            </w:r>
          </w:p>
        </w:tc>
        <w:tc>
          <w:tcPr>
            <w:tcW w:w="828"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p>
        </w:tc>
        <w:tc>
          <w:tcPr>
            <w:tcW w:w="1450"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w:t>
            </w:r>
          </w:p>
        </w:tc>
        <w:tc>
          <w:tcPr>
            <w:tcW w:w="90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90</w:t>
            </w:r>
          </w:p>
        </w:tc>
        <w:tc>
          <w:tcPr>
            <w:tcW w:w="873" w:type="dxa"/>
            <w:tcBorders>
              <w:top w:val="nil"/>
              <w:left w:val="nil"/>
              <w:bottom w:val="single" w:color="auto" w:sz="4" w:space="0"/>
              <w:right w:val="single" w:color="auto" w:sz="4" w:space="0"/>
            </w:tcBorders>
            <w:vAlign w:val="center"/>
          </w:tcPr>
          <w:p>
            <w:pPr>
              <w:widowControl/>
              <w:jc w:val="left"/>
              <w:rPr>
                <w:rFonts w:hint="default" w:ascii="Times New Roman" w:hAnsi="Times New Roman" w:eastAsia="仿宋_GB2312" w:cs="Times New Roman"/>
                <w:color w:val="000000"/>
                <w:sz w:val="20"/>
                <w:szCs w:val="20"/>
                <w:lang w:val="en-US" w:eastAsia="zh-CN"/>
              </w:rPr>
            </w:pPr>
            <w:r>
              <w:rPr>
                <w:rFonts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73</w:t>
            </w:r>
          </w:p>
        </w:tc>
        <w:tc>
          <w:tcPr>
            <w:tcW w:w="187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sz w:val="20"/>
                <w:szCs w:val="20"/>
              </w:rPr>
            </w:pPr>
            <w:r>
              <w:rPr>
                <w:rFonts w:ascii="Times New Roman" w:hAnsi="Times New Roman" w:eastAsia="仿宋_GB2312" w:cs="Times New Roman"/>
                <w:color w:val="000000"/>
                <w:sz w:val="20"/>
                <w:szCs w:val="20"/>
              </w:rPr>
              <w:t>　</w:t>
            </w:r>
          </w:p>
        </w:tc>
      </w:tr>
    </w:tbl>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default"/>
          <w:lang w:val="en-US"/>
        </w:rPr>
      </w:pPr>
      <w:r>
        <w:rPr>
          <w:rFonts w:hint="eastAsia" w:cs="Times New Roman"/>
          <w:sz w:val="32"/>
          <w:szCs w:val="32"/>
          <w:lang w:val="en-US" w:eastAsia="zh-CN"/>
        </w:rPr>
        <w:t>附件3-8：</w:t>
      </w:r>
    </w:p>
    <w:p>
      <w:pPr>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2022年度项目支出绩效自评表8</w:t>
      </w:r>
    </w:p>
    <w:tbl>
      <w:tblPr>
        <w:tblStyle w:val="12"/>
        <w:tblW w:w="9359" w:type="dxa"/>
        <w:jc w:val="center"/>
        <w:tblLayout w:type="autofit"/>
        <w:tblCellMar>
          <w:top w:w="0" w:type="dxa"/>
          <w:left w:w="108" w:type="dxa"/>
          <w:bottom w:w="0" w:type="dxa"/>
          <w:right w:w="108" w:type="dxa"/>
        </w:tblCellMar>
      </w:tblPr>
      <w:tblGrid>
        <w:gridCol w:w="1026"/>
        <w:gridCol w:w="1026"/>
        <w:gridCol w:w="1026"/>
        <w:gridCol w:w="1164"/>
        <w:gridCol w:w="1076"/>
        <w:gridCol w:w="1264"/>
        <w:gridCol w:w="599"/>
        <w:gridCol w:w="829"/>
        <w:gridCol w:w="1349"/>
      </w:tblGrid>
      <w:tr>
        <w:tblPrEx>
          <w:tblCellMar>
            <w:top w:w="0" w:type="dxa"/>
            <w:left w:w="108" w:type="dxa"/>
            <w:bottom w:w="0" w:type="dxa"/>
            <w:right w:w="108" w:type="dxa"/>
          </w:tblCellMar>
        </w:tblPrEx>
        <w:trPr>
          <w:trHeight w:val="287" w:hRule="atLeast"/>
          <w:jc w:val="center"/>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项目支</w:t>
            </w:r>
          </w:p>
          <w:p>
            <w:pPr>
              <w:widowControl/>
              <w:spacing w:line="26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出名称</w:t>
            </w:r>
          </w:p>
        </w:tc>
        <w:tc>
          <w:tcPr>
            <w:tcW w:w="8333" w:type="dxa"/>
            <w:gridSpan w:val="8"/>
            <w:tcBorders>
              <w:top w:val="single" w:color="auto" w:sz="4" w:space="0"/>
              <w:left w:val="nil"/>
              <w:bottom w:val="single" w:color="auto" w:sz="4" w:space="0"/>
              <w:right w:val="single" w:color="auto" w:sz="4" w:space="0"/>
            </w:tcBorders>
            <w:shd w:val="clear" w:color="auto" w:fill="auto"/>
            <w:vAlign w:val="center"/>
          </w:tcPr>
          <w:p>
            <w:pPr>
              <w:widowControl/>
              <w:jc w:val="both"/>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就业补助专项（省级）校园招聘一次性补助资金</w:t>
            </w:r>
          </w:p>
        </w:tc>
      </w:tr>
      <w:tr>
        <w:tblPrEx>
          <w:tblCellMar>
            <w:top w:w="0" w:type="dxa"/>
            <w:left w:w="108" w:type="dxa"/>
            <w:bottom w:w="0" w:type="dxa"/>
            <w:right w:w="108" w:type="dxa"/>
          </w:tblCellMar>
        </w:tblPrEx>
        <w:trPr>
          <w:trHeight w:val="175" w:hRule="atLeast"/>
          <w:jc w:val="center"/>
        </w:trPr>
        <w:tc>
          <w:tcPr>
            <w:tcW w:w="1026"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主管部门</w:t>
            </w:r>
          </w:p>
        </w:tc>
        <w:tc>
          <w:tcPr>
            <w:tcW w:w="4292"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264"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实施单位</w:t>
            </w:r>
          </w:p>
        </w:tc>
        <w:tc>
          <w:tcPr>
            <w:tcW w:w="2777" w:type="dxa"/>
            <w:gridSpan w:val="3"/>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sz w:val="21"/>
                <w:szCs w:val="21"/>
                <w:lang w:val="en-US" w:eastAsia="zh-CN"/>
              </w:rPr>
              <w:t>湖南城建职业技术学院</w:t>
            </w:r>
          </w:p>
        </w:tc>
      </w:tr>
      <w:tr>
        <w:tblPrEx>
          <w:tblCellMar>
            <w:top w:w="0" w:type="dxa"/>
            <w:left w:w="108" w:type="dxa"/>
            <w:bottom w:w="0" w:type="dxa"/>
            <w:right w:w="108" w:type="dxa"/>
          </w:tblCellMar>
        </w:tblPrEx>
        <w:trPr>
          <w:trHeight w:val="344" w:hRule="atLeast"/>
          <w:jc w:val="center"/>
        </w:trPr>
        <w:tc>
          <w:tcPr>
            <w:tcW w:w="102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项目资金</w:t>
            </w:r>
            <w:r>
              <w:rPr>
                <w:rFonts w:hint="eastAsia" w:ascii="方正仿宋_GB2312" w:hAnsi="方正仿宋_GB2312" w:eastAsia="方正仿宋_GB2312" w:cs="方正仿宋_GB2312"/>
                <w:color w:val="000000"/>
                <w:kern w:val="0"/>
                <w:sz w:val="21"/>
                <w:szCs w:val="21"/>
              </w:rPr>
              <w:br w:type="textWrapping"/>
            </w:r>
            <w:r>
              <w:rPr>
                <w:rFonts w:hint="eastAsia" w:ascii="方正仿宋_GB2312" w:hAnsi="方正仿宋_GB2312" w:eastAsia="方正仿宋_GB2312" w:cs="方正仿宋_GB2312"/>
                <w:color w:val="000000"/>
                <w:kern w:val="0"/>
                <w:sz w:val="21"/>
                <w:szCs w:val="21"/>
              </w:rPr>
              <w:t>（万元）</w:t>
            </w:r>
          </w:p>
        </w:tc>
        <w:tc>
          <w:tcPr>
            <w:tcW w:w="2052" w:type="dxa"/>
            <w:gridSpan w:val="2"/>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1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年初</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预算数</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全年</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预算数</w:t>
            </w:r>
          </w:p>
        </w:tc>
        <w:tc>
          <w:tcPr>
            <w:tcW w:w="1264" w:type="dxa"/>
            <w:tcBorders>
              <w:top w:val="nil"/>
              <w:left w:val="nil"/>
              <w:bottom w:val="single" w:color="auto" w:sz="4" w:space="0"/>
              <w:right w:val="single" w:color="auto" w:sz="4" w:space="0"/>
            </w:tcBorders>
            <w:shd w:val="clear" w:color="auto" w:fill="auto"/>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全年</w:t>
            </w:r>
          </w:p>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执行数</w:t>
            </w:r>
          </w:p>
        </w:tc>
        <w:tc>
          <w:tcPr>
            <w:tcW w:w="599" w:type="dxa"/>
            <w:tcBorders>
              <w:top w:val="nil"/>
              <w:left w:val="nil"/>
              <w:bottom w:val="single" w:color="auto" w:sz="4" w:space="0"/>
              <w:right w:val="single" w:color="auto" w:sz="4" w:space="0"/>
            </w:tcBorders>
            <w:shd w:val="clear" w:color="auto" w:fill="auto"/>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分值</w:t>
            </w:r>
          </w:p>
        </w:tc>
        <w:tc>
          <w:tcPr>
            <w:tcW w:w="829" w:type="dxa"/>
            <w:tcBorders>
              <w:top w:val="nil"/>
              <w:left w:val="nil"/>
              <w:bottom w:val="single" w:color="auto" w:sz="4" w:space="0"/>
              <w:right w:val="single" w:color="auto" w:sz="4" w:space="0"/>
            </w:tcBorders>
            <w:shd w:val="clear" w:color="auto" w:fill="auto"/>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执行率</w:t>
            </w:r>
          </w:p>
        </w:tc>
        <w:tc>
          <w:tcPr>
            <w:tcW w:w="1349" w:type="dxa"/>
            <w:tcBorders>
              <w:top w:val="nil"/>
              <w:left w:val="nil"/>
              <w:bottom w:val="single" w:color="auto" w:sz="4" w:space="0"/>
              <w:right w:val="single" w:color="auto" w:sz="4" w:space="0"/>
            </w:tcBorders>
            <w:shd w:val="clear" w:color="auto" w:fill="auto"/>
            <w:vAlign w:val="center"/>
          </w:tcPr>
          <w:p>
            <w:pPr>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得分</w:t>
            </w:r>
          </w:p>
        </w:tc>
      </w:tr>
      <w:tr>
        <w:tblPrEx>
          <w:tblCellMar>
            <w:top w:w="0" w:type="dxa"/>
            <w:left w:w="108" w:type="dxa"/>
            <w:bottom w:w="0" w:type="dxa"/>
            <w:right w:w="108" w:type="dxa"/>
          </w:tblCellMar>
        </w:tblPrEx>
        <w:trPr>
          <w:trHeight w:val="175" w:hRule="atLeast"/>
          <w:jc w:val="center"/>
        </w:trPr>
        <w:tc>
          <w:tcPr>
            <w:tcW w:w="102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2052" w:type="dxa"/>
            <w:gridSpan w:val="2"/>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年度资金总额　</w:t>
            </w:r>
          </w:p>
        </w:tc>
        <w:tc>
          <w:tcPr>
            <w:tcW w:w="11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10</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10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6.2</w:t>
            </w:r>
          </w:p>
        </w:tc>
        <w:tc>
          <w:tcPr>
            <w:tcW w:w="59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tc>
        <w:tc>
          <w:tcPr>
            <w:tcW w:w="82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62%</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auto"/>
                <w:kern w:val="0"/>
                <w:sz w:val="21"/>
                <w:szCs w:val="21"/>
                <w:lang w:val="en-US" w:eastAsia="zh-CN"/>
              </w:rPr>
              <w:t>9</w:t>
            </w:r>
          </w:p>
        </w:tc>
      </w:tr>
      <w:tr>
        <w:tblPrEx>
          <w:tblCellMar>
            <w:top w:w="0" w:type="dxa"/>
            <w:left w:w="108" w:type="dxa"/>
            <w:bottom w:w="0" w:type="dxa"/>
            <w:right w:w="108" w:type="dxa"/>
          </w:tblCellMar>
        </w:tblPrEx>
        <w:trPr>
          <w:trHeight w:val="175" w:hRule="atLeast"/>
          <w:jc w:val="center"/>
        </w:trPr>
        <w:tc>
          <w:tcPr>
            <w:tcW w:w="102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2052" w:type="dxa"/>
            <w:gridSpan w:val="2"/>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其中：当年财政拨款　</w:t>
            </w:r>
          </w:p>
        </w:tc>
        <w:tc>
          <w:tcPr>
            <w:tcW w:w="11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rPr>
            </w:pPr>
          </w:p>
        </w:tc>
        <w:tc>
          <w:tcPr>
            <w:tcW w:w="59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82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2052" w:type="dxa"/>
            <w:gridSpan w:val="2"/>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上年结转资金　</w:t>
            </w:r>
          </w:p>
        </w:tc>
        <w:tc>
          <w:tcPr>
            <w:tcW w:w="11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59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82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2052" w:type="dxa"/>
            <w:gridSpan w:val="2"/>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其他资金</w:t>
            </w:r>
          </w:p>
        </w:tc>
        <w:tc>
          <w:tcPr>
            <w:tcW w:w="11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p>
        </w:tc>
        <w:tc>
          <w:tcPr>
            <w:tcW w:w="59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82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年度总体目标</w:t>
            </w:r>
          </w:p>
        </w:tc>
        <w:tc>
          <w:tcPr>
            <w:tcW w:w="4292"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预期目标</w:t>
            </w:r>
          </w:p>
        </w:tc>
        <w:tc>
          <w:tcPr>
            <w:tcW w:w="4041"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实际完成情况　</w:t>
            </w:r>
          </w:p>
        </w:tc>
      </w:tr>
      <w:tr>
        <w:tblPrEx>
          <w:tblCellMar>
            <w:top w:w="0" w:type="dxa"/>
            <w:left w:w="108" w:type="dxa"/>
            <w:bottom w:w="0" w:type="dxa"/>
            <w:right w:w="108" w:type="dxa"/>
          </w:tblCellMar>
        </w:tblPrEx>
        <w:trPr>
          <w:trHeight w:val="175" w:hRule="atLeast"/>
          <w:jc w:val="center"/>
        </w:trPr>
        <w:tc>
          <w:tcPr>
            <w:tcW w:w="1026" w:type="dxa"/>
            <w:vMerge w:val="continue"/>
            <w:tcBorders>
              <w:top w:val="nil"/>
              <w:left w:val="single" w:color="auto" w:sz="4" w:space="0"/>
              <w:bottom w:val="single" w:color="000000" w:sz="4" w:space="0"/>
              <w:right w:val="single" w:color="auto" w:sz="4" w:space="0"/>
            </w:tcBorders>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4292"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完成专场招聘</w:t>
            </w:r>
            <w:r>
              <w:rPr>
                <w:rFonts w:hint="eastAsia" w:ascii="方正仿宋_GB2312" w:hAnsi="方正仿宋_GB2312" w:eastAsia="方正仿宋_GB2312" w:cs="方正仿宋_GB2312"/>
                <w:color w:val="000000"/>
                <w:kern w:val="0"/>
                <w:sz w:val="21"/>
                <w:szCs w:val="21"/>
                <w:lang w:val="en-US" w:eastAsia="zh-CN"/>
              </w:rPr>
              <w:t xml:space="preserve"> </w:t>
            </w:r>
            <w:r>
              <w:rPr>
                <w:rFonts w:hint="eastAsia" w:ascii="方正仿宋_GB2312" w:hAnsi="方正仿宋_GB2312" w:eastAsia="方正仿宋_GB2312" w:cs="方正仿宋_GB2312"/>
                <w:color w:val="000000"/>
                <w:kern w:val="0"/>
                <w:sz w:val="21"/>
                <w:szCs w:val="21"/>
              </w:rPr>
              <w:t>场、大型招聘会</w:t>
            </w:r>
            <w:r>
              <w:rPr>
                <w:rFonts w:hint="eastAsia" w:ascii="方正仿宋_GB2312" w:hAnsi="方正仿宋_GB2312" w:eastAsia="方正仿宋_GB2312" w:cs="方正仿宋_GB2312"/>
                <w:color w:val="000000"/>
                <w:kern w:val="0"/>
                <w:sz w:val="21"/>
                <w:szCs w:val="21"/>
                <w:lang w:val="en-US" w:eastAsia="zh-CN"/>
              </w:rPr>
              <w:t>1</w:t>
            </w:r>
            <w:r>
              <w:rPr>
                <w:rFonts w:hint="eastAsia" w:ascii="方正仿宋_GB2312" w:hAnsi="方正仿宋_GB2312" w:eastAsia="方正仿宋_GB2312" w:cs="方正仿宋_GB2312"/>
                <w:color w:val="000000"/>
                <w:kern w:val="0"/>
                <w:sz w:val="21"/>
                <w:szCs w:val="21"/>
              </w:rPr>
              <w:t>场、毕业生离校前招聘会</w:t>
            </w:r>
            <w:r>
              <w:rPr>
                <w:rFonts w:hint="eastAsia" w:ascii="方正仿宋_GB2312" w:hAnsi="方正仿宋_GB2312" w:eastAsia="方正仿宋_GB2312" w:cs="方正仿宋_GB2312"/>
                <w:color w:val="000000"/>
                <w:kern w:val="0"/>
                <w:sz w:val="21"/>
                <w:szCs w:val="21"/>
                <w:lang w:val="en-US" w:eastAsia="zh-CN"/>
              </w:rPr>
              <w:t>1</w:t>
            </w:r>
            <w:r>
              <w:rPr>
                <w:rFonts w:hint="eastAsia" w:ascii="方正仿宋_GB2312" w:hAnsi="方正仿宋_GB2312" w:eastAsia="方正仿宋_GB2312" w:cs="方正仿宋_GB2312"/>
                <w:color w:val="000000"/>
                <w:kern w:val="0"/>
                <w:sz w:val="21"/>
                <w:szCs w:val="21"/>
              </w:rPr>
              <w:t>场　　　</w:t>
            </w:r>
          </w:p>
        </w:tc>
        <w:tc>
          <w:tcPr>
            <w:tcW w:w="4041" w:type="dxa"/>
            <w:gridSpan w:val="4"/>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完成专场招聘</w:t>
            </w:r>
            <w:r>
              <w:rPr>
                <w:rFonts w:hint="eastAsia" w:ascii="方正仿宋_GB2312" w:hAnsi="方正仿宋_GB2312" w:eastAsia="方正仿宋_GB2312" w:cs="方正仿宋_GB2312"/>
                <w:color w:val="000000"/>
                <w:kern w:val="0"/>
                <w:sz w:val="21"/>
                <w:szCs w:val="21"/>
                <w:lang w:val="en-US" w:eastAsia="zh-CN"/>
              </w:rPr>
              <w:t xml:space="preserve"> </w:t>
            </w:r>
            <w:r>
              <w:rPr>
                <w:rFonts w:hint="eastAsia" w:ascii="方正仿宋_GB2312" w:hAnsi="方正仿宋_GB2312" w:eastAsia="方正仿宋_GB2312" w:cs="方正仿宋_GB2312"/>
                <w:color w:val="000000"/>
                <w:kern w:val="0"/>
                <w:sz w:val="21"/>
                <w:szCs w:val="21"/>
              </w:rPr>
              <w:t>场、大型招聘会</w:t>
            </w:r>
            <w:r>
              <w:rPr>
                <w:rFonts w:hint="eastAsia" w:ascii="方正仿宋_GB2312" w:hAnsi="方正仿宋_GB2312" w:eastAsia="方正仿宋_GB2312" w:cs="方正仿宋_GB2312"/>
                <w:color w:val="000000"/>
                <w:kern w:val="0"/>
                <w:sz w:val="21"/>
                <w:szCs w:val="21"/>
                <w:lang w:val="en-US" w:eastAsia="zh-CN"/>
              </w:rPr>
              <w:t>1</w:t>
            </w:r>
            <w:r>
              <w:rPr>
                <w:rFonts w:hint="eastAsia" w:ascii="方正仿宋_GB2312" w:hAnsi="方正仿宋_GB2312" w:eastAsia="方正仿宋_GB2312" w:cs="方正仿宋_GB2312"/>
                <w:color w:val="000000"/>
                <w:kern w:val="0"/>
                <w:sz w:val="21"/>
                <w:szCs w:val="21"/>
              </w:rPr>
              <w:t>场、毕业生离校前招聘会</w:t>
            </w:r>
            <w:r>
              <w:rPr>
                <w:rFonts w:hint="eastAsia" w:ascii="方正仿宋_GB2312" w:hAnsi="方正仿宋_GB2312" w:eastAsia="方正仿宋_GB2312" w:cs="方正仿宋_GB2312"/>
                <w:color w:val="000000"/>
                <w:kern w:val="0"/>
                <w:sz w:val="21"/>
                <w:szCs w:val="21"/>
                <w:lang w:val="en-US" w:eastAsia="zh-CN"/>
              </w:rPr>
              <w:t>1</w:t>
            </w:r>
            <w:r>
              <w:rPr>
                <w:rFonts w:hint="eastAsia" w:ascii="方正仿宋_GB2312" w:hAnsi="方正仿宋_GB2312" w:eastAsia="方正仿宋_GB2312" w:cs="方正仿宋_GB2312"/>
                <w:color w:val="000000"/>
                <w:kern w:val="0"/>
                <w:sz w:val="21"/>
                <w:szCs w:val="21"/>
              </w:rPr>
              <w:t>场</w:t>
            </w:r>
          </w:p>
        </w:tc>
      </w:tr>
      <w:tr>
        <w:tblPrEx>
          <w:tblCellMar>
            <w:top w:w="0" w:type="dxa"/>
            <w:left w:w="108" w:type="dxa"/>
            <w:bottom w:w="0" w:type="dxa"/>
            <w:right w:w="108" w:type="dxa"/>
          </w:tblCellMar>
        </w:tblPrEx>
        <w:trPr>
          <w:trHeight w:val="396" w:hRule="atLeast"/>
          <w:jc w:val="center"/>
        </w:trPr>
        <w:tc>
          <w:tcPr>
            <w:tcW w:w="1026" w:type="dxa"/>
            <w:vMerge w:val="restart"/>
            <w:tcBorders>
              <w:top w:val="nil"/>
              <w:left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绩</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效</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标</w:t>
            </w:r>
          </w:p>
          <w:p>
            <w:pPr>
              <w:widowControl/>
              <w:jc w:val="center"/>
              <w:rPr>
                <w:rFonts w:hint="eastAsia" w:ascii="方正仿宋_GB2312" w:hAnsi="方正仿宋_GB2312" w:eastAsia="方正仿宋_GB2312" w:cs="方正仿宋_GB2312"/>
                <w:color w:val="000000"/>
                <w:kern w:val="0"/>
                <w:sz w:val="21"/>
                <w:szCs w:val="21"/>
              </w:rPr>
            </w:pPr>
          </w:p>
        </w:tc>
        <w:tc>
          <w:tcPr>
            <w:tcW w:w="102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一级指标</w:t>
            </w:r>
          </w:p>
        </w:tc>
        <w:tc>
          <w:tcPr>
            <w:tcW w:w="102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二级指标</w:t>
            </w:r>
          </w:p>
        </w:tc>
        <w:tc>
          <w:tcPr>
            <w:tcW w:w="116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三级指标</w:t>
            </w:r>
          </w:p>
        </w:tc>
        <w:tc>
          <w:tcPr>
            <w:tcW w:w="1076"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年度</w:t>
            </w:r>
          </w:p>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指标值</w:t>
            </w:r>
          </w:p>
        </w:tc>
        <w:tc>
          <w:tcPr>
            <w:tcW w:w="1264"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实际</w:t>
            </w:r>
          </w:p>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完成值</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分值</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得分</w:t>
            </w:r>
          </w:p>
        </w:tc>
        <w:tc>
          <w:tcPr>
            <w:tcW w:w="134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偏差原因</w:t>
            </w:r>
          </w:p>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分析及</w:t>
            </w:r>
          </w:p>
          <w:p>
            <w:pPr>
              <w:widowControl/>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改进措施</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产出指标</w:t>
            </w:r>
          </w:p>
          <w:p>
            <w:pPr>
              <w:widowControl/>
              <w:jc w:val="center"/>
              <w:rPr>
                <w:rFonts w:hint="eastAsia" w:ascii="方正仿宋_GB2312" w:hAnsi="方正仿宋_GB2312" w:eastAsia="方正仿宋_GB2312" w:cs="方正仿宋_GB2312"/>
                <w:color w:val="000000"/>
                <w:kern w:val="0"/>
                <w:sz w:val="21"/>
                <w:szCs w:val="21"/>
              </w:rPr>
            </w:pP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(50分)</w:t>
            </w: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数量指标</w:t>
            </w: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专场招聘</w:t>
            </w:r>
          </w:p>
        </w:tc>
        <w:tc>
          <w:tcPr>
            <w:tcW w:w="1076"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100场</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100场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大型招聘会</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1</w:t>
            </w:r>
            <w:r>
              <w:rPr>
                <w:rFonts w:hint="eastAsia" w:ascii="方正仿宋_GB2312" w:hAnsi="方正仿宋_GB2312" w:eastAsia="方正仿宋_GB2312" w:cs="方正仿宋_GB2312"/>
                <w:color w:val="000000"/>
                <w:kern w:val="0"/>
                <w:sz w:val="21"/>
                <w:szCs w:val="21"/>
              </w:rPr>
              <w:t>场</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毕业生离校前招聘会</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1场</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1场</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质量指标</w:t>
            </w: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初次就业率　</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85</w:t>
            </w:r>
            <w:r>
              <w:rPr>
                <w:rFonts w:hint="eastAsia" w:ascii="方正仿宋_GB2312" w:hAnsi="方正仿宋_GB2312" w:eastAsia="方正仿宋_GB2312" w:cs="方正仿宋_GB2312"/>
                <w:color w:val="000000"/>
                <w:kern w:val="0"/>
                <w:sz w:val="21"/>
                <w:szCs w:val="21"/>
              </w:rPr>
              <w:t>%左右</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88.72%</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3</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年终就业率</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89</w:t>
            </w:r>
            <w:r>
              <w:rPr>
                <w:rFonts w:hint="eastAsia" w:ascii="方正仿宋_GB2312" w:hAnsi="方正仿宋_GB2312" w:eastAsia="方正仿宋_GB2312" w:cs="方正仿宋_GB2312"/>
                <w:color w:val="000000"/>
                <w:kern w:val="0"/>
                <w:sz w:val="21"/>
                <w:szCs w:val="21"/>
              </w:rPr>
              <w:t>%左右</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93.15%</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用人单位满意率</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85</w:t>
            </w:r>
            <w:r>
              <w:rPr>
                <w:rFonts w:hint="eastAsia" w:ascii="方正仿宋_GB2312" w:hAnsi="方正仿宋_GB2312" w:eastAsia="方正仿宋_GB2312" w:cs="方正仿宋_GB2312"/>
                <w:color w:val="000000"/>
                <w:kern w:val="0"/>
                <w:sz w:val="21"/>
                <w:szCs w:val="21"/>
              </w:rPr>
              <w:t>%以上</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96%</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时效指标</w:t>
            </w: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专场招聘</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全年</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全年</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大型招聘会</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2022年11月底</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12月10 日</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毕业生离校前招聘会</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20</w:t>
            </w:r>
            <w:r>
              <w:rPr>
                <w:rFonts w:hint="eastAsia" w:ascii="方正仿宋_GB2312" w:hAnsi="方正仿宋_GB2312" w:eastAsia="方正仿宋_GB2312" w:cs="方正仿宋_GB2312"/>
                <w:color w:val="000000"/>
                <w:kern w:val="0"/>
                <w:sz w:val="21"/>
                <w:szCs w:val="21"/>
                <w:lang w:val="en-US" w:eastAsia="zh-CN"/>
              </w:rPr>
              <w:t>22</w:t>
            </w:r>
            <w:r>
              <w:rPr>
                <w:rFonts w:hint="eastAsia" w:ascii="方正仿宋_GB2312" w:hAnsi="方正仿宋_GB2312" w:eastAsia="方正仿宋_GB2312" w:cs="方正仿宋_GB2312"/>
                <w:color w:val="000000"/>
                <w:kern w:val="0"/>
                <w:sz w:val="21"/>
                <w:szCs w:val="21"/>
              </w:rPr>
              <w:t>年6月底</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6月16日</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成本指标</w:t>
            </w: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专场招聘</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5</w:t>
            </w:r>
            <w:r>
              <w:rPr>
                <w:rFonts w:hint="eastAsia" w:ascii="方正仿宋_GB2312" w:hAnsi="方正仿宋_GB2312" w:eastAsia="方正仿宋_GB2312" w:cs="方正仿宋_GB2312"/>
                <w:color w:val="000000"/>
                <w:kern w:val="0"/>
                <w:sz w:val="21"/>
                <w:szCs w:val="21"/>
              </w:rPr>
              <w:t>00元/场</w:t>
            </w:r>
          </w:p>
        </w:tc>
        <w:tc>
          <w:tcPr>
            <w:tcW w:w="1264" w:type="dxa"/>
            <w:vMerge w:val="restart"/>
            <w:tcBorders>
              <w:top w:val="nil"/>
              <w:left w:val="nil"/>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共计62000</w:t>
            </w: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vMerge w:val="restart"/>
            <w:tcBorders>
              <w:top w:val="nil"/>
              <w:left w:val="nil"/>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因疫情原因，就业市场拓展减少，节约了市场开拓成本。</w:t>
            </w:r>
          </w:p>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大型招聘会</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80000元/场</w:t>
            </w:r>
          </w:p>
        </w:tc>
        <w:tc>
          <w:tcPr>
            <w:tcW w:w="1264" w:type="dxa"/>
            <w:vMerge w:val="continue"/>
            <w:tcBorders>
              <w:left w:val="nil"/>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vMerge w:val="continue"/>
            <w:tcBorders>
              <w:left w:val="nil"/>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bottom"/>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毕业生离校前招聘会</w:t>
            </w:r>
          </w:p>
        </w:tc>
        <w:tc>
          <w:tcPr>
            <w:tcW w:w="1076"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50000元/场</w:t>
            </w:r>
          </w:p>
        </w:tc>
        <w:tc>
          <w:tcPr>
            <w:tcW w:w="1264"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4</w:t>
            </w:r>
          </w:p>
        </w:tc>
        <w:tc>
          <w:tcPr>
            <w:tcW w:w="1349"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效益指标</w:t>
            </w:r>
          </w:p>
          <w:p>
            <w:pPr>
              <w:widowControl/>
              <w:jc w:val="left"/>
              <w:rPr>
                <w:rFonts w:hint="eastAsia" w:ascii="方正仿宋_GB2312" w:hAnsi="方正仿宋_GB2312" w:eastAsia="方正仿宋_GB2312" w:cs="方正仿宋_GB2312"/>
                <w:color w:val="000000"/>
                <w:kern w:val="0"/>
                <w:sz w:val="21"/>
                <w:szCs w:val="21"/>
              </w:rPr>
            </w:pPr>
          </w:p>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（30分）</w:t>
            </w:r>
          </w:p>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经济效</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益指标</w:t>
            </w: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指标1：</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29" w:type="dxa"/>
            <w:tcBorders>
              <w:top w:val="nil"/>
              <w:left w:val="nil"/>
              <w:bottom w:val="single" w:color="auto" w:sz="4" w:space="0"/>
              <w:right w:val="single" w:color="auto" w:sz="4" w:space="0"/>
            </w:tcBorders>
            <w:shd w:val="clear" w:color="auto" w:fill="auto"/>
            <w:vAlign w:val="center"/>
          </w:tcPr>
          <w:p>
            <w:pPr>
              <w:widowControl/>
              <w:spacing w:line="240" w:lineRule="exact"/>
              <w:jc w:val="left"/>
              <w:rPr>
                <w:rFonts w:hint="eastAsia" w:ascii="方正仿宋_GB2312" w:hAnsi="方正仿宋_GB2312" w:eastAsia="方正仿宋_GB2312" w:cs="方正仿宋_GB2312"/>
                <w:color w:val="000000"/>
                <w:kern w:val="0"/>
                <w:sz w:val="21"/>
                <w:szCs w:val="21"/>
                <w:lang w:val="en-US" w:eastAsia="zh-CN" w:bidi="ar-SA"/>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指标2：</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社会效</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益指标</w:t>
            </w: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指标1：</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指标2：</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生态效</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益指标</w:t>
            </w: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指标1：</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10</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指标2：</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可持续影响指标</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指标1：</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3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16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指标2：</w:t>
            </w:r>
          </w:p>
        </w:tc>
        <w:tc>
          <w:tcPr>
            <w:tcW w:w="107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592"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满意度</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w:t>
            </w:r>
          </w:p>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（10分）</w:t>
            </w:r>
          </w:p>
        </w:tc>
        <w:tc>
          <w:tcPr>
            <w:tcW w:w="1026" w:type="dxa"/>
            <w:vMerge w:val="restart"/>
            <w:tcBorders>
              <w:top w:val="nil"/>
              <w:left w:val="nil"/>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服务对象满意度指标</w:t>
            </w: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指标1：</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5</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right w:val="single" w:color="auto" w:sz="4" w:space="0"/>
            </w:tcBorders>
            <w:shd w:val="clear" w:color="auto" w:fill="auto"/>
            <w:vAlign w:val="center"/>
          </w:tcPr>
          <w:p>
            <w:pPr>
              <w:jc w:val="left"/>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指标2：</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75" w:hRule="atLeast"/>
          <w:jc w:val="center"/>
        </w:trPr>
        <w:tc>
          <w:tcPr>
            <w:tcW w:w="1026"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026" w:type="dxa"/>
            <w:vMerge w:val="continue"/>
            <w:tcBorders>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p>
        </w:tc>
        <w:tc>
          <w:tcPr>
            <w:tcW w:w="11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w:t>
            </w:r>
          </w:p>
        </w:tc>
        <w:tc>
          <w:tcPr>
            <w:tcW w:w="1076"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264"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59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180" w:hRule="atLeast"/>
          <w:jc w:val="center"/>
        </w:trPr>
        <w:tc>
          <w:tcPr>
            <w:tcW w:w="6582"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总分</w:t>
            </w:r>
          </w:p>
        </w:tc>
        <w:tc>
          <w:tcPr>
            <w:tcW w:w="599" w:type="dxa"/>
            <w:tcBorders>
              <w:top w:val="nil"/>
              <w:left w:val="nil"/>
              <w:bottom w:val="single" w:color="auto" w:sz="4" w:space="0"/>
              <w:right w:val="single" w:color="auto" w:sz="4" w:space="0"/>
            </w:tcBorders>
            <w:shd w:val="clear" w:color="auto" w:fill="auto"/>
            <w:vAlign w:val="center"/>
          </w:tcPr>
          <w:p>
            <w:pPr>
              <w:widowControl/>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100</w:t>
            </w:r>
          </w:p>
        </w:tc>
        <w:tc>
          <w:tcPr>
            <w:tcW w:w="82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auto"/>
                <w:kern w:val="0"/>
                <w:sz w:val="21"/>
                <w:szCs w:val="21"/>
                <w:lang w:val="en-US" w:eastAsia="zh-CN"/>
              </w:rPr>
              <w:t>98</w:t>
            </w:r>
          </w:p>
        </w:tc>
        <w:tc>
          <w:tcPr>
            <w:tcW w:w="1349" w:type="dxa"/>
            <w:tcBorders>
              <w:top w:val="nil"/>
              <w:left w:val="nil"/>
              <w:bottom w:val="single" w:color="auto" w:sz="4" w:space="0"/>
              <w:right w:val="single" w:color="auto" w:sz="4" w:space="0"/>
            </w:tcBorders>
            <w:shd w:val="clear" w:color="auto" w:fill="auto"/>
            <w:vAlign w:val="center"/>
          </w:tcPr>
          <w:p>
            <w:pPr>
              <w:widowControl/>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bl>
    <w:p>
      <w:pPr>
        <w:pStyle w:val="11"/>
        <w:ind w:left="0" w:leftChars="0" w:firstLine="0" w:firstLineChars="0"/>
        <w:rPr>
          <w:rFonts w:hint="eastAsia"/>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default"/>
          <w:lang w:val="en-US"/>
        </w:rPr>
      </w:pPr>
      <w:r>
        <w:rPr>
          <w:rFonts w:hint="eastAsia" w:cs="Times New Roman"/>
          <w:sz w:val="32"/>
          <w:szCs w:val="32"/>
          <w:lang w:val="en-US" w:eastAsia="zh-CN"/>
        </w:rPr>
        <w:t>附件3-9：</w:t>
      </w:r>
    </w:p>
    <w:p>
      <w:pPr>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2022年度项目支出绩效自评表9</w:t>
      </w:r>
    </w:p>
    <w:tbl>
      <w:tblPr>
        <w:tblStyle w:val="12"/>
        <w:tblW w:w="9851" w:type="dxa"/>
        <w:jc w:val="center"/>
        <w:tblLayout w:type="autofit"/>
        <w:tblCellMar>
          <w:top w:w="0" w:type="dxa"/>
          <w:left w:w="108" w:type="dxa"/>
          <w:bottom w:w="0" w:type="dxa"/>
          <w:right w:w="108" w:type="dxa"/>
        </w:tblCellMar>
      </w:tblPr>
      <w:tblGrid>
        <w:gridCol w:w="1080"/>
        <w:gridCol w:w="1080"/>
        <w:gridCol w:w="1080"/>
        <w:gridCol w:w="1431"/>
        <w:gridCol w:w="927"/>
        <w:gridCol w:w="1134"/>
        <w:gridCol w:w="828"/>
        <w:gridCol w:w="873"/>
        <w:gridCol w:w="1418"/>
      </w:tblGrid>
      <w:tr>
        <w:tblPrEx>
          <w:tblCellMar>
            <w:top w:w="0" w:type="dxa"/>
            <w:left w:w="108" w:type="dxa"/>
            <w:bottom w:w="0" w:type="dxa"/>
            <w:right w:w="108" w:type="dxa"/>
          </w:tblCellMar>
        </w:tblPrEx>
        <w:trPr>
          <w:trHeight w:val="390"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widowControl/>
              <w:spacing w:line="26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现代职业教育质量提升计划</w:t>
            </w:r>
            <w:r>
              <w:rPr>
                <w:rFonts w:hint="eastAsia" w:ascii="Times New Roman" w:hAnsi="Times New Roman" w:eastAsia="仿宋_GB2312" w:cs="Times New Roman"/>
                <w:color w:val="000000"/>
                <w:sz w:val="20"/>
                <w:szCs w:val="20"/>
                <w:lang w:eastAsia="zh-CN"/>
              </w:rPr>
              <w:t>——</w:t>
            </w:r>
            <w:r>
              <w:rPr>
                <w:rFonts w:hint="eastAsia" w:ascii="Times New Roman" w:hAnsi="Times New Roman" w:eastAsia="仿宋_GB2312" w:cs="Times New Roman"/>
                <w:color w:val="000000"/>
                <w:sz w:val="20"/>
                <w:szCs w:val="20"/>
                <w:lang w:val="en-US" w:eastAsia="zh-CN"/>
              </w:rPr>
              <w:t>高职土木建筑大类“1+X”证书制度试点种子教师研修项目</w:t>
            </w: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31"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927"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　</w:t>
            </w: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26.4</w:t>
            </w: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ascii="Times New Roman" w:hAnsi="Times New Roman" w:eastAsia="仿宋_GB2312" w:cs="Times New Roman"/>
                <w:color w:val="auto"/>
                <w:sz w:val="20"/>
                <w:szCs w:val="20"/>
                <w:lang w:val="en-US" w:eastAsia="zh-CN"/>
              </w:rPr>
              <w:t>26.4</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auto"/>
                <w:sz w:val="20"/>
                <w:szCs w:val="20"/>
                <w:lang w:val="en-US" w:eastAsia="zh-CN"/>
              </w:rPr>
            </w:pPr>
            <w:r>
              <w:rPr>
                <w:rFonts w:hint="eastAsia" w:ascii="Times New Roman" w:hAnsi="Times New Roman" w:eastAsia="仿宋_GB2312" w:cs="Times New Roman"/>
                <w:color w:val="auto"/>
                <w:sz w:val="20"/>
                <w:szCs w:val="20"/>
                <w:lang w:val="en-US" w:eastAsia="zh-CN"/>
              </w:rPr>
              <w:t>2</w:t>
            </w:r>
            <w:r>
              <w:rPr>
                <w:rFonts w:hint="eastAsia" w:eastAsia="仿宋_GB2312" w:cs="Times New Roman"/>
                <w:color w:val="auto"/>
                <w:sz w:val="20"/>
                <w:szCs w:val="20"/>
                <w:lang w:val="en-US" w:eastAsia="zh-CN"/>
              </w:rPr>
              <w:t>6.</w:t>
            </w:r>
            <w:r>
              <w:rPr>
                <w:rFonts w:hint="eastAsia" w:ascii="Times New Roman" w:hAnsi="Times New Roman" w:eastAsia="仿宋_GB2312" w:cs="Times New Roman"/>
                <w:color w:val="auto"/>
                <w:sz w:val="20"/>
                <w:szCs w:val="20"/>
                <w:lang w:val="en-US" w:eastAsia="zh-CN"/>
              </w:rPr>
              <w:t>4</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r>
              <w:rPr>
                <w:rFonts w:hint="eastAsia" w:eastAsia="仿宋_GB2312" w:cs="Times New Roman"/>
                <w:color w:val="000000"/>
                <w:sz w:val="20"/>
                <w:szCs w:val="20"/>
                <w:lang w:val="en-US" w:eastAsia="zh-CN"/>
              </w:rPr>
              <w:t>0</w:t>
            </w:r>
            <w:r>
              <w:rPr>
                <w:rFonts w:hint="eastAsia" w:ascii="Times New Roman" w:hAnsi="Times New Roman" w:eastAsia="仿宋_GB2312" w:cs="Times New Roman"/>
                <w:color w:val="000000"/>
                <w:sz w:val="20"/>
                <w:szCs w:val="20"/>
                <w:lang w:val="en-US" w:eastAsia="zh-CN"/>
              </w:rPr>
              <w:t>%</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　</w:t>
            </w: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ind w:firstLine="600" w:firstLineChars="300"/>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　</w:t>
            </w: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ind w:firstLine="600" w:firstLineChars="300"/>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400" w:firstLineChars="200"/>
              <w:jc w:val="both"/>
              <w:textAlignment w:val="auto"/>
              <w:rPr>
                <w:rFonts w:hint="default" w:ascii="Times New Roman" w:hAnsi="Times New Roman" w:eastAsia="仿宋_GB2312" w:cs="Times New Roman"/>
                <w:color w:val="000000"/>
                <w:sz w:val="20"/>
                <w:szCs w:val="20"/>
              </w:rPr>
            </w:pPr>
            <w:r>
              <w:rPr>
                <w:rFonts w:hint="eastAsia" w:ascii="仿宋_GB2312" w:hAnsi="仿宋_GB2312" w:eastAsia="仿宋_GB2312" w:cs="仿宋_GB2312"/>
                <w:color w:val="auto"/>
                <w:sz w:val="20"/>
                <w:szCs w:val="20"/>
              </w:rPr>
              <w:t>全省土木建筑大类高职院校骨干教师，共计40人。通过为期15天的集中面授及专业技能实操，使参培教师了解 1+X 证书制度实施意义，以及职业技能等级标准内涵，深入积极推进“岗课课证”融通，并掌握土建类专业装配式职业技能“岗课赛证”融通的逻辑思路与实现路径，以及模块化课程标准开发、教学实施与新型教材编写，提升教师对装配式职业技能等级证书涉及的专业技能的教学实施能力，探讨如何打造能满足装配式职业技能教学与培训需求的资源开发及师资队伍建设，促进“1+X”装配式职业技能等级证书的教育培训质量全面提高。</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通过此次国培项目的实施，所有学员均已圆满的完成学业并顺利结业。学员了解 1+X 证书制度实施意义，以及职业技能等级标准内涵，深入积极推进“岗课课证”融通，并掌握土建类专业装配式职业技能“岗课赛证”融通的逻辑思路与实现路径，以及模块化课程标准开发、教学实施与新型教材编写，提升教师对装配式职业技能等级证书涉及的专业技能的教学实施能力，探讨如何打造能满足装配式职业技能教学与培训需求的资源开发及师资队伍建设，促进“1+X”装配式职业技能等级证书的教育培训质量全面提高。</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431"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927"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widowControl/>
              <w:spacing w:line="240" w:lineRule="exact"/>
              <w:jc w:val="both"/>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widowControl/>
              <w:jc w:val="center"/>
              <w:rPr>
                <w:rFonts w:hint="default" w:ascii="Times New Roman" w:hAnsi="Times New Roman" w:eastAsia="仿宋_GB2312" w:cs="Times New Roman"/>
                <w:color w:val="000000"/>
                <w:sz w:val="20"/>
                <w:szCs w:val="20"/>
              </w:rPr>
            </w:pP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4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仿宋_GB2312" w:hAnsi="仿宋_GB2312" w:eastAsia="仿宋_GB2312" w:cs="仿宋_GB2312"/>
                <w:color w:val="auto"/>
                <w:kern w:val="0"/>
                <w:sz w:val="20"/>
                <w:szCs w:val="20"/>
                <w:lang w:val="en-US" w:eastAsia="zh-Hans" w:bidi="zh-CN"/>
              </w:rPr>
            </w:pPr>
            <w:r>
              <w:rPr>
                <w:rFonts w:hint="eastAsia" w:ascii="仿宋_GB2312" w:hAnsi="仿宋_GB2312" w:eastAsia="仿宋_GB2312" w:cs="仿宋_GB2312"/>
                <w:color w:val="auto"/>
                <w:kern w:val="0"/>
                <w:sz w:val="20"/>
                <w:szCs w:val="20"/>
                <w:lang w:val="en-US" w:eastAsia="zh-CN" w:bidi="zh-CN"/>
              </w:rPr>
              <w:t>培训人数</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Hans" w:bidi="zh-CN"/>
              </w:rPr>
            </w:pPr>
            <w:r>
              <w:rPr>
                <w:rFonts w:hint="eastAsia" w:ascii="仿宋_GB2312" w:hAnsi="仿宋_GB2312" w:eastAsia="仿宋_GB2312" w:cs="仿宋_GB2312"/>
                <w:color w:val="auto"/>
                <w:kern w:val="0"/>
                <w:sz w:val="20"/>
                <w:szCs w:val="20"/>
                <w:lang w:val="en-US" w:eastAsia="zh-CN" w:bidi="zh-CN"/>
              </w:rPr>
              <w:t>40人</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仿宋_GB2312" w:hAnsi="仿宋_GB2312" w:eastAsia="仿宋_GB2312" w:cs="仿宋_GB2312"/>
                <w:color w:val="auto"/>
                <w:kern w:val="0"/>
                <w:sz w:val="20"/>
                <w:szCs w:val="20"/>
                <w:lang w:val="en-US" w:eastAsia="zh-CN" w:bidi="zh-CN"/>
              </w:rPr>
            </w:pPr>
            <w:r>
              <w:rPr>
                <w:rFonts w:hint="eastAsia" w:ascii="仿宋_GB2312" w:hAnsi="仿宋_GB2312" w:eastAsia="仿宋_GB2312" w:cs="仿宋_GB2312"/>
                <w:color w:val="auto"/>
                <w:kern w:val="0"/>
                <w:sz w:val="20"/>
                <w:szCs w:val="20"/>
                <w:lang w:val="en-US" w:eastAsia="zh-CN" w:bidi="zh-CN"/>
              </w:rPr>
              <w:t>40人</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center"/>
              <w:rPr>
                <w:rFonts w:hint="default" w:ascii="Times New Roman" w:hAnsi="Times New Roman" w:eastAsia="仿宋_GB2312" w:cs="Times New Roman"/>
                <w:color w:val="000000"/>
                <w:sz w:val="20"/>
                <w:szCs w:val="20"/>
              </w:rPr>
            </w:pPr>
          </w:p>
        </w:tc>
        <w:tc>
          <w:tcPr>
            <w:tcW w:w="14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仿宋_GB2312" w:hAnsi="仿宋_GB2312" w:eastAsia="仿宋_GB2312" w:cs="仿宋_GB2312"/>
                <w:color w:val="auto"/>
                <w:kern w:val="0"/>
                <w:sz w:val="20"/>
                <w:szCs w:val="20"/>
                <w:lang w:val="en-US" w:eastAsia="zh-Hans" w:bidi="zh-CN"/>
              </w:rPr>
            </w:pPr>
            <w:r>
              <w:rPr>
                <w:rFonts w:hint="eastAsia" w:ascii="仿宋_GB2312" w:hAnsi="仿宋_GB2312" w:eastAsia="仿宋_GB2312" w:cs="仿宋_GB2312"/>
                <w:color w:val="auto"/>
                <w:kern w:val="0"/>
                <w:sz w:val="20"/>
                <w:szCs w:val="20"/>
                <w:lang w:val="en-US" w:eastAsia="zh-CN" w:bidi="zh-CN"/>
              </w:rPr>
              <w:t>培训模块</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Hans" w:bidi="zh-CN"/>
              </w:rPr>
            </w:pPr>
            <w:r>
              <w:rPr>
                <w:rFonts w:hint="eastAsia" w:ascii="仿宋_GB2312" w:hAnsi="仿宋_GB2312" w:eastAsia="仿宋_GB2312" w:cs="仿宋_GB2312"/>
                <w:color w:val="auto"/>
                <w:kern w:val="0"/>
                <w:sz w:val="20"/>
                <w:szCs w:val="20"/>
                <w:lang w:val="en-US" w:eastAsia="zh-CN" w:bidi="zh-CN"/>
              </w:rPr>
              <w:t>3个</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eastAsia" w:ascii="仿宋_GB2312" w:hAnsi="仿宋_GB2312" w:eastAsia="仿宋_GB2312" w:cs="仿宋_GB2312"/>
                <w:color w:val="auto"/>
                <w:kern w:val="0"/>
                <w:sz w:val="20"/>
                <w:szCs w:val="20"/>
                <w:lang w:val="en-US" w:eastAsia="zh-CN" w:bidi="zh-CN"/>
              </w:rPr>
            </w:pPr>
            <w:r>
              <w:rPr>
                <w:rFonts w:hint="eastAsia" w:ascii="仿宋_GB2312" w:hAnsi="仿宋_GB2312" w:eastAsia="仿宋_GB2312" w:cs="仿宋_GB2312"/>
                <w:color w:val="auto"/>
                <w:kern w:val="0"/>
                <w:sz w:val="20"/>
                <w:szCs w:val="20"/>
                <w:lang w:val="en-US" w:eastAsia="zh-CN" w:bidi="zh-CN"/>
              </w:rPr>
              <w:t>3个</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center"/>
              <w:rPr>
                <w:rFonts w:hint="default" w:ascii="Times New Roman" w:hAnsi="Times New Roman" w:eastAsia="仿宋_GB2312" w:cs="Times New Roman"/>
                <w:color w:val="000000"/>
                <w:sz w:val="20"/>
                <w:szCs w:val="20"/>
              </w:rPr>
            </w:pPr>
          </w:p>
        </w:tc>
        <w:tc>
          <w:tcPr>
            <w:tcW w:w="14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仿宋_GB2312" w:hAnsi="仿宋_GB2312" w:eastAsia="仿宋_GB2312" w:cs="仿宋_GB2312"/>
                <w:color w:val="auto"/>
                <w:kern w:val="0"/>
                <w:sz w:val="20"/>
                <w:szCs w:val="20"/>
                <w:lang w:val="en-US" w:eastAsia="zh-Hans" w:bidi="zh-CN"/>
              </w:rPr>
            </w:pPr>
            <w:r>
              <w:rPr>
                <w:rFonts w:hint="eastAsia" w:ascii="仿宋_GB2312" w:hAnsi="仿宋_GB2312" w:eastAsia="仿宋_GB2312" w:cs="仿宋_GB2312"/>
                <w:color w:val="auto"/>
                <w:kern w:val="0"/>
                <w:sz w:val="20"/>
                <w:szCs w:val="20"/>
                <w:lang w:val="en-US" w:eastAsia="zh-CN" w:bidi="zh-CN"/>
              </w:rPr>
              <w:t>培训时间</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zh-CN" w:eastAsia="zh-Hans" w:bidi="zh-CN"/>
              </w:rPr>
            </w:pPr>
            <w:r>
              <w:rPr>
                <w:rFonts w:hint="eastAsia" w:ascii="仿宋_GB2312" w:hAnsi="仿宋_GB2312" w:eastAsia="仿宋_GB2312" w:cs="仿宋_GB2312"/>
                <w:color w:val="auto"/>
                <w:kern w:val="0"/>
                <w:sz w:val="20"/>
                <w:szCs w:val="20"/>
                <w:lang w:val="en-US" w:eastAsia="zh-CN" w:bidi="zh-CN"/>
              </w:rPr>
              <w:t>15天</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CN" w:bidi="zh-CN"/>
              </w:rPr>
            </w:pPr>
            <w:r>
              <w:rPr>
                <w:rFonts w:hint="eastAsia" w:ascii="仿宋_GB2312" w:hAnsi="仿宋_GB2312" w:eastAsia="仿宋_GB2312" w:cs="仿宋_GB2312"/>
                <w:color w:val="auto"/>
                <w:kern w:val="0"/>
                <w:sz w:val="20"/>
                <w:szCs w:val="20"/>
                <w:lang w:val="en-US" w:eastAsia="zh-CN" w:bidi="zh-CN"/>
              </w:rPr>
              <w:t>15天</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center"/>
              <w:rPr>
                <w:rFonts w:hint="default" w:ascii="Times New Roman" w:hAnsi="Times New Roman" w:eastAsia="仿宋_GB2312" w:cs="Times New Roman"/>
                <w:color w:val="000000"/>
                <w:sz w:val="20"/>
                <w:szCs w:val="20"/>
              </w:rPr>
            </w:pPr>
          </w:p>
        </w:tc>
        <w:tc>
          <w:tcPr>
            <w:tcW w:w="14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仿宋_GB2312" w:hAnsi="仿宋_GB2312" w:eastAsia="仿宋_GB2312" w:cs="仿宋_GB2312"/>
                <w:color w:val="auto"/>
                <w:kern w:val="0"/>
                <w:sz w:val="20"/>
                <w:szCs w:val="20"/>
                <w:lang w:val="en-US" w:eastAsia="zh-Hans" w:bidi="zh-CN"/>
              </w:rPr>
            </w:pPr>
            <w:r>
              <w:rPr>
                <w:rFonts w:hint="eastAsia" w:ascii="仿宋_GB2312" w:hAnsi="仿宋_GB2312" w:eastAsia="仿宋_GB2312" w:cs="仿宋_GB2312"/>
                <w:color w:val="auto"/>
                <w:kern w:val="0"/>
                <w:sz w:val="20"/>
                <w:szCs w:val="20"/>
                <w:lang w:val="en-US" w:eastAsia="zh-CN" w:bidi="zh-CN"/>
              </w:rPr>
              <w:t>集中培训学时</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zh-CN" w:eastAsia="zh-Hans" w:bidi="zh-CN"/>
              </w:rPr>
            </w:pPr>
            <w:r>
              <w:rPr>
                <w:rFonts w:hint="eastAsia" w:ascii="仿宋_GB2312" w:hAnsi="仿宋_GB2312" w:eastAsia="仿宋_GB2312" w:cs="仿宋_GB2312"/>
                <w:color w:val="auto"/>
                <w:kern w:val="0"/>
                <w:sz w:val="20"/>
                <w:szCs w:val="20"/>
                <w:lang w:val="en-US" w:eastAsia="zh-CN" w:bidi="zh-CN"/>
              </w:rPr>
              <w:t>120学时</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zh-CN" w:eastAsia="zh-Hans" w:bidi="zh-CN"/>
              </w:rPr>
            </w:pPr>
            <w:r>
              <w:rPr>
                <w:rFonts w:hint="eastAsia" w:ascii="仿宋_GB2312" w:hAnsi="仿宋_GB2312" w:eastAsia="仿宋_GB2312" w:cs="仿宋_GB2312"/>
                <w:color w:val="auto"/>
                <w:kern w:val="0"/>
                <w:sz w:val="20"/>
                <w:szCs w:val="20"/>
                <w:lang w:val="en-US" w:eastAsia="zh-CN" w:bidi="zh-CN"/>
              </w:rPr>
              <w:t>120学时</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center"/>
              <w:rPr>
                <w:rFonts w:hint="default" w:ascii="Times New Roman" w:hAnsi="Times New Roman" w:eastAsia="仿宋_GB2312" w:cs="Times New Roman"/>
                <w:color w:val="000000"/>
                <w:sz w:val="20"/>
                <w:szCs w:val="20"/>
              </w:rPr>
            </w:pPr>
          </w:p>
        </w:tc>
        <w:tc>
          <w:tcPr>
            <w:tcW w:w="14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仿宋_GB2312" w:hAnsi="仿宋_GB2312" w:eastAsia="仿宋_GB2312" w:cs="仿宋_GB2312"/>
                <w:color w:val="auto"/>
                <w:kern w:val="0"/>
                <w:sz w:val="20"/>
                <w:szCs w:val="20"/>
                <w:lang w:val="en-US" w:eastAsia="zh-CN" w:bidi="zh-CN"/>
              </w:rPr>
            </w:pPr>
            <w:r>
              <w:rPr>
                <w:rFonts w:hint="eastAsia" w:ascii="仿宋_GB2312" w:hAnsi="仿宋_GB2312" w:eastAsia="仿宋_GB2312" w:cs="仿宋_GB2312"/>
                <w:color w:val="auto"/>
                <w:kern w:val="0"/>
                <w:sz w:val="20"/>
                <w:szCs w:val="20"/>
                <w:lang w:val="en-US" w:eastAsia="zh-CN" w:bidi="zh-CN"/>
              </w:rPr>
              <w:t>专题讲座、研讨交流及实践教学</w:t>
            </w: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CN" w:bidi="zh-CN"/>
              </w:rPr>
            </w:pPr>
            <w:r>
              <w:rPr>
                <w:rFonts w:hint="eastAsia" w:ascii="仿宋_GB2312" w:hAnsi="仿宋_GB2312" w:eastAsia="仿宋_GB2312" w:cs="仿宋_GB2312"/>
                <w:color w:val="auto"/>
                <w:kern w:val="0"/>
                <w:sz w:val="20"/>
                <w:szCs w:val="20"/>
                <w:lang w:val="en-US" w:eastAsia="zh-CN" w:bidi="zh-CN"/>
              </w:rPr>
              <w:t>28次</w:t>
            </w: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CN" w:bidi="zh-CN"/>
              </w:rPr>
            </w:pPr>
            <w:r>
              <w:rPr>
                <w:rFonts w:hint="eastAsia" w:ascii="仿宋_GB2312" w:hAnsi="仿宋_GB2312" w:eastAsia="仿宋_GB2312" w:cs="仿宋_GB2312"/>
                <w:color w:val="auto"/>
                <w:kern w:val="0"/>
                <w:sz w:val="20"/>
                <w:szCs w:val="20"/>
                <w:lang w:val="en-US" w:eastAsia="zh-CN" w:bidi="zh-CN"/>
              </w:rPr>
              <w:t>28次</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仿宋_GB2312" w:hAnsi="仿宋_GB2312" w:eastAsia="仿宋_GB2312" w:cs="仿宋_GB2312"/>
                <w:color w:val="auto"/>
                <w:kern w:val="0"/>
                <w:sz w:val="20"/>
                <w:szCs w:val="20"/>
                <w:lang w:val="en-US" w:eastAsia="zh-Hans" w:bidi="zh-CN"/>
              </w:rPr>
            </w:pP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Hans" w:bidi="zh-CN"/>
              </w:rPr>
            </w:pPr>
          </w:p>
        </w:tc>
        <w:tc>
          <w:tcPr>
            <w:tcW w:w="1134"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Hans" w:bidi="zh-CN"/>
              </w:rPr>
            </w:pP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431"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both"/>
              <w:rPr>
                <w:rFonts w:hint="default" w:ascii="仿宋_GB2312" w:hAnsi="仿宋_GB2312" w:eastAsia="仿宋_GB2312" w:cs="仿宋_GB2312"/>
                <w:color w:val="auto"/>
                <w:kern w:val="0"/>
                <w:sz w:val="20"/>
                <w:szCs w:val="20"/>
                <w:lang w:val="en-US" w:eastAsia="zh-Hans" w:bidi="zh-CN"/>
              </w:rPr>
            </w:pPr>
          </w:p>
        </w:tc>
        <w:tc>
          <w:tcPr>
            <w:tcW w:w="927" w:type="dxa"/>
            <w:tcBorders>
              <w:top w:val="nil"/>
              <w:left w:val="nil"/>
              <w:bottom w:val="single" w:color="auto" w:sz="4" w:space="0"/>
              <w:right w:val="single" w:color="auto" w:sz="4" w:space="0"/>
            </w:tcBorders>
            <w:noWrap w:val="0"/>
            <w:vAlign w:val="center"/>
          </w:tcPr>
          <w:p>
            <w:pPr>
              <w:pStyle w:val="30"/>
              <w:spacing w:line="240" w:lineRule="exact"/>
              <w:jc w:val="center"/>
              <w:rPr>
                <w:rFonts w:hint="default" w:ascii="仿宋_GB2312" w:hAnsi="仿宋_GB2312" w:eastAsia="仿宋_GB2312" w:cs="仿宋_GB2312"/>
                <w:color w:val="auto"/>
                <w:kern w:val="0"/>
                <w:sz w:val="20"/>
                <w:szCs w:val="20"/>
                <w:lang w:val="en-US" w:eastAsia="zh-Hans" w:bidi="zh-CN"/>
              </w:rPr>
            </w:pP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widowControl/>
              <w:jc w:val="left"/>
              <w:rPr>
                <w:rFonts w:hint="default" w:ascii="Times New Roman" w:hAnsi="Times New Roman" w:eastAsia="仿宋_GB2312" w:cs="Times New Roman"/>
                <w:color w:val="000000"/>
                <w:sz w:val="20"/>
                <w:szCs w:val="20"/>
              </w:rPr>
            </w:pPr>
          </w:p>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center"/>
              <w:rPr>
                <w:rFonts w:hint="default" w:ascii="Times New Roman" w:hAnsi="Times New Roman" w:eastAsia="仿宋_GB2312" w:cs="Times New Roman"/>
                <w:color w:val="000000"/>
                <w:sz w:val="20"/>
                <w:szCs w:val="20"/>
              </w:rPr>
            </w:pP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431"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927"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可持续影响指标</w:t>
            </w:r>
          </w:p>
        </w:tc>
        <w:tc>
          <w:tcPr>
            <w:tcW w:w="1431"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92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431"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927"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服务对象满意度指标</w:t>
            </w:r>
          </w:p>
        </w:tc>
        <w:tc>
          <w:tcPr>
            <w:tcW w:w="1431" w:type="dxa"/>
            <w:tcBorders>
              <w:top w:val="nil"/>
              <w:left w:val="nil"/>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仿宋_GB2312" w:cs="Times New Roman"/>
                <w:color w:val="000000"/>
                <w:sz w:val="20"/>
                <w:szCs w:val="20"/>
                <w:lang w:val="en-US" w:eastAsia="zh-CN"/>
              </w:rPr>
            </w:pPr>
            <w:r>
              <w:rPr>
                <w:rFonts w:hint="eastAsia" w:ascii="宋体" w:hAnsi="宋体" w:cs="宋体"/>
                <w:color w:val="000000"/>
                <w:sz w:val="16"/>
                <w:szCs w:val="16"/>
                <w:lang w:val="en-US" w:eastAsia="zh-CN"/>
              </w:rPr>
              <w:t>参培人员满意度</w:t>
            </w:r>
          </w:p>
        </w:tc>
        <w:tc>
          <w:tcPr>
            <w:tcW w:w="927" w:type="dxa"/>
            <w:tcBorders>
              <w:top w:val="nil"/>
              <w:left w:val="nil"/>
              <w:bottom w:val="single" w:color="auto" w:sz="4" w:space="0"/>
              <w:right w:val="single" w:color="auto" w:sz="4" w:space="0"/>
            </w:tcBorders>
            <w:noWrap w:val="0"/>
            <w:vAlign w:val="center"/>
          </w:tcPr>
          <w:p>
            <w:pPr>
              <w:widowControl/>
              <w:adjustRightInd w:val="0"/>
              <w:snapToGrid w:val="0"/>
              <w:rPr>
                <w:rFonts w:hint="default" w:ascii="Times New Roman" w:hAnsi="Times New Roman" w:eastAsia="仿宋_GB2312" w:cs="Times New Roman"/>
                <w:color w:val="000000"/>
                <w:sz w:val="20"/>
                <w:szCs w:val="20"/>
                <w:lang w:val="en-US" w:eastAsia="zh-CN"/>
              </w:rPr>
            </w:pPr>
            <w:r>
              <w:rPr>
                <w:rFonts w:hint="eastAsia" w:ascii="宋体" w:hAnsi="宋体" w:cs="宋体"/>
                <w:color w:val="000000"/>
                <w:sz w:val="16"/>
                <w:szCs w:val="16"/>
                <w:lang w:val="en-US" w:eastAsia="zh-CN"/>
              </w:rPr>
              <w:t>≥95%</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rPr>
                <w:rFonts w:hint="default" w:ascii="Times New Roman" w:hAnsi="Times New Roman" w:eastAsia="仿宋_GB2312" w:cs="Times New Roman"/>
                <w:color w:val="000000"/>
                <w:sz w:val="20"/>
                <w:szCs w:val="20"/>
              </w:rPr>
            </w:pPr>
            <w:r>
              <w:rPr>
                <w:rFonts w:hint="eastAsia" w:ascii="宋体" w:hAnsi="宋体" w:cs="宋体"/>
                <w:color w:val="000000"/>
                <w:sz w:val="16"/>
                <w:szCs w:val="16"/>
                <w:lang w:val="en-US" w:eastAsia="zh-CN"/>
              </w:rPr>
              <w:t>98.11%</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pStyle w:val="11"/>
        <w:ind w:left="0" w:leftChars="0" w:firstLine="0" w:firstLineChars="0"/>
        <w:rPr>
          <w:rFonts w:hint="eastAsia"/>
          <w:lang w:val="en-US" w:eastAsia="zh-CN"/>
        </w:rPr>
      </w:pPr>
    </w:p>
    <w:p>
      <w:pPr>
        <w:pStyle w:val="11"/>
        <w:ind w:left="0" w:leftChars="0" w:firstLine="0" w:firstLineChars="0"/>
        <w:rPr>
          <w:rFonts w:hint="default"/>
          <w:lang w:val="en-US"/>
        </w:rPr>
      </w:pPr>
      <w:r>
        <w:rPr>
          <w:rFonts w:hint="eastAsia" w:cs="Times New Roman"/>
          <w:sz w:val="32"/>
          <w:szCs w:val="32"/>
          <w:lang w:val="en-US" w:eastAsia="zh-CN"/>
        </w:rPr>
        <w:t>附件3-10：</w:t>
      </w:r>
    </w:p>
    <w:p>
      <w:pPr>
        <w:jc w:val="center"/>
        <w:rPr>
          <w:rFonts w:hint="default"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2022年度项目支出绩效自评表10</w:t>
      </w:r>
    </w:p>
    <w:tbl>
      <w:tblPr>
        <w:tblStyle w:val="12"/>
        <w:tblW w:w="9851" w:type="dxa"/>
        <w:jc w:val="center"/>
        <w:tblLayout w:type="fixed"/>
        <w:tblCellMar>
          <w:top w:w="0" w:type="dxa"/>
          <w:left w:w="108" w:type="dxa"/>
          <w:bottom w:w="0" w:type="dxa"/>
          <w:right w:w="108" w:type="dxa"/>
        </w:tblCellMar>
      </w:tblPr>
      <w:tblGrid>
        <w:gridCol w:w="1032"/>
        <w:gridCol w:w="963"/>
        <w:gridCol w:w="1037"/>
        <w:gridCol w:w="1625"/>
        <w:gridCol w:w="913"/>
        <w:gridCol w:w="1025"/>
        <w:gridCol w:w="350"/>
        <w:gridCol w:w="562"/>
        <w:gridCol w:w="700"/>
        <w:gridCol w:w="1644"/>
      </w:tblGrid>
      <w:tr>
        <w:tblPrEx>
          <w:tblCellMar>
            <w:top w:w="0" w:type="dxa"/>
            <w:left w:w="108" w:type="dxa"/>
            <w:bottom w:w="0" w:type="dxa"/>
            <w:right w:w="108" w:type="dxa"/>
          </w:tblCellMar>
        </w:tblPrEx>
        <w:trPr>
          <w:trHeight w:val="23" w:hRule="atLeast"/>
          <w:jc w:val="center"/>
        </w:trPr>
        <w:tc>
          <w:tcPr>
            <w:tcW w:w="1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819" w:type="dxa"/>
            <w:gridSpan w:val="9"/>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lang w:val="en-US" w:eastAsia="zh-CN"/>
              </w:rPr>
              <w:t>　</w:t>
            </w:r>
            <w:r>
              <w:rPr>
                <w:rFonts w:hint="eastAsia" w:ascii="Times New Roman" w:hAnsi="Times New Roman" w:eastAsia="仿宋_GB2312" w:cs="Times New Roman"/>
                <w:color w:val="000000"/>
                <w:sz w:val="20"/>
                <w:szCs w:val="20"/>
                <w:lang w:val="en-US" w:eastAsia="zh-CN"/>
              </w:rPr>
              <w:t>现代职业教育质量提升计划：支持省级高职专业教学团队聘请产业导师和国家级教师教学创新团队研修</w:t>
            </w:r>
          </w:p>
        </w:tc>
      </w:tr>
      <w:tr>
        <w:tblPrEx>
          <w:tblCellMar>
            <w:top w:w="0" w:type="dxa"/>
            <w:left w:w="108" w:type="dxa"/>
            <w:bottom w:w="0" w:type="dxa"/>
            <w:right w:w="108" w:type="dxa"/>
          </w:tblCellMar>
        </w:tblPrEx>
        <w:trPr>
          <w:trHeight w:val="23" w:hRule="atLeast"/>
          <w:jc w:val="center"/>
        </w:trPr>
        <w:tc>
          <w:tcPr>
            <w:tcW w:w="103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3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02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256"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val="en-US" w:eastAsia="zh-CN"/>
              </w:rPr>
              <w:t>湖南城建职业技术学院</w:t>
            </w:r>
          </w:p>
        </w:tc>
      </w:tr>
      <w:tr>
        <w:tblPrEx>
          <w:tblCellMar>
            <w:top w:w="0" w:type="dxa"/>
            <w:left w:w="108" w:type="dxa"/>
            <w:bottom w:w="0" w:type="dxa"/>
            <w:right w:w="108" w:type="dxa"/>
          </w:tblCellMar>
        </w:tblPrEx>
        <w:trPr>
          <w:trHeight w:val="23" w:hRule="atLeast"/>
          <w:jc w:val="center"/>
        </w:trPr>
        <w:tc>
          <w:tcPr>
            <w:tcW w:w="1032"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000"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62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91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37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56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70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64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23" w:hRule="atLeast"/>
          <w:jc w:val="center"/>
        </w:trPr>
        <w:tc>
          <w:tcPr>
            <w:tcW w:w="1032"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2000"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　</w:t>
            </w:r>
          </w:p>
        </w:tc>
        <w:tc>
          <w:tcPr>
            <w:tcW w:w="162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7.4</w:t>
            </w:r>
          </w:p>
        </w:tc>
        <w:tc>
          <w:tcPr>
            <w:tcW w:w="91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7.4</w:t>
            </w:r>
          </w:p>
        </w:tc>
        <w:tc>
          <w:tcPr>
            <w:tcW w:w="137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5.9556</w:t>
            </w:r>
          </w:p>
        </w:tc>
        <w:tc>
          <w:tcPr>
            <w:tcW w:w="56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70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80.48%</w:t>
            </w:r>
          </w:p>
        </w:tc>
        <w:tc>
          <w:tcPr>
            <w:tcW w:w="164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w:t>
            </w:r>
          </w:p>
        </w:tc>
      </w:tr>
      <w:tr>
        <w:tblPrEx>
          <w:tblCellMar>
            <w:top w:w="0" w:type="dxa"/>
            <w:left w:w="108" w:type="dxa"/>
            <w:bottom w:w="0" w:type="dxa"/>
            <w:right w:w="108" w:type="dxa"/>
          </w:tblCellMar>
        </w:tblPrEx>
        <w:trPr>
          <w:trHeight w:val="23" w:hRule="atLeast"/>
          <w:jc w:val="center"/>
        </w:trPr>
        <w:tc>
          <w:tcPr>
            <w:tcW w:w="1032"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2000"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当年财政拨款</w:t>
            </w:r>
          </w:p>
        </w:tc>
        <w:tc>
          <w:tcPr>
            <w:tcW w:w="162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1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7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56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0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64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 w:hRule="atLeast"/>
          <w:jc w:val="center"/>
        </w:trPr>
        <w:tc>
          <w:tcPr>
            <w:tcW w:w="1032"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2000"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62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c>
          <w:tcPr>
            <w:tcW w:w="91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7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56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0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64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 w:hRule="atLeast"/>
          <w:jc w:val="center"/>
        </w:trPr>
        <w:tc>
          <w:tcPr>
            <w:tcW w:w="1032"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2000"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ind w:firstLine="600" w:firstLineChars="30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62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913"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375"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56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70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64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 w:hRule="atLeast"/>
          <w:jc w:val="center"/>
        </w:trPr>
        <w:tc>
          <w:tcPr>
            <w:tcW w:w="1032"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3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81" w:type="dxa"/>
            <w:gridSpan w:val="5"/>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32"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453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ind w:firstLine="400" w:firstLineChars="20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服务</w:t>
            </w:r>
            <w:r>
              <w:rPr>
                <w:rFonts w:hint="eastAsia" w:ascii="Times New Roman" w:hAnsi="Times New Roman" w:eastAsia="仿宋_GB2312" w:cs="Times New Roman"/>
                <w:color w:val="000000"/>
                <w:sz w:val="20"/>
                <w:szCs w:val="20"/>
                <w:lang w:val="en-US" w:eastAsia="zh-CN"/>
              </w:rPr>
              <w:t>1个国家级专业教学团队和3个省级专业教学团队的建设</w:t>
            </w:r>
          </w:p>
        </w:tc>
        <w:tc>
          <w:tcPr>
            <w:tcW w:w="4281" w:type="dxa"/>
            <w:gridSpan w:val="5"/>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192" w:lineRule="auto"/>
              <w:ind w:firstLine="160" w:firstLineChars="100"/>
              <w:jc w:val="left"/>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16"/>
                <w:szCs w:val="16"/>
                <w:lang w:eastAsia="zh-CN"/>
              </w:rPr>
              <w:t>城乡规划国家级教学团队用于团队教师参加培训；城乡规划省级教学团队经费用于给产业导师购买电脑，建筑工程技术团队经费用于报销培训、交流所产生的培训费、差旅费；工程造价团队经费暂未使用。</w:t>
            </w:r>
          </w:p>
        </w:tc>
      </w:tr>
      <w:tr>
        <w:tblPrEx>
          <w:tblCellMar>
            <w:top w:w="0" w:type="dxa"/>
            <w:left w:w="108" w:type="dxa"/>
            <w:bottom w:w="0" w:type="dxa"/>
            <w:right w:w="108" w:type="dxa"/>
          </w:tblCellMar>
        </w:tblPrEx>
        <w:trPr>
          <w:trHeight w:val="23" w:hRule="atLeast"/>
          <w:jc w:val="center"/>
        </w:trPr>
        <w:tc>
          <w:tcPr>
            <w:tcW w:w="1032" w:type="dxa"/>
            <w:vMerge w:val="restart"/>
            <w:tcBorders>
              <w:top w:val="nil"/>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绩</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9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trHeight w:val="23" w:hRule="atLeast"/>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完成培训数</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1次/团队</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0.5次/团队</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p>
        </w:tc>
      </w:tr>
      <w:tr>
        <w:tblPrEx>
          <w:tblCellMar>
            <w:top w:w="0" w:type="dxa"/>
            <w:left w:w="108" w:type="dxa"/>
            <w:bottom w:w="0" w:type="dxa"/>
            <w:right w:w="108" w:type="dxa"/>
          </w:tblCellMar>
        </w:tblPrEx>
        <w:trPr>
          <w:trHeight w:val="23" w:hRule="atLeast"/>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103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符合专业教学团队建设要求</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rPr>
            </w:pPr>
            <w:r>
              <w:rPr>
                <w:rFonts w:hint="eastAsia" w:ascii="Times New Roman" w:hAnsi="Times New Roman" w:eastAsia="仿宋_GB2312" w:cs="Times New Roman"/>
                <w:color w:val="000000"/>
                <w:sz w:val="20"/>
                <w:szCs w:val="20"/>
                <w:lang w:val="en-US" w:eastAsia="zh-CN"/>
              </w:rPr>
              <w:t>100%</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100%</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15</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15</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3" w:hRule="atLeast"/>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103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培训合格率</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val="en-US" w:eastAsia="zh-CN"/>
              </w:rPr>
              <w:t>100%</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15</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15</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3" w:hRule="atLeast"/>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按时完成率</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按时</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eastAsia="zh-CN"/>
              </w:rPr>
              <w:t>按时</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 w:hRule="atLeast"/>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eastAsia="zh-CN"/>
              </w:rPr>
              <w:t>国家级培训经费</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3850元/人</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3850元/人</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w:t>
            </w:r>
          </w:p>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经费使用率</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80.48%</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eastAsia="zh-CN"/>
              </w:rPr>
              <w:t>工程造价团队经费未使用，</w:t>
            </w:r>
            <w:r>
              <w:rPr>
                <w:rFonts w:hint="eastAsia" w:ascii="Times New Roman" w:hAnsi="Times New Roman" w:eastAsia="仿宋_GB2312" w:cs="Times New Roman"/>
                <w:color w:val="000000"/>
                <w:sz w:val="20"/>
                <w:szCs w:val="20"/>
                <w:lang w:val="en-US" w:eastAsia="zh-CN"/>
              </w:rPr>
              <w:t>2023年应加强产业导师的投入。</w:t>
            </w:r>
          </w:p>
        </w:tc>
      </w:tr>
      <w:tr>
        <w:tblPrEx>
          <w:tblCellMar>
            <w:top w:w="0" w:type="dxa"/>
            <w:left w:w="108" w:type="dxa"/>
            <w:bottom w:w="0" w:type="dxa"/>
            <w:right w:w="108" w:type="dxa"/>
          </w:tblCellMar>
        </w:tblPrEx>
        <w:trPr>
          <w:trHeight w:val="23" w:hRule="atLeast"/>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优秀学员</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23" w:hRule="atLeast"/>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可持续影响指标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服务团队建设</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4</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3</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宋体" w:cs="Times New Roman"/>
                <w:color w:val="000000"/>
                <w:sz w:val="20"/>
                <w:szCs w:val="20"/>
                <w:lang w:val="en-US" w:eastAsia="zh-CN"/>
              </w:rPr>
            </w:pPr>
          </w:p>
        </w:tc>
      </w:tr>
      <w:tr>
        <w:tblPrEx>
          <w:tblCellMar>
            <w:top w:w="0" w:type="dxa"/>
            <w:left w:w="108" w:type="dxa"/>
            <w:bottom w:w="0" w:type="dxa"/>
            <w:right w:w="108" w:type="dxa"/>
          </w:tblCellMar>
        </w:tblPrEx>
        <w:trPr>
          <w:jc w:val="center"/>
        </w:trPr>
        <w:tc>
          <w:tcPr>
            <w:tcW w:w="1032"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p>
        </w:tc>
        <w:tc>
          <w:tcPr>
            <w:tcW w:w="9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指标</w:t>
            </w:r>
            <w:r>
              <w:rPr>
                <w:rFonts w:hint="eastAsia" w:ascii="Times New Roman" w:hAnsi="Times New Roman" w:eastAsia="仿宋_GB2312" w:cs="Times New Roman"/>
                <w:color w:val="000000"/>
                <w:sz w:val="20"/>
                <w:szCs w:val="20"/>
                <w:lang w:eastAsia="zh-CN"/>
              </w:rPr>
              <w:t>（</w:t>
            </w:r>
            <w:r>
              <w:rPr>
                <w:rFonts w:hint="eastAsia" w:ascii="Times New Roman" w:hAnsi="Times New Roman" w:eastAsia="仿宋_GB2312" w:cs="Times New Roman"/>
                <w:color w:val="000000"/>
                <w:sz w:val="20"/>
                <w:szCs w:val="20"/>
                <w:lang w:val="en-US" w:eastAsia="zh-CN"/>
              </w:rPr>
              <w:t>10分</w:t>
            </w:r>
            <w:r>
              <w:rPr>
                <w:rFonts w:hint="eastAsia" w:ascii="Times New Roman" w:hAnsi="Times New Roman" w:eastAsia="仿宋_GB2312" w:cs="Times New Roman"/>
                <w:color w:val="000000"/>
                <w:sz w:val="20"/>
                <w:szCs w:val="20"/>
                <w:lang w:eastAsia="zh-CN"/>
              </w:rPr>
              <w:t>）</w:t>
            </w:r>
          </w:p>
        </w:tc>
        <w:tc>
          <w:tcPr>
            <w:tcW w:w="10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满意度指标</w:t>
            </w:r>
          </w:p>
        </w:tc>
        <w:tc>
          <w:tcPr>
            <w:tcW w:w="16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eastAsia" w:ascii="Times New Roman" w:hAnsi="Times New Roman" w:eastAsia="仿宋_GB2312" w:cs="Times New Roman"/>
                <w:color w:val="000000"/>
                <w:sz w:val="20"/>
                <w:szCs w:val="20"/>
                <w:lang w:eastAsia="zh-CN"/>
              </w:rPr>
            </w:pPr>
            <w:r>
              <w:rPr>
                <w:rFonts w:hint="eastAsia" w:ascii="Times New Roman" w:hAnsi="Times New Roman" w:eastAsia="仿宋_GB2312" w:cs="Times New Roman"/>
                <w:color w:val="000000"/>
                <w:sz w:val="20"/>
                <w:szCs w:val="20"/>
                <w:lang w:eastAsia="zh-CN"/>
              </w:rPr>
              <w:t>团队老师满意度</w:t>
            </w:r>
          </w:p>
        </w:tc>
        <w:tc>
          <w:tcPr>
            <w:tcW w:w="9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95%以上</w:t>
            </w:r>
          </w:p>
        </w:tc>
        <w:tc>
          <w:tcPr>
            <w:tcW w:w="13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both"/>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p>
        </w:tc>
        <w:tc>
          <w:tcPr>
            <w:tcW w:w="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7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6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397" w:hRule="atLeast"/>
          <w:jc w:val="center"/>
        </w:trPr>
        <w:tc>
          <w:tcPr>
            <w:tcW w:w="6945" w:type="dxa"/>
            <w:gridSpan w:val="7"/>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562"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700"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center"/>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94</w:t>
            </w:r>
          </w:p>
        </w:tc>
        <w:tc>
          <w:tcPr>
            <w:tcW w:w="1644"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atLeast"/>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
      <w:pPr>
        <w:pStyle w:val="2"/>
      </w:pPr>
    </w:p>
    <w:p>
      <w:pPr>
        <w:pStyle w:val="11"/>
        <w:ind w:left="0" w:leftChars="0" w:firstLine="0" w:firstLineChars="0"/>
        <w:rPr>
          <w:rFonts w:hint="default"/>
          <w:lang w:val="en-US"/>
        </w:rPr>
      </w:pPr>
      <w:r>
        <w:rPr>
          <w:rFonts w:hint="eastAsia" w:cs="Times New Roman"/>
          <w:sz w:val="32"/>
          <w:szCs w:val="32"/>
          <w:lang w:val="en-US" w:eastAsia="zh-CN"/>
        </w:rPr>
        <w:t>附件3-11：</w:t>
      </w:r>
    </w:p>
    <w:p>
      <w:pPr>
        <w:jc w:val="center"/>
      </w:pPr>
      <w:r>
        <w:rPr>
          <w:rFonts w:hint="eastAsia" w:ascii="仿宋" w:hAnsi="仿宋" w:eastAsia="仿宋" w:cs="仿宋"/>
          <w:bCs/>
          <w:kern w:val="2"/>
          <w:sz w:val="28"/>
          <w:szCs w:val="28"/>
          <w:lang w:val="en-US" w:eastAsia="zh-CN" w:bidi="ar-SA"/>
        </w:rPr>
        <w:t>2022年度项目支出绩效自评表11</w:t>
      </w:r>
    </w:p>
    <w:tbl>
      <w:tblPr>
        <w:tblStyle w:val="12"/>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widowControl/>
              <w:spacing w:line="26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现代职业教育质量提升计划</w:t>
            </w:r>
            <w:r>
              <w:rPr>
                <w:rFonts w:hint="eastAsia" w:ascii="Times New Roman" w:hAnsi="Times New Roman" w:eastAsia="仿宋_GB2312" w:cs="Times New Roman"/>
                <w:color w:val="000000"/>
                <w:sz w:val="20"/>
                <w:szCs w:val="20"/>
                <w:lang w:eastAsia="zh-CN"/>
              </w:rPr>
              <w:t>：</w:t>
            </w:r>
            <w:r>
              <w:rPr>
                <w:rFonts w:hint="eastAsia" w:ascii="Times New Roman" w:hAnsi="Times New Roman" w:eastAsia="仿宋_GB2312" w:cs="Times New Roman"/>
                <w:color w:val="000000"/>
                <w:sz w:val="20"/>
                <w:szCs w:val="20"/>
                <w:lang w:val="en-US" w:eastAsia="zh-CN"/>
              </w:rPr>
              <w:t>高职国家级教师教学创新团队专题研修(城乡规划)</w:t>
            </w: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湖南城建职业技术学院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22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jc w:val="center"/>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　</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9.9</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9.9</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5.75</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58%</w:t>
            </w:r>
          </w:p>
        </w:tc>
        <w:tc>
          <w:tcPr>
            <w:tcW w:w="1418" w:type="dxa"/>
            <w:tcBorders>
              <w:top w:val="nil"/>
              <w:left w:val="nil"/>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6</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　</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ind w:firstLine="600" w:firstLineChars="300"/>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　</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widowControl/>
              <w:ind w:firstLine="600" w:firstLineChars="300"/>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完成国创团队不少于15人累计不少于10天职业教育教学能力培养，团队力争获得不低于3项标志性成果</w:t>
            </w:r>
            <w:r>
              <w:rPr>
                <w:rFonts w:hint="default" w:ascii="Times New Roman" w:hAnsi="Times New Roman" w:eastAsia="仿宋_GB2312" w:cs="Times New Roman"/>
                <w:color w:val="000000"/>
                <w:sz w:val="20"/>
                <w:szCs w:val="20"/>
              </w:rPr>
              <w:t>　</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rPr>
            </w:pPr>
            <w:r>
              <w:rPr>
                <w:rFonts w:hint="eastAsia" w:ascii="Times New Roman" w:hAnsi="Times New Roman" w:eastAsia="仿宋_GB2312" w:cs="Times New Roman"/>
                <w:color w:val="000000"/>
                <w:sz w:val="20"/>
                <w:szCs w:val="20"/>
                <w:lang w:val="en-US" w:eastAsia="zh-CN"/>
              </w:rPr>
              <w:t>完成国创团队15人累计10天培训，团队荣获职业教育教学成果奖一等奖、省教师教学能力竞赛一等奖等4项标志性成果。绩效指标达成度高。</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widowControl/>
              <w:spacing w:line="240" w:lineRule="exact"/>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widowControl/>
              <w:spacing w:line="240" w:lineRule="exact"/>
              <w:jc w:val="both"/>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widowControl/>
              <w:jc w:val="center"/>
              <w:rPr>
                <w:rFonts w:hint="default" w:ascii="Times New Roman" w:hAnsi="Times New Roman" w:eastAsia="仿宋_GB2312" w:cs="Times New Roman"/>
                <w:color w:val="000000"/>
                <w:sz w:val="20"/>
                <w:szCs w:val="20"/>
              </w:rPr>
            </w:pP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培训人数</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15</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15</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培训学时</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80学时/人</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80学时/人</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培训合格率</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按时完成率</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培训经费</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550元/人.天</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550元/人.天</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widowControl/>
              <w:jc w:val="left"/>
              <w:rPr>
                <w:rFonts w:hint="default" w:ascii="Times New Roman" w:hAnsi="Times New Roman" w:eastAsia="仿宋_GB2312" w:cs="Times New Roman"/>
                <w:color w:val="000000"/>
                <w:sz w:val="20"/>
                <w:szCs w:val="20"/>
              </w:rPr>
            </w:pPr>
          </w:p>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经费使用率</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89%</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6</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受疫情防控未完全使用</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优秀学员</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1</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kern w:val="2"/>
                <w:sz w:val="20"/>
                <w:szCs w:val="20"/>
                <w:lang w:val="en-US" w:eastAsia="zh-CN" w:bidi="ar-SA"/>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省级各类获奖</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3</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4</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服务对象满意度指标</w:t>
            </w: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培训师资授课满意度</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98%</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ascii="Times New Roman" w:hAnsi="Times New Roman" w:eastAsia="仿宋_GB2312" w:cs="Times New Roman"/>
                <w:color w:val="000000"/>
                <w:sz w:val="20"/>
                <w:szCs w:val="20"/>
                <w:lang w:val="en-US" w:eastAsia="zh-CN"/>
              </w:rPr>
              <w:t>99%</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92</w:t>
            </w:r>
          </w:p>
        </w:tc>
        <w:tc>
          <w:tcPr>
            <w:tcW w:w="1418"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pStyle w:val="2"/>
      </w:pPr>
    </w:p>
    <w:p>
      <w:pPr>
        <w:pStyle w:val="11"/>
        <w:ind w:left="0" w:leftChars="0" w:firstLine="0" w:firstLineChars="0"/>
        <w:rPr>
          <w:rFonts w:hint="eastAsia" w:cs="Times New Roman"/>
          <w:sz w:val="32"/>
          <w:szCs w:val="32"/>
          <w:lang w:val="en-US" w:eastAsia="zh-CN"/>
        </w:rPr>
      </w:pPr>
    </w:p>
    <w:p>
      <w:pPr>
        <w:pStyle w:val="11"/>
        <w:ind w:left="0" w:leftChars="0" w:firstLine="0" w:firstLineChars="0"/>
        <w:rPr>
          <w:rFonts w:hint="default"/>
          <w:lang w:val="en-US"/>
        </w:rPr>
      </w:pPr>
      <w:r>
        <w:rPr>
          <w:rFonts w:hint="eastAsia" w:cs="Times New Roman"/>
          <w:sz w:val="32"/>
          <w:szCs w:val="32"/>
          <w:lang w:val="en-US" w:eastAsia="zh-CN"/>
        </w:rPr>
        <w:t>附件3-12：</w:t>
      </w:r>
    </w:p>
    <w:p>
      <w:pPr>
        <w:pStyle w:val="2"/>
        <w:jc w:val="center"/>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2022年度项目支出绩效自评表12</w:t>
      </w:r>
    </w:p>
    <w:tbl>
      <w:tblPr>
        <w:tblStyle w:val="12"/>
        <w:tblW w:w="9957" w:type="dxa"/>
        <w:jc w:val="center"/>
        <w:tblLayout w:type="fixed"/>
        <w:tblCellMar>
          <w:top w:w="0" w:type="dxa"/>
          <w:left w:w="108" w:type="dxa"/>
          <w:bottom w:w="0" w:type="dxa"/>
          <w:right w:w="108" w:type="dxa"/>
        </w:tblCellMar>
      </w:tblPr>
      <w:tblGrid>
        <w:gridCol w:w="1080"/>
        <w:gridCol w:w="1080"/>
        <w:gridCol w:w="1080"/>
        <w:gridCol w:w="1330"/>
        <w:gridCol w:w="1129"/>
        <w:gridCol w:w="1386"/>
        <w:gridCol w:w="828"/>
        <w:gridCol w:w="910"/>
        <w:gridCol w:w="1134"/>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项目支</w:t>
            </w:r>
          </w:p>
          <w:p>
            <w:pPr>
              <w:widowControl/>
              <w:snapToGrid w:val="0"/>
              <w:spacing w:line="24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出名称</w:t>
            </w:r>
          </w:p>
        </w:tc>
        <w:tc>
          <w:tcPr>
            <w:tcW w:w="8877" w:type="dxa"/>
            <w:gridSpan w:val="8"/>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cs="Times New Roman" w:asciiTheme="minorEastAsia" w:hAnsiTheme="minorEastAsia"/>
                <w:b/>
                <w:color w:val="000000"/>
                <w:kern w:val="0"/>
                <w:szCs w:val="21"/>
              </w:rPr>
            </w:pPr>
            <w:r>
              <w:rPr>
                <w:rFonts w:hint="eastAsia"/>
                <w:b/>
                <w:color w:val="393939"/>
                <w:szCs w:val="21"/>
                <w:shd w:val="clear" w:color="auto" w:fill="FFFFFF"/>
              </w:rPr>
              <w:t>图书、软件、固定资产购置</w:t>
            </w:r>
          </w:p>
        </w:tc>
      </w:tr>
      <w:tr>
        <w:tblPrEx>
          <w:tblCellMar>
            <w:top w:w="0" w:type="dxa"/>
            <w:left w:w="108" w:type="dxa"/>
            <w:bottom w:w="0" w:type="dxa"/>
            <w:right w:w="108" w:type="dxa"/>
          </w:tblCellMar>
        </w:tblPrEx>
        <w:trPr>
          <w:trHeight w:val="454" w:hRule="atLeast"/>
          <w:jc w:val="center"/>
        </w:trPr>
        <w:tc>
          <w:tcPr>
            <w:tcW w:w="1080" w:type="dxa"/>
            <w:tcBorders>
              <w:top w:val="nil"/>
              <w:left w:val="single" w:color="auto" w:sz="4" w:space="0"/>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主管部门</w:t>
            </w:r>
          </w:p>
        </w:tc>
        <w:tc>
          <w:tcPr>
            <w:tcW w:w="4619" w:type="dxa"/>
            <w:gridSpan w:val="4"/>
            <w:tcBorders>
              <w:top w:val="single" w:color="auto" w:sz="4" w:space="0"/>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386" w:type="dxa"/>
            <w:tcBorders>
              <w:top w:val="single" w:color="auto" w:sz="4" w:space="0"/>
              <w:left w:val="nil"/>
              <w:bottom w:val="single" w:color="auto" w:sz="4" w:space="0"/>
              <w:right w:val="single" w:color="000000"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实施单位</w:t>
            </w:r>
          </w:p>
        </w:tc>
        <w:tc>
          <w:tcPr>
            <w:tcW w:w="2872" w:type="dxa"/>
            <w:gridSpan w:val="3"/>
            <w:tcBorders>
              <w:top w:val="single" w:color="auto" w:sz="4" w:space="0"/>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sz w:val="21"/>
                <w:szCs w:val="21"/>
                <w:lang w:val="en-US" w:eastAsia="zh-CN"/>
              </w:rPr>
              <w:t>湖南城建职业技术学院</w:t>
            </w:r>
          </w:p>
        </w:tc>
      </w:tr>
      <w:tr>
        <w:tblPrEx>
          <w:tblCellMar>
            <w:top w:w="0" w:type="dxa"/>
            <w:left w:w="108" w:type="dxa"/>
            <w:bottom w:w="0" w:type="dxa"/>
            <w:right w:w="108" w:type="dxa"/>
          </w:tblCellMar>
        </w:tblPrEx>
        <w:trPr>
          <w:trHeight w:val="454" w:hRule="atLeast"/>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项目资金</w:t>
            </w:r>
            <w:r>
              <w:rPr>
                <w:rFonts w:hint="eastAsia" w:ascii="方正仿宋_GB2312" w:hAnsi="方正仿宋_GB2312" w:eastAsia="方正仿宋_GB2312" w:cs="方正仿宋_GB2312"/>
                <w:color w:val="000000"/>
                <w:kern w:val="0"/>
                <w:sz w:val="21"/>
                <w:szCs w:val="21"/>
              </w:rPr>
              <w:br w:type="textWrapping"/>
            </w:r>
            <w:r>
              <w:rPr>
                <w:rFonts w:hint="eastAsia" w:ascii="方正仿宋_GB2312" w:hAnsi="方正仿宋_GB2312" w:eastAsia="方正仿宋_GB2312" w:cs="方正仿宋_GB2312"/>
                <w:color w:val="000000"/>
                <w:kern w:val="0"/>
                <w:sz w:val="21"/>
                <w:szCs w:val="21"/>
              </w:rPr>
              <w:t>（万元）</w:t>
            </w:r>
          </w:p>
        </w:tc>
        <w:tc>
          <w:tcPr>
            <w:tcW w:w="2160" w:type="dxa"/>
            <w:gridSpan w:val="2"/>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年初</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预算数</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全年</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预算数</w:t>
            </w:r>
          </w:p>
        </w:tc>
        <w:tc>
          <w:tcPr>
            <w:tcW w:w="1386" w:type="dxa"/>
            <w:tcBorders>
              <w:top w:val="nil"/>
              <w:left w:val="nil"/>
              <w:bottom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全年</w:t>
            </w:r>
          </w:p>
          <w:p>
            <w:pPr>
              <w:snapToGrid w:val="0"/>
              <w:spacing w:line="2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执行数</w:t>
            </w:r>
          </w:p>
        </w:tc>
        <w:tc>
          <w:tcPr>
            <w:tcW w:w="828" w:type="dxa"/>
            <w:tcBorders>
              <w:top w:val="nil"/>
              <w:left w:val="nil"/>
              <w:bottom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分值</w:t>
            </w:r>
          </w:p>
        </w:tc>
        <w:tc>
          <w:tcPr>
            <w:tcW w:w="910" w:type="dxa"/>
            <w:tcBorders>
              <w:top w:val="nil"/>
              <w:left w:val="nil"/>
              <w:bottom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执行率</w:t>
            </w:r>
          </w:p>
        </w:tc>
        <w:tc>
          <w:tcPr>
            <w:tcW w:w="1134" w:type="dxa"/>
            <w:tcBorders>
              <w:top w:val="nil"/>
              <w:left w:val="nil"/>
              <w:bottom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得分</w:t>
            </w:r>
          </w:p>
        </w:tc>
      </w:tr>
      <w:tr>
        <w:tblPrEx>
          <w:tblCellMar>
            <w:top w:w="0" w:type="dxa"/>
            <w:left w:w="108" w:type="dxa"/>
            <w:bottom w:w="0" w:type="dxa"/>
            <w:right w:w="108" w:type="dxa"/>
          </w:tblCellMar>
        </w:tblPrEx>
        <w:trPr>
          <w:trHeight w:val="454"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2160" w:type="dxa"/>
            <w:gridSpan w:val="2"/>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年度资金总额　</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964.82</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lang w:val="en-US" w:eastAsia="zh-CN"/>
              </w:rPr>
              <w:t>964.82</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628.60</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10</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65.15</w:t>
            </w:r>
            <w:r>
              <w:rPr>
                <w:rFonts w:hint="eastAsia" w:ascii="方正仿宋_GB2312" w:hAnsi="方正仿宋_GB2312" w:eastAsia="方正仿宋_GB2312" w:cs="方正仿宋_GB2312"/>
                <w:color w:val="000000"/>
                <w:kern w:val="0"/>
                <w:sz w:val="21"/>
                <w:szCs w:val="21"/>
              </w:rPr>
              <w:t>%</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lang w:val="en-US" w:eastAsia="zh-CN"/>
              </w:rPr>
            </w:pPr>
            <w:r>
              <w:rPr>
                <w:rFonts w:hint="eastAsia" w:ascii="方正仿宋_GB2312" w:hAnsi="方正仿宋_GB2312" w:eastAsia="方正仿宋_GB2312" w:cs="方正仿宋_GB2312"/>
                <w:color w:val="000000"/>
                <w:kern w:val="0"/>
                <w:sz w:val="21"/>
                <w:szCs w:val="21"/>
              </w:rPr>
              <w:t>　</w:t>
            </w:r>
            <w:r>
              <w:rPr>
                <w:rFonts w:hint="eastAsia" w:ascii="方正仿宋_GB2312" w:hAnsi="方正仿宋_GB2312" w:eastAsia="方正仿宋_GB2312" w:cs="方正仿宋_GB2312"/>
                <w:color w:val="000000"/>
                <w:kern w:val="0"/>
                <w:sz w:val="21"/>
                <w:szCs w:val="21"/>
                <w:lang w:val="en-US" w:eastAsia="zh-CN"/>
              </w:rPr>
              <w:t>8</w:t>
            </w:r>
          </w:p>
        </w:tc>
      </w:tr>
      <w:tr>
        <w:tblPrEx>
          <w:tblCellMar>
            <w:top w:w="0" w:type="dxa"/>
            <w:left w:w="108" w:type="dxa"/>
            <w:bottom w:w="0" w:type="dxa"/>
            <w:right w:w="108" w:type="dxa"/>
          </w:tblCellMar>
        </w:tblPrEx>
        <w:trPr>
          <w:trHeight w:val="454"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2160" w:type="dxa"/>
            <w:gridSpan w:val="2"/>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其中：当年财政拨款　</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467"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2160" w:type="dxa"/>
            <w:gridSpan w:val="2"/>
            <w:tcBorders>
              <w:top w:val="nil"/>
              <w:left w:val="nil"/>
              <w:bottom w:val="single" w:color="auto" w:sz="4" w:space="0"/>
              <w:right w:val="single" w:color="auto" w:sz="4" w:space="0"/>
            </w:tcBorders>
            <w:vAlign w:val="center"/>
          </w:tcPr>
          <w:p>
            <w:pPr>
              <w:widowControl/>
              <w:snapToGrid w:val="0"/>
              <w:spacing w:line="240" w:lineRule="exact"/>
              <w:ind w:firstLine="630" w:firstLineChars="300"/>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上年结转资金　</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454"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2160" w:type="dxa"/>
            <w:gridSpan w:val="2"/>
            <w:tcBorders>
              <w:top w:val="nil"/>
              <w:left w:val="nil"/>
              <w:bottom w:val="single" w:color="auto" w:sz="4" w:space="0"/>
              <w:right w:val="single" w:color="auto" w:sz="4" w:space="0"/>
            </w:tcBorders>
            <w:vAlign w:val="center"/>
          </w:tcPr>
          <w:p>
            <w:pPr>
              <w:widowControl/>
              <w:snapToGrid w:val="0"/>
              <w:spacing w:line="240" w:lineRule="exact"/>
              <w:ind w:firstLine="630" w:firstLineChars="300"/>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其他资金</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r>
        <w:tblPrEx>
          <w:tblCellMar>
            <w:top w:w="0" w:type="dxa"/>
            <w:left w:w="108" w:type="dxa"/>
            <w:bottom w:w="0" w:type="dxa"/>
            <w:right w:w="108" w:type="dxa"/>
          </w:tblCellMar>
        </w:tblPrEx>
        <w:trPr>
          <w:trHeight w:val="454" w:hRule="atLeast"/>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年度总体目标</w:t>
            </w:r>
          </w:p>
        </w:tc>
        <w:tc>
          <w:tcPr>
            <w:tcW w:w="4619" w:type="dxa"/>
            <w:gridSpan w:val="4"/>
            <w:tcBorders>
              <w:top w:val="single" w:color="auto" w:sz="4" w:space="0"/>
              <w:left w:val="nil"/>
              <w:bottom w:val="single" w:color="auto" w:sz="4" w:space="0"/>
              <w:right w:val="single" w:color="000000"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预期目标</w:t>
            </w:r>
          </w:p>
        </w:tc>
        <w:tc>
          <w:tcPr>
            <w:tcW w:w="4258" w:type="dxa"/>
            <w:gridSpan w:val="4"/>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实际完成情况　</w:t>
            </w:r>
          </w:p>
        </w:tc>
      </w:tr>
      <w:tr>
        <w:tblPrEx>
          <w:tblCellMar>
            <w:top w:w="0" w:type="dxa"/>
            <w:left w:w="108" w:type="dxa"/>
            <w:bottom w:w="0" w:type="dxa"/>
            <w:right w:w="108" w:type="dxa"/>
          </w:tblCellMar>
        </w:tblPrEx>
        <w:trPr>
          <w:trHeight w:val="454"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4619" w:type="dxa"/>
            <w:gridSpan w:val="4"/>
            <w:tcBorders>
              <w:top w:val="single" w:color="auto" w:sz="4" w:space="0"/>
              <w:left w:val="nil"/>
              <w:bottom w:val="single" w:color="auto" w:sz="4" w:space="0"/>
              <w:right w:val="single" w:color="000000"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学院办学条件不断改善</w:t>
            </w:r>
          </w:p>
        </w:tc>
        <w:tc>
          <w:tcPr>
            <w:tcW w:w="4258" w:type="dxa"/>
            <w:gridSpan w:val="4"/>
            <w:tcBorders>
              <w:top w:val="single" w:color="auto" w:sz="4" w:space="0"/>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学院办学条件得到改善</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绩</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效</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标</w:t>
            </w:r>
          </w:p>
        </w:tc>
        <w:tc>
          <w:tcPr>
            <w:tcW w:w="108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一级指标</w:t>
            </w:r>
          </w:p>
        </w:tc>
        <w:tc>
          <w:tcPr>
            <w:tcW w:w="108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二级指标</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三级指标</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年度</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指标值</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实际</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完成值</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分值</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xml:space="preserve">得分 </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偏差原因</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分析及</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改进措施</w:t>
            </w:r>
          </w:p>
        </w:tc>
      </w:tr>
      <w:tr>
        <w:tblPrEx>
          <w:tblCellMar>
            <w:top w:w="0" w:type="dxa"/>
            <w:left w:w="108" w:type="dxa"/>
            <w:bottom w:w="0" w:type="dxa"/>
            <w:right w:w="108" w:type="dxa"/>
          </w:tblCellMar>
        </w:tblPrEx>
        <w:trPr>
          <w:trHeight w:val="347" w:hRule="atLeast"/>
          <w:jc w:val="center"/>
        </w:trPr>
        <w:tc>
          <w:tcPr>
            <w:tcW w:w="1080" w:type="dxa"/>
            <w:vMerge w:val="continue"/>
            <w:tcBorders>
              <w:left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restart"/>
            <w:tcBorders>
              <w:top w:val="nil"/>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产出指标</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(50分)</w:t>
            </w:r>
          </w:p>
        </w:tc>
        <w:tc>
          <w:tcPr>
            <w:tcW w:w="1080" w:type="dxa"/>
            <w:vMerge w:val="restart"/>
            <w:tcBorders>
              <w:top w:val="nil"/>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数量指标</w:t>
            </w:r>
          </w:p>
        </w:tc>
        <w:tc>
          <w:tcPr>
            <w:tcW w:w="1330" w:type="dxa"/>
            <w:tcBorders>
              <w:top w:val="nil"/>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购置教学仪器设备数量</w:t>
            </w:r>
          </w:p>
        </w:tc>
        <w:tc>
          <w:tcPr>
            <w:tcW w:w="1129" w:type="dxa"/>
            <w:vMerge w:val="restart"/>
            <w:tcBorders>
              <w:top w:val="nil"/>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w:t>
            </w:r>
            <w:r>
              <w:rPr>
                <w:rFonts w:hint="eastAsia" w:ascii="方正仿宋_GB2312" w:hAnsi="方正仿宋_GB2312" w:eastAsia="方正仿宋_GB2312" w:cs="方正仿宋_GB2312"/>
                <w:color w:val="000000"/>
                <w:kern w:val="0"/>
                <w:sz w:val="21"/>
                <w:szCs w:val="21"/>
                <w:lang w:val="en-US" w:eastAsia="zh-CN"/>
              </w:rPr>
              <w:t>6000</w:t>
            </w:r>
            <w:r>
              <w:rPr>
                <w:rFonts w:hint="eastAsia" w:ascii="方正仿宋_GB2312" w:hAnsi="方正仿宋_GB2312" w:eastAsia="方正仿宋_GB2312" w:cs="方正仿宋_GB2312"/>
                <w:color w:val="000000"/>
                <w:kern w:val="0"/>
                <w:sz w:val="21"/>
                <w:szCs w:val="21"/>
              </w:rPr>
              <w:t>台（或个）</w:t>
            </w:r>
          </w:p>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386" w:type="dxa"/>
            <w:vMerge w:val="restart"/>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7926</w:t>
            </w:r>
            <w:r>
              <w:rPr>
                <w:rFonts w:hint="eastAsia" w:ascii="方正仿宋_GB2312" w:hAnsi="方正仿宋_GB2312" w:eastAsia="方正仿宋_GB2312" w:cs="方正仿宋_GB2312"/>
                <w:color w:val="000000"/>
                <w:kern w:val="0"/>
                <w:sz w:val="21"/>
                <w:szCs w:val="21"/>
              </w:rPr>
              <w:t>台（或个）</w:t>
            </w:r>
          </w:p>
        </w:tc>
        <w:tc>
          <w:tcPr>
            <w:tcW w:w="828" w:type="dxa"/>
            <w:vMerge w:val="restart"/>
            <w:tcBorders>
              <w:top w:val="nil"/>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910" w:type="dxa"/>
            <w:vMerge w:val="restart"/>
            <w:tcBorders>
              <w:top w:val="nil"/>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134" w:type="dxa"/>
            <w:vMerge w:val="restart"/>
            <w:tcBorders>
              <w:top w:val="nil"/>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trHeight w:val="145" w:hRule="atLeast"/>
          <w:jc w:val="center"/>
        </w:trPr>
        <w:tc>
          <w:tcPr>
            <w:tcW w:w="1080" w:type="dxa"/>
            <w:vMerge w:val="continue"/>
            <w:tcBorders>
              <w:left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129" w:type="dxa"/>
            <w:vMerge w:val="continue"/>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386" w:type="dxa"/>
            <w:vMerge w:val="continue"/>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828" w:type="dxa"/>
            <w:vMerge w:val="continue"/>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910" w:type="dxa"/>
            <w:vMerge w:val="continue"/>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134" w:type="dxa"/>
            <w:vMerge w:val="continue"/>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trHeight w:val="346" w:hRule="atLeast"/>
          <w:jc w:val="center"/>
        </w:trPr>
        <w:tc>
          <w:tcPr>
            <w:tcW w:w="1080" w:type="dxa"/>
            <w:vMerge w:val="continue"/>
            <w:tcBorders>
              <w:left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图书购置数量</w:t>
            </w:r>
          </w:p>
        </w:tc>
        <w:tc>
          <w:tcPr>
            <w:tcW w:w="1129" w:type="dxa"/>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kern w:val="0"/>
                <w:sz w:val="21"/>
                <w:szCs w:val="21"/>
              </w:rPr>
            </w:pPr>
            <w:r>
              <w:rPr>
                <w:rFonts w:hint="eastAsia" w:ascii="方正仿宋_GB2312" w:hAnsi="方正仿宋_GB2312" w:eastAsia="方正仿宋_GB2312" w:cs="方正仿宋_GB2312"/>
                <w:kern w:val="0"/>
                <w:sz w:val="21"/>
                <w:szCs w:val="21"/>
              </w:rPr>
              <w:t>≥</w:t>
            </w:r>
            <w:r>
              <w:rPr>
                <w:rFonts w:hint="eastAsia" w:ascii="方正仿宋_GB2312" w:hAnsi="方正仿宋_GB2312" w:eastAsia="方正仿宋_GB2312" w:cs="方正仿宋_GB2312"/>
                <w:kern w:val="0"/>
                <w:sz w:val="21"/>
                <w:szCs w:val="21"/>
                <w:lang w:val="en-US" w:eastAsia="zh-CN"/>
              </w:rPr>
              <w:t>3</w:t>
            </w:r>
            <w:r>
              <w:rPr>
                <w:rFonts w:hint="eastAsia" w:ascii="方正仿宋_GB2312" w:hAnsi="方正仿宋_GB2312" w:eastAsia="方正仿宋_GB2312" w:cs="方正仿宋_GB2312"/>
                <w:kern w:val="0"/>
                <w:sz w:val="21"/>
                <w:szCs w:val="21"/>
              </w:rPr>
              <w:t>万册</w:t>
            </w:r>
          </w:p>
        </w:tc>
        <w:tc>
          <w:tcPr>
            <w:tcW w:w="1386" w:type="dxa"/>
            <w:tcBorders>
              <w:left w:val="nil"/>
              <w:bottom w:val="single" w:color="auto" w:sz="4" w:space="0"/>
              <w:right w:val="single" w:color="auto" w:sz="4" w:space="0"/>
            </w:tcBorders>
            <w:vAlign w:val="center"/>
          </w:tcPr>
          <w:p>
            <w:pPr>
              <w:widowControl/>
              <w:snapToGrid w:val="0"/>
              <w:spacing w:line="240" w:lineRule="exact"/>
              <w:ind w:firstLine="105" w:firstLineChars="50"/>
              <w:jc w:val="center"/>
              <w:rPr>
                <w:rFonts w:hint="eastAsia" w:ascii="方正仿宋_GB2312" w:hAnsi="方正仿宋_GB2312" w:eastAsia="方正仿宋_GB2312" w:cs="方正仿宋_GB2312"/>
                <w:kern w:val="0"/>
                <w:sz w:val="21"/>
                <w:szCs w:val="21"/>
              </w:rPr>
            </w:pPr>
            <w:r>
              <w:rPr>
                <w:rFonts w:hint="eastAsia" w:ascii="方正仿宋_GB2312" w:hAnsi="方正仿宋_GB2312" w:eastAsia="方正仿宋_GB2312" w:cs="方正仿宋_GB2312"/>
                <w:kern w:val="0"/>
                <w:sz w:val="21"/>
                <w:szCs w:val="21"/>
              </w:rPr>
              <w:t>纸质图书</w:t>
            </w:r>
            <w:r>
              <w:rPr>
                <w:rFonts w:hint="eastAsia" w:ascii="方正仿宋_GB2312" w:hAnsi="方正仿宋_GB2312" w:eastAsia="方正仿宋_GB2312" w:cs="方正仿宋_GB2312"/>
                <w:kern w:val="0"/>
                <w:sz w:val="21"/>
                <w:szCs w:val="21"/>
                <w:lang w:val="en-US" w:eastAsia="zh-CN"/>
              </w:rPr>
              <w:t>2000</w:t>
            </w:r>
            <w:r>
              <w:rPr>
                <w:rFonts w:hint="eastAsia" w:ascii="方正仿宋_GB2312" w:hAnsi="方正仿宋_GB2312" w:eastAsia="方正仿宋_GB2312" w:cs="方正仿宋_GB2312"/>
                <w:kern w:val="0"/>
                <w:sz w:val="21"/>
                <w:szCs w:val="21"/>
              </w:rPr>
              <w:t>册</w:t>
            </w:r>
          </w:p>
          <w:p>
            <w:pPr>
              <w:widowControl/>
              <w:snapToGrid w:val="0"/>
              <w:spacing w:line="240" w:lineRule="exact"/>
              <w:ind w:firstLine="105" w:firstLineChars="50"/>
              <w:jc w:val="center"/>
              <w:rPr>
                <w:rFonts w:hint="eastAsia" w:ascii="方正仿宋_GB2312" w:hAnsi="方正仿宋_GB2312" w:eastAsia="方正仿宋_GB2312" w:cs="方正仿宋_GB2312"/>
                <w:kern w:val="0"/>
                <w:sz w:val="21"/>
                <w:szCs w:val="21"/>
              </w:rPr>
            </w:pPr>
            <w:r>
              <w:rPr>
                <w:rFonts w:hint="eastAsia" w:ascii="方正仿宋_GB2312" w:hAnsi="方正仿宋_GB2312" w:eastAsia="方正仿宋_GB2312" w:cs="方正仿宋_GB2312"/>
                <w:kern w:val="0"/>
                <w:sz w:val="21"/>
                <w:szCs w:val="21"/>
              </w:rPr>
              <w:t>电子图书、期刊2万册</w:t>
            </w:r>
          </w:p>
        </w:tc>
        <w:tc>
          <w:tcPr>
            <w:tcW w:w="828" w:type="dxa"/>
            <w:tcBorders>
              <w:left w:val="nil"/>
              <w:bottom w:val="single" w:color="auto" w:sz="4" w:space="0"/>
              <w:right w:val="single" w:color="auto" w:sz="4" w:space="0"/>
            </w:tcBorders>
            <w:vAlign w:val="center"/>
          </w:tcPr>
          <w:p>
            <w:pPr>
              <w:widowControl/>
              <w:snapToGrid w:val="0"/>
              <w:spacing w:line="240" w:lineRule="exact"/>
              <w:ind w:firstLine="210" w:firstLineChars="100"/>
              <w:jc w:val="center"/>
              <w:rPr>
                <w:rFonts w:hint="eastAsia" w:ascii="方正仿宋_GB2312" w:hAnsi="方正仿宋_GB2312" w:eastAsia="方正仿宋_GB2312" w:cs="方正仿宋_GB2312"/>
                <w:kern w:val="0"/>
                <w:sz w:val="21"/>
                <w:szCs w:val="21"/>
              </w:rPr>
            </w:pPr>
            <w:r>
              <w:rPr>
                <w:rFonts w:hint="eastAsia" w:ascii="方正仿宋_GB2312" w:hAnsi="方正仿宋_GB2312" w:eastAsia="方正仿宋_GB2312" w:cs="方正仿宋_GB2312"/>
                <w:kern w:val="0"/>
                <w:sz w:val="21"/>
                <w:szCs w:val="21"/>
              </w:rPr>
              <w:t>10</w:t>
            </w:r>
          </w:p>
        </w:tc>
        <w:tc>
          <w:tcPr>
            <w:tcW w:w="910" w:type="dxa"/>
            <w:tcBorders>
              <w:left w:val="nil"/>
              <w:bottom w:val="single" w:color="auto" w:sz="4" w:space="0"/>
              <w:right w:val="single" w:color="auto" w:sz="4" w:space="0"/>
            </w:tcBorders>
            <w:vAlign w:val="center"/>
          </w:tcPr>
          <w:p>
            <w:pPr>
              <w:widowControl/>
              <w:snapToGrid w:val="0"/>
              <w:spacing w:line="240" w:lineRule="exact"/>
              <w:ind w:firstLine="105" w:firstLineChars="50"/>
              <w:jc w:val="center"/>
              <w:rPr>
                <w:rFonts w:hint="eastAsia" w:ascii="方正仿宋_GB2312" w:hAnsi="方正仿宋_GB2312" w:eastAsia="方正仿宋_GB2312" w:cs="方正仿宋_GB2312"/>
                <w:kern w:val="0"/>
                <w:sz w:val="21"/>
                <w:szCs w:val="21"/>
              </w:rPr>
            </w:pPr>
            <w:r>
              <w:rPr>
                <w:rFonts w:hint="eastAsia" w:ascii="方正仿宋_GB2312" w:hAnsi="方正仿宋_GB2312" w:eastAsia="方正仿宋_GB2312" w:cs="方正仿宋_GB2312"/>
                <w:kern w:val="0"/>
                <w:sz w:val="21"/>
                <w:szCs w:val="21"/>
              </w:rPr>
              <w:t>10</w:t>
            </w:r>
          </w:p>
        </w:tc>
        <w:tc>
          <w:tcPr>
            <w:tcW w:w="1134" w:type="dxa"/>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kern w:val="0"/>
                <w:sz w:val="21"/>
                <w:szCs w:val="21"/>
              </w:rPr>
            </w:pPr>
          </w:p>
        </w:tc>
      </w:tr>
      <w:tr>
        <w:tblPrEx>
          <w:tblCellMar>
            <w:top w:w="0" w:type="dxa"/>
            <w:left w:w="108" w:type="dxa"/>
            <w:bottom w:w="0" w:type="dxa"/>
            <w:right w:w="108" w:type="dxa"/>
          </w:tblCellMar>
        </w:tblPrEx>
        <w:trPr>
          <w:trHeight w:val="346" w:hRule="atLeast"/>
          <w:jc w:val="center"/>
        </w:trPr>
        <w:tc>
          <w:tcPr>
            <w:tcW w:w="1080" w:type="dxa"/>
            <w:vMerge w:val="continue"/>
            <w:tcBorders>
              <w:left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购置软件数量</w:t>
            </w:r>
          </w:p>
        </w:tc>
        <w:tc>
          <w:tcPr>
            <w:tcW w:w="1129" w:type="dxa"/>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w:t>
            </w:r>
            <w:r>
              <w:rPr>
                <w:rFonts w:hint="eastAsia" w:ascii="方正仿宋_GB2312" w:hAnsi="方正仿宋_GB2312" w:eastAsia="方正仿宋_GB2312" w:cs="方正仿宋_GB2312"/>
                <w:color w:val="000000"/>
                <w:kern w:val="0"/>
                <w:sz w:val="21"/>
                <w:szCs w:val="21"/>
                <w:lang w:val="en-US" w:eastAsia="zh-CN"/>
              </w:rPr>
              <w:t>400</w:t>
            </w:r>
            <w:r>
              <w:rPr>
                <w:rFonts w:hint="eastAsia" w:ascii="方正仿宋_GB2312" w:hAnsi="方正仿宋_GB2312" w:eastAsia="方正仿宋_GB2312" w:cs="方正仿宋_GB2312"/>
                <w:color w:val="000000"/>
                <w:kern w:val="0"/>
                <w:sz w:val="21"/>
                <w:szCs w:val="21"/>
              </w:rPr>
              <w:t>套</w:t>
            </w:r>
          </w:p>
        </w:tc>
        <w:tc>
          <w:tcPr>
            <w:tcW w:w="1386" w:type="dxa"/>
            <w:tcBorders>
              <w:left w:val="nil"/>
              <w:bottom w:val="single" w:color="auto" w:sz="4" w:space="0"/>
              <w:right w:val="single" w:color="auto" w:sz="4" w:space="0"/>
            </w:tcBorders>
            <w:vAlign w:val="center"/>
          </w:tcPr>
          <w:p>
            <w:pPr>
              <w:widowControl/>
              <w:snapToGrid w:val="0"/>
              <w:spacing w:line="240" w:lineRule="exact"/>
              <w:ind w:firstLine="105" w:firstLineChars="50"/>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lang w:val="en-US" w:eastAsia="zh-CN"/>
              </w:rPr>
              <w:t>503</w:t>
            </w:r>
            <w:r>
              <w:rPr>
                <w:rFonts w:hint="eastAsia" w:ascii="方正仿宋_GB2312" w:hAnsi="方正仿宋_GB2312" w:eastAsia="方正仿宋_GB2312" w:cs="方正仿宋_GB2312"/>
                <w:color w:val="000000"/>
                <w:kern w:val="0"/>
                <w:sz w:val="21"/>
                <w:szCs w:val="21"/>
              </w:rPr>
              <w:t>套</w:t>
            </w:r>
          </w:p>
        </w:tc>
        <w:tc>
          <w:tcPr>
            <w:tcW w:w="828" w:type="dxa"/>
            <w:tcBorders>
              <w:left w:val="nil"/>
              <w:bottom w:val="single" w:color="auto" w:sz="4" w:space="0"/>
              <w:right w:val="single" w:color="auto" w:sz="4" w:space="0"/>
            </w:tcBorders>
            <w:vAlign w:val="center"/>
          </w:tcPr>
          <w:p>
            <w:pPr>
              <w:widowControl/>
              <w:snapToGrid w:val="0"/>
              <w:spacing w:line="240" w:lineRule="exact"/>
              <w:ind w:firstLine="105" w:firstLineChars="50"/>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tc>
        <w:tc>
          <w:tcPr>
            <w:tcW w:w="910" w:type="dxa"/>
            <w:tcBorders>
              <w:left w:val="nil"/>
              <w:bottom w:val="single" w:color="auto" w:sz="4" w:space="0"/>
              <w:right w:val="single" w:color="auto" w:sz="4" w:space="0"/>
            </w:tcBorders>
            <w:vAlign w:val="center"/>
          </w:tcPr>
          <w:p>
            <w:pPr>
              <w:widowControl/>
              <w:snapToGrid w:val="0"/>
              <w:spacing w:line="240" w:lineRule="exact"/>
              <w:ind w:firstLine="105" w:firstLineChars="50"/>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tc>
        <w:tc>
          <w:tcPr>
            <w:tcW w:w="1134" w:type="dxa"/>
            <w:tcBorders>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right w:val="single" w:color="auto" w:sz="4" w:space="0"/>
            </w:tcBorders>
            <w:vAlign w:val="center"/>
          </w:tcPr>
          <w:p>
            <w:pPr>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1080"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质量指标</w:t>
            </w:r>
          </w:p>
        </w:tc>
        <w:tc>
          <w:tcPr>
            <w:tcW w:w="1330" w:type="dxa"/>
            <w:tcBorders>
              <w:top w:val="single" w:color="auto" w:sz="4" w:space="0"/>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购置教学仪器设备、图书、软件质量达标率</w:t>
            </w:r>
          </w:p>
        </w:tc>
        <w:tc>
          <w:tcPr>
            <w:tcW w:w="1129"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98%</w:t>
            </w:r>
          </w:p>
        </w:tc>
        <w:tc>
          <w:tcPr>
            <w:tcW w:w="1386"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98%</w:t>
            </w:r>
          </w:p>
        </w:tc>
        <w:tc>
          <w:tcPr>
            <w:tcW w:w="828"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tc>
        <w:tc>
          <w:tcPr>
            <w:tcW w:w="910"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9.8</w:t>
            </w:r>
          </w:p>
        </w:tc>
        <w:tc>
          <w:tcPr>
            <w:tcW w:w="1134"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vMerge w:val="continue"/>
            <w:tcBorders>
              <w:left w:val="nil"/>
              <w:right w:val="single" w:color="auto" w:sz="4" w:space="0"/>
            </w:tcBorders>
            <w:vAlign w:val="center"/>
          </w:tcPr>
          <w:p>
            <w:pPr>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1080"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时效指标</w:t>
            </w:r>
          </w:p>
        </w:tc>
        <w:tc>
          <w:tcPr>
            <w:tcW w:w="1330"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393939"/>
                <w:sz w:val="21"/>
                <w:szCs w:val="21"/>
                <w:shd w:val="clear" w:color="auto" w:fill="FFFFFF"/>
              </w:rPr>
              <w:t>教学仪器设备、图书、软件购置完成率</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100%</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100%</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trHeight w:val="814" w:hRule="atLeast"/>
          <w:jc w:val="center"/>
        </w:trPr>
        <w:tc>
          <w:tcPr>
            <w:tcW w:w="1080" w:type="dxa"/>
            <w:vMerge w:val="continue"/>
            <w:tcBorders>
              <w:left w:val="single" w:color="auto" w:sz="4" w:space="0"/>
              <w:right w:val="single" w:color="auto" w:sz="4" w:space="0"/>
            </w:tcBorders>
            <w:vAlign w:val="center"/>
          </w:tcPr>
          <w:p>
            <w:pPr>
              <w:snapToGrid w:val="0"/>
              <w:spacing w:line="240" w:lineRule="exact"/>
              <w:jc w:val="center"/>
              <w:rPr>
                <w:rFonts w:hint="eastAsia" w:ascii="方正仿宋_GB2312" w:hAnsi="方正仿宋_GB2312" w:eastAsia="方正仿宋_GB2312" w:cs="方正仿宋_GB2312"/>
                <w:color w:val="000000"/>
                <w:kern w:val="0"/>
                <w:sz w:val="21"/>
                <w:szCs w:val="21"/>
              </w:rPr>
            </w:pPr>
          </w:p>
        </w:tc>
        <w:tc>
          <w:tcPr>
            <w:tcW w:w="1080" w:type="dxa"/>
            <w:tcBorders>
              <w:top w:val="single" w:color="auto" w:sz="4" w:space="0"/>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效益指标</w:t>
            </w:r>
          </w:p>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p>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（30分）</w:t>
            </w:r>
          </w:p>
          <w:p>
            <w:pPr>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1080" w:type="dxa"/>
            <w:tcBorders>
              <w:top w:val="single" w:color="auto" w:sz="4" w:space="0"/>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社会效</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益指标</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学院办学条件</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逐步改善</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逐步改善</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30</w:t>
            </w:r>
          </w:p>
        </w:tc>
        <w:tc>
          <w:tcPr>
            <w:tcW w:w="910" w:type="dxa"/>
            <w:tcBorders>
              <w:top w:val="nil"/>
              <w:left w:val="nil"/>
              <w:bottom w:val="single" w:color="auto" w:sz="4" w:space="0"/>
              <w:right w:val="single" w:color="auto" w:sz="4" w:space="0"/>
            </w:tcBorders>
            <w:vAlign w:val="center"/>
          </w:tcPr>
          <w:p>
            <w:pPr>
              <w:widowControl/>
              <w:snapToGrid w:val="0"/>
              <w:spacing w:line="240" w:lineRule="exact"/>
              <w:ind w:firstLine="210" w:firstLineChars="100"/>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28</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napToGrid w:val="0"/>
              <w:spacing w:line="240" w:lineRule="exact"/>
              <w:jc w:val="left"/>
              <w:rPr>
                <w:rFonts w:hint="eastAsia" w:ascii="方正仿宋_GB2312" w:hAnsi="方正仿宋_GB2312" w:eastAsia="方正仿宋_GB2312" w:cs="方正仿宋_GB2312"/>
                <w:color w:val="000000"/>
                <w:kern w:val="0"/>
                <w:sz w:val="21"/>
                <w:szCs w:val="21"/>
              </w:rPr>
            </w:pPr>
          </w:p>
        </w:tc>
        <w:tc>
          <w:tcPr>
            <w:tcW w:w="1080" w:type="dxa"/>
            <w:tcBorders>
              <w:top w:val="single" w:color="auto" w:sz="4" w:space="0"/>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满意度</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指标</w:t>
            </w:r>
          </w:p>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（10分）</w:t>
            </w:r>
          </w:p>
        </w:tc>
        <w:tc>
          <w:tcPr>
            <w:tcW w:w="1080" w:type="dxa"/>
            <w:tcBorders>
              <w:top w:val="single" w:color="auto" w:sz="4" w:space="0"/>
              <w:left w:val="nil"/>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服务对象满意度指标</w:t>
            </w:r>
          </w:p>
        </w:tc>
        <w:tc>
          <w:tcPr>
            <w:tcW w:w="133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受益学院教师学生满意度</w:t>
            </w:r>
          </w:p>
        </w:tc>
        <w:tc>
          <w:tcPr>
            <w:tcW w:w="1129"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≥98%</w:t>
            </w:r>
          </w:p>
        </w:tc>
        <w:tc>
          <w:tcPr>
            <w:tcW w:w="1386"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≥98%</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9.8</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p>
        </w:tc>
      </w:tr>
      <w:tr>
        <w:tblPrEx>
          <w:tblCellMar>
            <w:top w:w="0" w:type="dxa"/>
            <w:left w:w="108" w:type="dxa"/>
            <w:bottom w:w="0" w:type="dxa"/>
            <w:right w:w="108" w:type="dxa"/>
          </w:tblCellMar>
        </w:tblPrEx>
        <w:trPr>
          <w:trHeight w:val="454" w:hRule="atLeast"/>
          <w:jc w:val="center"/>
        </w:trPr>
        <w:tc>
          <w:tcPr>
            <w:tcW w:w="7085" w:type="dxa"/>
            <w:gridSpan w:val="6"/>
            <w:tcBorders>
              <w:top w:val="single" w:color="auto" w:sz="4" w:space="0"/>
              <w:left w:val="single" w:color="auto" w:sz="4" w:space="0"/>
              <w:bottom w:val="single" w:color="auto" w:sz="4" w:space="0"/>
              <w:right w:val="single" w:color="000000"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总分</w:t>
            </w:r>
          </w:p>
        </w:tc>
        <w:tc>
          <w:tcPr>
            <w:tcW w:w="828" w:type="dxa"/>
            <w:tcBorders>
              <w:top w:val="nil"/>
              <w:left w:val="nil"/>
              <w:bottom w:val="single" w:color="auto" w:sz="4" w:space="0"/>
              <w:right w:val="single" w:color="auto" w:sz="4" w:space="0"/>
            </w:tcBorders>
            <w:vAlign w:val="center"/>
          </w:tcPr>
          <w:p>
            <w:pPr>
              <w:widowControl/>
              <w:snapToGrid w:val="0"/>
              <w:spacing w:line="240" w:lineRule="exact"/>
              <w:jc w:val="center"/>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100</w:t>
            </w:r>
          </w:p>
        </w:tc>
        <w:tc>
          <w:tcPr>
            <w:tcW w:w="910"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96.27</w:t>
            </w:r>
          </w:p>
        </w:tc>
        <w:tc>
          <w:tcPr>
            <w:tcW w:w="1134" w:type="dxa"/>
            <w:tcBorders>
              <w:top w:val="nil"/>
              <w:left w:val="nil"/>
              <w:bottom w:val="single" w:color="auto" w:sz="4" w:space="0"/>
              <w:right w:val="single" w:color="auto" w:sz="4" w:space="0"/>
            </w:tcBorders>
            <w:vAlign w:val="center"/>
          </w:tcPr>
          <w:p>
            <w:pPr>
              <w:widowControl/>
              <w:snapToGrid w:val="0"/>
              <w:spacing w:line="240" w:lineRule="exact"/>
              <w:jc w:val="left"/>
              <w:rPr>
                <w:rFonts w:hint="eastAsia" w:ascii="方正仿宋_GB2312" w:hAnsi="方正仿宋_GB2312" w:eastAsia="方正仿宋_GB2312" w:cs="方正仿宋_GB2312"/>
                <w:color w:val="000000"/>
                <w:kern w:val="0"/>
                <w:sz w:val="21"/>
                <w:szCs w:val="21"/>
              </w:rPr>
            </w:pPr>
            <w:r>
              <w:rPr>
                <w:rFonts w:hint="eastAsia" w:ascii="方正仿宋_GB2312" w:hAnsi="方正仿宋_GB2312" w:eastAsia="方正仿宋_GB2312" w:cs="方正仿宋_GB2312"/>
                <w:color w:val="000000"/>
                <w:kern w:val="0"/>
                <w:sz w:val="21"/>
                <w:szCs w:val="21"/>
              </w:rPr>
              <w:t>　</w:t>
            </w:r>
          </w:p>
        </w:tc>
      </w:tr>
    </w:tbl>
    <w:p>
      <w:pPr>
        <w:widowControl/>
        <w:spacing w:line="600" w:lineRule="exact"/>
        <w:jc w:val="left"/>
        <w:rPr>
          <w:rFonts w:ascii="Times New Roman" w:hAnsi="Times New Roman" w:eastAsia="黑体" w:cs="Times New Roman"/>
          <w:b w:val="0"/>
          <w:bCs w:val="0"/>
          <w:sz w:val="32"/>
          <w:szCs w:val="32"/>
        </w:rPr>
      </w:pPr>
    </w:p>
    <w:p>
      <w:pPr>
        <w:widowControl/>
        <w:spacing w:line="600" w:lineRule="exact"/>
        <w:jc w:val="left"/>
        <w:rPr>
          <w:rFonts w:ascii="Times New Roman" w:hAnsi="Times New Roman" w:eastAsia="黑体" w:cs="Times New Roman"/>
          <w:b w:val="0"/>
          <w:bCs w:val="0"/>
          <w:sz w:val="32"/>
          <w:szCs w:val="32"/>
        </w:rPr>
      </w:pPr>
    </w:p>
    <w:p>
      <w:pPr>
        <w:widowControl/>
        <w:spacing w:line="600" w:lineRule="exact"/>
        <w:jc w:val="left"/>
        <w:rPr>
          <w:rFonts w:ascii="Times New Roman" w:hAnsi="Times New Roman" w:eastAsia="黑体" w:cs="Times New Roman"/>
          <w:b w:val="0"/>
          <w:bCs w:val="0"/>
          <w:sz w:val="32"/>
          <w:szCs w:val="32"/>
        </w:rPr>
      </w:pPr>
    </w:p>
    <w:p>
      <w:pPr>
        <w:widowControl/>
        <w:spacing w:line="600" w:lineRule="exact"/>
        <w:jc w:val="left"/>
        <w:rPr>
          <w:rFonts w:ascii="Times New Roman" w:hAnsi="Times New Roman" w:eastAsia="黑体" w:cs="Times New Roman"/>
          <w:b w:val="0"/>
          <w:bCs w:val="0"/>
          <w:sz w:val="32"/>
          <w:szCs w:val="32"/>
        </w:rPr>
      </w:pPr>
    </w:p>
    <w:p>
      <w:pPr>
        <w:widowControl/>
        <w:spacing w:line="600" w:lineRule="exact"/>
        <w:jc w:val="left"/>
        <w:rPr>
          <w:rFonts w:hint="default" w:ascii="Times New Roman" w:hAnsi="Times New Roman" w:eastAsia="黑体" w:cs="Times New Roman"/>
          <w:b w:val="0"/>
          <w:bCs w:val="0"/>
          <w:sz w:val="32"/>
          <w:szCs w:val="32"/>
          <w:lang w:val="en-US" w:eastAsia="zh-CN"/>
        </w:rPr>
      </w:pPr>
      <w:r>
        <w:rPr>
          <w:rFonts w:ascii="Times New Roman" w:hAnsi="Times New Roman" w:eastAsia="黑体" w:cs="Times New Roman"/>
          <w:b w:val="0"/>
          <w:bCs w:val="0"/>
          <w:sz w:val="32"/>
          <w:szCs w:val="32"/>
        </w:rPr>
        <w:t>附件</w:t>
      </w:r>
      <w:r>
        <w:rPr>
          <w:rFonts w:hint="eastAsia" w:ascii="Times New Roman" w:hAnsi="Times New Roman" w:eastAsia="黑体" w:cs="Times New Roman"/>
          <w:b w:val="0"/>
          <w:bCs w:val="0"/>
          <w:sz w:val="32"/>
          <w:szCs w:val="32"/>
          <w:lang w:val="en-US" w:eastAsia="zh-CN"/>
        </w:rPr>
        <w:t>3</w:t>
      </w:r>
      <w:r>
        <w:rPr>
          <w:rFonts w:hint="eastAsia" w:eastAsia="黑体" w:cs="Times New Roman"/>
          <w:b w:val="0"/>
          <w:bCs w:val="0"/>
          <w:sz w:val="32"/>
          <w:szCs w:val="32"/>
          <w:lang w:val="en-US" w:eastAsia="zh-CN"/>
        </w:rPr>
        <w:t>-13</w:t>
      </w:r>
    </w:p>
    <w:p>
      <w:pPr>
        <w:widowControl/>
        <w:spacing w:line="600" w:lineRule="exact"/>
        <w:jc w:val="center"/>
        <w:rPr>
          <w:rFonts w:hint="default" w:ascii="Times New Roman" w:hAnsi="Times New Roman" w:eastAsia="方正小标宋_GBK" w:cs="Times New Roman"/>
          <w:b w:val="0"/>
          <w:bCs w:val="0"/>
          <w:color w:val="auto"/>
          <w:kern w:val="0"/>
          <w:sz w:val="36"/>
          <w:szCs w:val="36"/>
          <w:lang w:val="en-US" w:eastAsia="zh-CN"/>
        </w:rPr>
      </w:pPr>
      <w:r>
        <w:rPr>
          <w:rFonts w:hint="eastAsia" w:ascii="Times New Roman" w:hAnsi="Times New Roman" w:eastAsia="方正小标宋_GBK" w:cs="Times New Roman"/>
          <w:b w:val="0"/>
          <w:bCs w:val="0"/>
          <w:color w:val="auto"/>
          <w:kern w:val="0"/>
          <w:sz w:val="36"/>
          <w:szCs w:val="36"/>
          <w:lang w:eastAsia="zh-CN"/>
        </w:rPr>
        <w:t>202</w:t>
      </w:r>
      <w:r>
        <w:rPr>
          <w:rFonts w:hint="eastAsia" w:ascii="Times New Roman" w:hAnsi="Times New Roman" w:eastAsia="方正小标宋_GBK" w:cs="Times New Roman"/>
          <w:b w:val="0"/>
          <w:bCs w:val="0"/>
          <w:color w:val="auto"/>
          <w:kern w:val="0"/>
          <w:sz w:val="36"/>
          <w:szCs w:val="36"/>
          <w:lang w:val="en-US" w:eastAsia="zh-CN"/>
        </w:rPr>
        <w:t>2</w:t>
      </w:r>
      <w:r>
        <w:rPr>
          <w:rFonts w:ascii="Times New Roman" w:hAnsi="Times New Roman" w:eastAsia="方正小标宋_GBK" w:cs="Times New Roman"/>
          <w:b w:val="0"/>
          <w:bCs w:val="0"/>
          <w:color w:val="auto"/>
          <w:kern w:val="0"/>
          <w:sz w:val="36"/>
          <w:szCs w:val="36"/>
        </w:rPr>
        <w:t>年度项目支出绩效自评表</w:t>
      </w:r>
      <w:r>
        <w:rPr>
          <w:rFonts w:hint="eastAsia" w:eastAsia="方正小标宋_GBK" w:cs="Times New Roman"/>
          <w:b w:val="0"/>
          <w:bCs w:val="0"/>
          <w:color w:val="auto"/>
          <w:kern w:val="0"/>
          <w:sz w:val="36"/>
          <w:szCs w:val="36"/>
          <w:lang w:val="en-US" w:eastAsia="zh-CN"/>
        </w:rPr>
        <w:t>13</w:t>
      </w:r>
    </w:p>
    <w:tbl>
      <w:tblPr>
        <w:tblStyle w:val="12"/>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6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项目支</w:t>
            </w:r>
          </w:p>
          <w:p>
            <w:pPr>
              <w:widowControl/>
              <w:spacing w:line="26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hint="eastAsia" w:eastAsia="仿宋_GB2312"/>
                <w:b w:val="0"/>
                <w:bCs w:val="0"/>
                <w:color w:val="000000"/>
                <w:kern w:val="0"/>
                <w:szCs w:val="21"/>
              </w:rPr>
              <w:t>就业补助专项</w:t>
            </w:r>
            <w:r>
              <w:rPr>
                <w:rFonts w:ascii="Times New Roman" w:hAnsi="Times New Roman" w:eastAsia="仿宋_GB2312" w:cs="Times New Roman"/>
                <w:b w:val="0"/>
                <w:bCs w:val="0"/>
                <w:color w:val="000000"/>
                <w:kern w:val="0"/>
                <w:szCs w:val="21"/>
              </w:rPr>
              <w:t>　</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hint="eastAsia" w:ascii="方正仿宋_GB2312" w:hAnsi="方正仿宋_GB2312" w:eastAsia="方正仿宋_GB2312" w:cs="方正仿宋_GB2312"/>
                <w:b w:val="0"/>
                <w:bCs w:val="0"/>
                <w:color w:val="000000"/>
                <w:kern w:val="0"/>
                <w:sz w:val="21"/>
                <w:szCs w:val="21"/>
                <w:lang w:eastAsia="zh-CN"/>
              </w:rPr>
              <w:t>湖南建设投资集团有限责任公司</w:t>
            </w:r>
          </w:p>
        </w:tc>
        <w:tc>
          <w:tcPr>
            <w:tcW w:w="1134" w:type="dxa"/>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r>
              <w:rPr>
                <w:rFonts w:hint="eastAsia" w:ascii="Times New Roman" w:hAnsi="Times New Roman" w:eastAsia="仿宋_GB2312" w:cs="Times New Roman"/>
                <w:b w:val="0"/>
                <w:bCs w:val="0"/>
                <w:color w:val="000000"/>
                <w:kern w:val="0"/>
                <w:szCs w:val="21"/>
              </w:rPr>
              <w:t>湖南建筑高级技工学校</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项目资金</w:t>
            </w:r>
            <w:r>
              <w:rPr>
                <w:rFonts w:ascii="Times New Roman" w:hAnsi="Times New Roman" w:eastAsia="仿宋_GB2312" w:cs="Times New Roman"/>
                <w:b w:val="0"/>
                <w:bCs w:val="0"/>
                <w:color w:val="000000"/>
                <w:kern w:val="0"/>
                <w:szCs w:val="21"/>
              </w:rPr>
              <w:br w:type="textWrapping"/>
            </w:r>
            <w:r>
              <w:rPr>
                <w:rFonts w:ascii="Times New Roman" w:hAnsi="Times New Roman" w:eastAsia="仿宋_GB2312" w:cs="Times New Roman"/>
                <w:b w:val="0"/>
                <w:bCs w:val="0"/>
                <w:color w:val="000000"/>
                <w:kern w:val="0"/>
                <w:szCs w:val="21"/>
              </w:rPr>
              <w:t>（万元）</w:t>
            </w:r>
          </w:p>
        </w:tc>
        <w:tc>
          <w:tcPr>
            <w:tcW w:w="2160"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1224" w:type="dxa"/>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年初</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预算数</w:t>
            </w:r>
          </w:p>
        </w:tc>
        <w:tc>
          <w:tcPr>
            <w:tcW w:w="1134" w:type="dxa"/>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全年</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预算数</w:t>
            </w:r>
          </w:p>
        </w:tc>
        <w:tc>
          <w:tcPr>
            <w:tcW w:w="1134" w:type="dxa"/>
            <w:tcBorders>
              <w:top w:val="nil"/>
              <w:left w:val="nil"/>
              <w:bottom w:val="single" w:color="auto" w:sz="4" w:space="0"/>
              <w:right w:val="single" w:color="auto" w:sz="4" w:space="0"/>
            </w:tcBorders>
            <w:noWrap w:val="0"/>
            <w:vAlign w:val="center"/>
          </w:tcPr>
          <w:p>
            <w:pPr>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全年</w:t>
            </w:r>
          </w:p>
          <w:p>
            <w:pPr>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执行数</w:t>
            </w:r>
          </w:p>
        </w:tc>
        <w:tc>
          <w:tcPr>
            <w:tcW w:w="828" w:type="dxa"/>
            <w:tcBorders>
              <w:top w:val="nil"/>
              <w:left w:val="nil"/>
              <w:bottom w:val="single" w:color="auto" w:sz="4" w:space="0"/>
              <w:right w:val="single" w:color="auto" w:sz="4" w:space="0"/>
            </w:tcBorders>
            <w:noWrap w:val="0"/>
            <w:vAlign w:val="center"/>
          </w:tcPr>
          <w:p>
            <w:pPr>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分值</w:t>
            </w:r>
          </w:p>
        </w:tc>
        <w:tc>
          <w:tcPr>
            <w:tcW w:w="873" w:type="dxa"/>
            <w:tcBorders>
              <w:top w:val="nil"/>
              <w:left w:val="nil"/>
              <w:bottom w:val="single" w:color="auto" w:sz="4" w:space="0"/>
              <w:right w:val="single" w:color="auto" w:sz="4" w:space="0"/>
            </w:tcBorders>
            <w:noWrap w:val="0"/>
            <w:vAlign w:val="center"/>
          </w:tcPr>
          <w:p>
            <w:pPr>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执行率</w:t>
            </w:r>
          </w:p>
        </w:tc>
        <w:tc>
          <w:tcPr>
            <w:tcW w:w="1418" w:type="dxa"/>
            <w:tcBorders>
              <w:top w:val="nil"/>
              <w:left w:val="nil"/>
              <w:bottom w:val="single" w:color="auto" w:sz="4" w:space="0"/>
              <w:right w:val="single" w:color="auto" w:sz="4" w:space="0"/>
            </w:tcBorders>
            <w:noWrap w:val="0"/>
            <w:vAlign w:val="center"/>
          </w:tcPr>
          <w:p>
            <w:pPr>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年度资金总额　</w:t>
            </w:r>
          </w:p>
        </w:tc>
        <w:tc>
          <w:tcPr>
            <w:tcW w:w="122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68.1</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b w:val="0"/>
                <w:bCs w:val="0"/>
                <w:color w:val="000000"/>
                <w:kern w:val="0"/>
                <w:szCs w:val="21"/>
                <w:lang w:val="en-US" w:eastAsia="zh-CN"/>
              </w:rPr>
            </w:pPr>
            <w:r>
              <w:rPr>
                <w:rFonts w:ascii="Times New Roman" w:hAnsi="Times New Roman" w:eastAsia="仿宋_GB2312" w:cs="Times New Roman"/>
                <w:b w:val="0"/>
                <w:bCs w:val="0"/>
                <w:color w:val="000000"/>
                <w:kern w:val="0"/>
                <w:szCs w:val="21"/>
              </w:rPr>
              <w:t>　</w:t>
            </w:r>
            <w:r>
              <w:rPr>
                <w:rFonts w:hint="eastAsia" w:ascii="Times New Roman" w:hAnsi="Times New Roman" w:eastAsia="仿宋_GB2312" w:cs="Times New Roman"/>
                <w:b w:val="0"/>
                <w:bCs w:val="0"/>
                <w:color w:val="000000"/>
                <w:kern w:val="0"/>
                <w:szCs w:val="21"/>
                <w:lang w:val="en-US" w:eastAsia="zh-CN"/>
              </w:rPr>
              <w:t>53.9</w:t>
            </w:r>
          </w:p>
        </w:tc>
        <w:tc>
          <w:tcPr>
            <w:tcW w:w="828" w:type="dxa"/>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hint="eastAsia" w:ascii="Times New Roman" w:hAnsi="Times New Roman" w:eastAsia="仿宋_GB2312" w:cs="Times New Roman"/>
                <w:b w:val="0"/>
                <w:bCs w:val="0"/>
                <w:color w:val="000000"/>
                <w:kern w:val="0"/>
                <w:szCs w:val="21"/>
              </w:rPr>
              <w:t>10</w:t>
            </w:r>
          </w:p>
        </w:tc>
        <w:tc>
          <w:tcPr>
            <w:tcW w:w="873"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hint="eastAsia" w:ascii="Times New Roman" w:hAnsi="Times New Roman" w:eastAsia="仿宋_GB2312" w:cs="Times New Roman"/>
                <w:b w:val="0"/>
                <w:bCs w:val="0"/>
                <w:color w:val="000000"/>
                <w:kern w:val="0"/>
                <w:szCs w:val="21"/>
                <w:lang w:val="en-US" w:eastAsia="zh-CN"/>
              </w:rPr>
              <w:t>80</w:t>
            </w:r>
            <w:r>
              <w:rPr>
                <w:rFonts w:hint="eastAsia" w:ascii="Times New Roman" w:hAnsi="Times New Roman" w:eastAsia="仿宋_GB2312" w:cs="Times New Roman"/>
                <w:b w:val="0"/>
                <w:bCs w:val="0"/>
                <w:color w:val="000000"/>
                <w:kern w:val="0"/>
                <w:szCs w:val="21"/>
              </w:rPr>
              <w:t>%</w:t>
            </w:r>
          </w:p>
        </w:tc>
        <w:tc>
          <w:tcPr>
            <w:tcW w:w="1418"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其中：当年财政拨款　</w:t>
            </w:r>
          </w:p>
        </w:tc>
        <w:tc>
          <w:tcPr>
            <w:tcW w:w="122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p>
        </w:tc>
        <w:tc>
          <w:tcPr>
            <w:tcW w:w="1134"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68.1</w:t>
            </w:r>
          </w:p>
        </w:tc>
        <w:tc>
          <w:tcPr>
            <w:tcW w:w="1134"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b w:val="0"/>
                <w:bCs w:val="0"/>
                <w:color w:val="000000"/>
                <w:kern w:val="0"/>
                <w:szCs w:val="21"/>
                <w:lang w:val="en-US" w:eastAsia="zh-CN"/>
              </w:rPr>
            </w:pPr>
            <w:r>
              <w:rPr>
                <w:rFonts w:ascii="Times New Roman" w:hAnsi="Times New Roman" w:eastAsia="仿宋_GB2312" w:cs="Times New Roman"/>
                <w:b w:val="0"/>
                <w:bCs w:val="0"/>
                <w:color w:val="000000"/>
                <w:kern w:val="0"/>
                <w:szCs w:val="21"/>
              </w:rPr>
              <w:t>　</w:t>
            </w:r>
            <w:r>
              <w:rPr>
                <w:rFonts w:hint="eastAsia" w:ascii="Times New Roman" w:hAnsi="Times New Roman" w:eastAsia="仿宋_GB2312" w:cs="Times New Roman"/>
                <w:b w:val="0"/>
                <w:bCs w:val="0"/>
                <w:color w:val="000000"/>
                <w:kern w:val="0"/>
                <w:szCs w:val="21"/>
                <w:lang w:val="en-US" w:eastAsia="zh-CN"/>
              </w:rPr>
              <w:t>53.9</w:t>
            </w:r>
          </w:p>
        </w:tc>
        <w:tc>
          <w:tcPr>
            <w:tcW w:w="828"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hint="eastAsia" w:ascii="Times New Roman" w:hAnsi="Times New Roman" w:eastAsia="仿宋_GB2312" w:cs="Times New Roman"/>
                <w:b w:val="0"/>
                <w:bCs w:val="0"/>
                <w:color w:val="000000"/>
                <w:kern w:val="0"/>
                <w:szCs w:val="21"/>
                <w:lang w:val="en-US" w:eastAsia="zh-CN"/>
              </w:rPr>
              <w:t>80</w:t>
            </w:r>
            <w:r>
              <w:rPr>
                <w:rFonts w:hint="eastAsia" w:ascii="Times New Roman" w:hAnsi="Times New Roman" w:eastAsia="仿宋_GB2312" w:cs="Times New Roman"/>
                <w:b w:val="0"/>
                <w:bCs w:val="0"/>
                <w:color w:val="000000"/>
                <w:kern w:val="0"/>
                <w:szCs w:val="21"/>
              </w:rPr>
              <w:t>%</w:t>
            </w:r>
          </w:p>
        </w:tc>
        <w:tc>
          <w:tcPr>
            <w:tcW w:w="1418"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上年结转资金　</w:t>
            </w:r>
          </w:p>
        </w:tc>
        <w:tc>
          <w:tcPr>
            <w:tcW w:w="122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r>
              <w:rPr>
                <w:rFonts w:hint="eastAsia" w:ascii="Times New Roman" w:hAnsi="Times New Roman" w:eastAsia="仿宋_GB2312" w:cs="Times New Roman"/>
                <w:b w:val="0"/>
                <w:bCs w:val="0"/>
                <w:color w:val="000000"/>
                <w:kern w:val="0"/>
                <w:szCs w:val="21"/>
              </w:rPr>
              <w:t xml:space="preserve"> </w:t>
            </w:r>
          </w:p>
        </w:tc>
        <w:tc>
          <w:tcPr>
            <w:tcW w:w="113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p>
        </w:tc>
        <w:tc>
          <w:tcPr>
            <w:tcW w:w="1418"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p>
        </w:tc>
        <w:tc>
          <w:tcPr>
            <w:tcW w:w="2160" w:type="dxa"/>
            <w:gridSpan w:val="2"/>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其他资金</w:t>
            </w:r>
          </w:p>
        </w:tc>
        <w:tc>
          <w:tcPr>
            <w:tcW w:w="122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1134"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828"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873"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1418"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p>
        </w:tc>
        <w:tc>
          <w:tcPr>
            <w:tcW w:w="4518" w:type="dxa"/>
            <w:gridSpan w:val="4"/>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hint="eastAsia" w:ascii="Times New Roman" w:hAnsi="Times New Roman" w:eastAsia="仿宋_GB2312" w:cs="Times New Roman"/>
                <w:b w:val="0"/>
                <w:bCs w:val="0"/>
                <w:color w:val="000000"/>
                <w:kern w:val="0"/>
                <w:szCs w:val="21"/>
              </w:rPr>
              <w:t>促进职业教育发展，提高学校办学水平系长期目标</w:t>
            </w:r>
            <w:r>
              <w:rPr>
                <w:rFonts w:ascii="Times New Roman" w:hAnsi="Times New Roman" w:eastAsia="仿宋_GB2312" w:cs="Times New Roman"/>
                <w:b w:val="0"/>
                <w:bCs w:val="0"/>
                <w:color w:val="000000"/>
                <w:kern w:val="0"/>
                <w:szCs w:val="21"/>
              </w:rPr>
              <w:t>　　</w:t>
            </w:r>
          </w:p>
        </w:tc>
        <w:tc>
          <w:tcPr>
            <w:tcW w:w="4253" w:type="dxa"/>
            <w:gridSpan w:val="4"/>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r>
              <w:rPr>
                <w:rFonts w:hint="eastAsia" w:ascii="Times New Roman" w:hAnsi="Times New Roman" w:eastAsia="仿宋_GB2312" w:cs="Times New Roman"/>
                <w:b w:val="0"/>
                <w:bCs w:val="0"/>
                <w:color w:val="000000"/>
                <w:kern w:val="0"/>
                <w:szCs w:val="21"/>
              </w:rPr>
              <w:t>促进职业教育发展，提高学校办学水平，年度</w:t>
            </w:r>
            <w:r>
              <w:rPr>
                <w:rFonts w:hint="eastAsia" w:eastAsia="仿宋_GB2312"/>
                <w:b w:val="0"/>
                <w:bCs w:val="0"/>
                <w:color w:val="000000"/>
                <w:kern w:val="0"/>
                <w:szCs w:val="21"/>
              </w:rPr>
              <w:t>师生获得校外技能赛事各类奖项共</w:t>
            </w:r>
            <w:r>
              <w:rPr>
                <w:rFonts w:hint="eastAsia" w:eastAsia="仿宋_GB2312"/>
                <w:b w:val="0"/>
                <w:bCs w:val="0"/>
                <w:color w:val="000000"/>
                <w:kern w:val="0"/>
                <w:szCs w:val="21"/>
                <w:lang w:val="en-US" w:eastAsia="zh-CN"/>
              </w:rPr>
              <w:t>57</w:t>
            </w:r>
            <w:r>
              <w:rPr>
                <w:rFonts w:hint="eastAsia" w:eastAsia="仿宋_GB2312"/>
                <w:b w:val="0"/>
                <w:bCs w:val="0"/>
                <w:color w:val="000000"/>
                <w:kern w:val="0"/>
                <w:szCs w:val="21"/>
              </w:rPr>
              <w:t>人次</w:t>
            </w:r>
          </w:p>
        </w:tc>
      </w:tr>
      <w:tr>
        <w:tblPrEx>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绩</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效</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指</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二级指标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三级指标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年度</w:t>
            </w:r>
          </w:p>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指标值</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实际</w:t>
            </w:r>
          </w:p>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完成值</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分值</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得分</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偏差原因</w:t>
            </w:r>
          </w:p>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分析及</w:t>
            </w:r>
          </w:p>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改进措施</w:t>
            </w:r>
          </w:p>
        </w:tc>
      </w:tr>
      <w:tr>
        <w:tblPrEx>
          <w:tblCellMar>
            <w:top w:w="0" w:type="dxa"/>
            <w:left w:w="108" w:type="dxa"/>
            <w:bottom w:w="0" w:type="dxa"/>
            <w:right w:w="108" w:type="dxa"/>
          </w:tblCellMar>
        </w:tblPrEx>
        <w:trPr>
          <w:trHeight w:val="1901" w:hRule="atLeast"/>
          <w:jc w:val="center"/>
        </w:trPr>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产出指标</w:t>
            </w:r>
          </w:p>
          <w:p>
            <w:pPr>
              <w:widowControl/>
              <w:jc w:val="center"/>
              <w:rPr>
                <w:rFonts w:ascii="Times New Roman" w:hAnsi="Times New Roman" w:eastAsia="仿宋_GB2312" w:cs="Times New Roman"/>
                <w:b w:val="0"/>
                <w:bCs w:val="0"/>
                <w:color w:val="000000"/>
                <w:kern w:val="0"/>
                <w:szCs w:val="21"/>
              </w:rPr>
            </w:pP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(50分)</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数量指标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按期申报就业补助专项资金</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对符合条件的学生进行资格核查，及时准确申报实训补贴资金</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申报人数</w:t>
            </w:r>
            <w:r>
              <w:rPr>
                <w:rFonts w:hint="eastAsia" w:eastAsia="仿宋_GB2312"/>
                <w:b w:val="0"/>
                <w:bCs w:val="0"/>
                <w:color w:val="000000"/>
                <w:kern w:val="0"/>
                <w:szCs w:val="21"/>
                <w:lang w:val="en-US" w:eastAsia="zh-CN"/>
              </w:rPr>
              <w:t>425</w:t>
            </w:r>
            <w:r>
              <w:rPr>
                <w:rFonts w:hint="eastAsia" w:eastAsia="仿宋_GB2312"/>
                <w:b w:val="0"/>
                <w:bCs w:val="0"/>
                <w:color w:val="000000"/>
                <w:kern w:val="0"/>
                <w:szCs w:val="21"/>
              </w:rPr>
              <w:t>人</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质量指标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采购符合国家现行标准的设备设施和材料</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采购符合国家现行标准的设备设施和材料，达到政府采购条件的，实行政府采购</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采购符合国家现行标准的设备设施和材料，达到政府采购条件的，已实行政府采购</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仿宋_GB2312" w:cs="Times New Roman"/>
                <w:b w:val="0"/>
                <w:bCs w:val="0"/>
                <w:color w:val="000000"/>
                <w:kern w:val="0"/>
                <w:szCs w:val="21"/>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lang w:eastAsia="zh-CN"/>
              </w:rPr>
              <w:t>当</w:t>
            </w:r>
            <w:r>
              <w:rPr>
                <w:rFonts w:hint="eastAsia" w:eastAsia="仿宋_GB2312"/>
                <w:b w:val="0"/>
                <w:bCs w:val="0"/>
                <w:color w:val="000000"/>
                <w:kern w:val="0"/>
                <w:szCs w:val="21"/>
              </w:rPr>
              <w:t>年完成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lang w:eastAsia="zh-CN"/>
              </w:rPr>
              <w:t>当年</w:t>
            </w:r>
            <w:r>
              <w:rPr>
                <w:rFonts w:hint="eastAsia" w:eastAsia="仿宋_GB2312"/>
                <w:b w:val="0"/>
                <w:bCs w:val="0"/>
                <w:color w:val="000000"/>
                <w:kern w:val="0"/>
                <w:szCs w:val="21"/>
              </w:rPr>
              <w:t>完成</w:t>
            </w:r>
            <w:r>
              <w:rPr>
                <w:rFonts w:hint="eastAsia" w:eastAsia="仿宋_GB2312"/>
                <w:b w:val="0"/>
                <w:bCs w:val="0"/>
                <w:color w:val="000000"/>
                <w:kern w:val="0"/>
                <w:szCs w:val="21"/>
                <w:lang w:val="en-US" w:eastAsia="zh-CN"/>
              </w:rPr>
              <w:t>95</w:t>
            </w:r>
            <w:r>
              <w:rPr>
                <w:rFonts w:hint="eastAsia" w:eastAsia="仿宋_GB2312"/>
                <w:b w:val="0"/>
                <w:bCs w:val="0"/>
                <w:color w:val="000000"/>
                <w:kern w:val="0"/>
                <w:szCs w:val="21"/>
              </w:rPr>
              <w:t>%以上的指标支付</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lang w:eastAsia="zh-CN"/>
              </w:rPr>
              <w:t>202</w:t>
            </w:r>
            <w:r>
              <w:rPr>
                <w:rFonts w:hint="eastAsia" w:eastAsia="仿宋_GB2312"/>
                <w:b w:val="0"/>
                <w:bCs w:val="0"/>
                <w:color w:val="000000"/>
                <w:kern w:val="0"/>
                <w:szCs w:val="21"/>
                <w:lang w:val="en-US" w:eastAsia="zh-CN"/>
              </w:rPr>
              <w:t>2</w:t>
            </w:r>
            <w:r>
              <w:rPr>
                <w:rFonts w:hint="eastAsia" w:eastAsia="仿宋_GB2312"/>
                <w:b w:val="0"/>
                <w:bCs w:val="0"/>
                <w:color w:val="000000"/>
                <w:kern w:val="0"/>
                <w:szCs w:val="21"/>
              </w:rPr>
              <w:t>年累计支出</w:t>
            </w:r>
            <w:r>
              <w:rPr>
                <w:rFonts w:hint="eastAsia" w:eastAsia="仿宋_GB2312"/>
                <w:b w:val="0"/>
                <w:bCs w:val="0"/>
                <w:color w:val="000000"/>
                <w:kern w:val="0"/>
                <w:szCs w:val="21"/>
                <w:lang w:val="en-US" w:eastAsia="zh-CN"/>
              </w:rPr>
              <w:t>53.9</w:t>
            </w:r>
            <w:r>
              <w:rPr>
                <w:rFonts w:hint="eastAsia" w:eastAsia="仿宋_GB2312"/>
                <w:b w:val="0"/>
                <w:bCs w:val="0"/>
                <w:color w:val="000000"/>
                <w:kern w:val="0"/>
                <w:szCs w:val="21"/>
              </w:rPr>
              <w:t>万，预算完成率</w:t>
            </w:r>
            <w:r>
              <w:rPr>
                <w:rFonts w:hint="eastAsia" w:eastAsia="仿宋_GB2312"/>
                <w:b w:val="0"/>
                <w:bCs w:val="0"/>
                <w:color w:val="000000"/>
                <w:kern w:val="0"/>
                <w:szCs w:val="21"/>
                <w:lang w:val="en-US" w:eastAsia="zh-CN"/>
              </w:rPr>
              <w:t>80</w:t>
            </w:r>
            <w:r>
              <w:rPr>
                <w:rFonts w:hint="eastAsia" w:eastAsia="仿宋_GB2312"/>
                <w:b w:val="0"/>
                <w:bCs w:val="0"/>
                <w:color w:val="000000"/>
                <w:kern w:val="0"/>
                <w:szCs w:val="21"/>
              </w:rPr>
              <w:t>%</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15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rPr>
              <w:t>1</w:t>
            </w:r>
            <w:r>
              <w:rPr>
                <w:rFonts w:hint="eastAsia" w:eastAsia="仿宋_GB2312"/>
                <w:b w:val="0"/>
                <w:bCs w:val="0"/>
                <w:color w:val="000000"/>
                <w:kern w:val="0"/>
                <w:szCs w:val="21"/>
                <w:lang w:val="en-US" w:eastAsia="zh-CN"/>
              </w:rPr>
              <w:t>2</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eastAsia="仿宋_GB2312"/>
                <w:b w:val="0"/>
                <w:bCs w:val="0"/>
                <w:color w:val="000000"/>
                <w:kern w:val="0"/>
                <w:szCs w:val="21"/>
                <w:lang w:eastAsia="zh-CN"/>
              </w:rPr>
            </w:pPr>
            <w:r>
              <w:rPr>
                <w:rFonts w:hint="eastAsia" w:eastAsia="仿宋_GB2312"/>
                <w:b w:val="0"/>
                <w:bCs w:val="0"/>
                <w:color w:val="000000"/>
                <w:kern w:val="0"/>
                <w:szCs w:val="21"/>
                <w:lang w:eastAsia="zh-CN"/>
              </w:rPr>
              <w:t>因指标下半年下达，第二学期能执行完成。</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restart"/>
            <w:tcBorders>
              <w:top w:val="nil"/>
              <w:left w:val="nil"/>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成本指标</w:t>
            </w:r>
          </w:p>
        </w:tc>
        <w:tc>
          <w:tcPr>
            <w:tcW w:w="1224"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学生实训材料人均成本1600元</w:t>
            </w:r>
          </w:p>
        </w:tc>
        <w:tc>
          <w:tcPr>
            <w:tcW w:w="1134"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年度指标值</w:t>
            </w:r>
            <w:r>
              <w:rPr>
                <w:rFonts w:hint="eastAsia" w:eastAsia="仿宋_GB2312"/>
                <w:b w:val="0"/>
                <w:bCs w:val="0"/>
                <w:color w:val="000000"/>
                <w:kern w:val="0"/>
                <w:szCs w:val="21"/>
                <w:lang w:val="en-US" w:eastAsia="zh-CN"/>
              </w:rPr>
              <w:t>68.1</w:t>
            </w:r>
            <w:r>
              <w:rPr>
                <w:rFonts w:hint="eastAsia" w:eastAsia="仿宋_GB2312"/>
                <w:b w:val="0"/>
                <w:bCs w:val="0"/>
                <w:color w:val="000000"/>
                <w:kern w:val="0"/>
                <w:szCs w:val="21"/>
              </w:rPr>
              <w:t>万元</w:t>
            </w:r>
          </w:p>
        </w:tc>
        <w:tc>
          <w:tcPr>
            <w:tcW w:w="1134"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实际完成值</w:t>
            </w:r>
            <w:r>
              <w:rPr>
                <w:rFonts w:hint="eastAsia" w:eastAsia="仿宋_GB2312"/>
                <w:b w:val="0"/>
                <w:bCs w:val="0"/>
                <w:color w:val="000000"/>
                <w:kern w:val="0"/>
                <w:szCs w:val="21"/>
                <w:lang w:val="en-US" w:eastAsia="zh-CN"/>
              </w:rPr>
              <w:t>53.9</w:t>
            </w:r>
            <w:r>
              <w:rPr>
                <w:rFonts w:hint="eastAsia" w:eastAsia="仿宋_GB2312"/>
                <w:b w:val="0"/>
                <w:bCs w:val="0"/>
                <w:color w:val="000000"/>
                <w:kern w:val="0"/>
                <w:szCs w:val="21"/>
              </w:rPr>
              <w:t>万元</w:t>
            </w:r>
          </w:p>
        </w:tc>
        <w:tc>
          <w:tcPr>
            <w:tcW w:w="828" w:type="dxa"/>
            <w:tcBorders>
              <w:top w:val="nil"/>
              <w:left w:val="nil"/>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15</w:t>
            </w:r>
          </w:p>
        </w:tc>
        <w:tc>
          <w:tcPr>
            <w:tcW w:w="873" w:type="dxa"/>
            <w:tcBorders>
              <w:top w:val="nil"/>
              <w:left w:val="nil"/>
              <w:bottom w:val="single" w:color="auto" w:sz="4" w:space="0"/>
              <w:right w:val="single" w:color="auto" w:sz="4" w:space="0"/>
            </w:tcBorders>
            <w:noWrap w:val="0"/>
            <w:vAlign w:val="center"/>
          </w:tcPr>
          <w:p>
            <w:pPr>
              <w:widowControl/>
              <w:jc w:val="left"/>
              <w:rPr>
                <w:rFonts w:hint="eastAsia" w:eastAsia="仿宋_GB2312"/>
                <w:b w:val="0"/>
                <w:bCs w:val="0"/>
                <w:color w:val="000000"/>
                <w:kern w:val="0"/>
                <w:szCs w:val="21"/>
                <w:lang w:val="en-US" w:eastAsia="zh-CN"/>
              </w:rPr>
            </w:pPr>
            <w:r>
              <w:rPr>
                <w:rFonts w:eastAsia="仿宋_GB2312"/>
                <w:b w:val="0"/>
                <w:bCs w:val="0"/>
                <w:color w:val="000000"/>
                <w:kern w:val="0"/>
                <w:szCs w:val="21"/>
              </w:rPr>
              <w:t>　</w:t>
            </w:r>
            <w:r>
              <w:rPr>
                <w:rFonts w:hint="eastAsia" w:eastAsia="仿宋_GB2312"/>
                <w:b w:val="0"/>
                <w:bCs w:val="0"/>
                <w:color w:val="000000"/>
                <w:kern w:val="0"/>
                <w:szCs w:val="21"/>
              </w:rPr>
              <w:t>1</w:t>
            </w:r>
            <w:r>
              <w:rPr>
                <w:rFonts w:hint="eastAsia" w:eastAsia="仿宋_GB2312"/>
                <w:b w:val="0"/>
                <w:bCs w:val="0"/>
                <w:color w:val="000000"/>
                <w:kern w:val="0"/>
                <w:szCs w:val="21"/>
                <w:lang w:val="en-US" w:eastAsia="zh-CN"/>
              </w:rPr>
              <w:t>5</w:t>
            </w:r>
          </w:p>
        </w:tc>
        <w:tc>
          <w:tcPr>
            <w:tcW w:w="1418"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left w:val="single" w:color="auto" w:sz="4" w:space="0"/>
              <w:bottom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left w:val="nil"/>
              <w:bottom w:val="single" w:color="auto" w:sz="4" w:space="0"/>
              <w:right w:val="single" w:color="auto" w:sz="4" w:space="0"/>
            </w:tcBorders>
            <w:noWrap w:val="0"/>
            <w:vAlign w:val="center"/>
          </w:tcPr>
          <w:p>
            <w:pPr>
              <w:jc w:val="center"/>
              <w:rPr>
                <w:rFonts w:ascii="Times New Roman" w:hAnsi="Times New Roman" w:eastAsia="仿宋_GB2312" w:cs="Times New Roman"/>
                <w:b w:val="0"/>
                <w:bCs w:val="0"/>
                <w:color w:val="000000"/>
                <w:kern w:val="0"/>
                <w:szCs w:val="21"/>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项目是否直接或间接产生经济效益</w:t>
            </w:r>
          </w:p>
        </w:tc>
        <w:tc>
          <w:tcPr>
            <w:tcW w:w="1134" w:type="dxa"/>
            <w:tcBorders>
              <w:top w:val="single" w:color="auto" w:sz="4" w:space="0"/>
              <w:left w:val="nil"/>
              <w:bottom w:val="single" w:color="auto" w:sz="4" w:space="0"/>
              <w:right w:val="single" w:color="auto" w:sz="4" w:space="0"/>
            </w:tcBorders>
            <w:noWrap w:val="0"/>
            <w:vAlign w:val="center"/>
          </w:tcPr>
          <w:p>
            <w:pPr>
              <w:jc w:val="left"/>
              <w:rPr>
                <w:rFonts w:eastAsia="仿宋_GB2312"/>
                <w:b w:val="0"/>
                <w:bCs w:val="0"/>
                <w:color w:val="000000"/>
                <w:kern w:val="0"/>
                <w:szCs w:val="21"/>
              </w:rPr>
            </w:pPr>
            <w:r>
              <w:rPr>
                <w:rFonts w:hint="eastAsia" w:eastAsia="仿宋_GB2312"/>
                <w:b w:val="0"/>
                <w:bCs w:val="0"/>
                <w:color w:val="000000"/>
                <w:kern w:val="0"/>
                <w:szCs w:val="21"/>
              </w:rPr>
              <w:t>增加实训设备、实训材料投入后，提高学生动手实操能力</w:t>
            </w:r>
          </w:p>
          <w:p>
            <w:pPr>
              <w:widowControl/>
              <w:jc w:val="left"/>
              <w:rPr>
                <w:rFonts w:eastAsia="仿宋_GB2312"/>
                <w:b w:val="0"/>
                <w:bCs w:val="0"/>
                <w:color w:val="000000"/>
                <w:kern w:val="0"/>
                <w:szCs w:val="21"/>
              </w:rPr>
            </w:pP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lang w:eastAsia="zh-CN"/>
              </w:rPr>
              <w:t>202</w:t>
            </w:r>
            <w:r>
              <w:rPr>
                <w:rFonts w:hint="eastAsia" w:eastAsia="仿宋_GB2312"/>
                <w:b w:val="0"/>
                <w:bCs w:val="0"/>
                <w:color w:val="000000"/>
                <w:kern w:val="0"/>
                <w:szCs w:val="21"/>
                <w:lang w:val="en-US" w:eastAsia="zh-CN"/>
              </w:rPr>
              <w:t>2</w:t>
            </w:r>
            <w:r>
              <w:rPr>
                <w:rFonts w:hint="eastAsia" w:eastAsia="仿宋_GB2312"/>
                <w:b w:val="0"/>
                <w:bCs w:val="0"/>
                <w:color w:val="000000"/>
                <w:kern w:val="0"/>
                <w:szCs w:val="21"/>
              </w:rPr>
              <w:t>年度师生获得校外技能赛事各类奖项共</w:t>
            </w:r>
            <w:r>
              <w:rPr>
                <w:rFonts w:hint="eastAsia" w:eastAsia="仿宋_GB2312"/>
                <w:b w:val="0"/>
                <w:bCs w:val="0"/>
                <w:color w:val="000000"/>
                <w:kern w:val="0"/>
                <w:szCs w:val="21"/>
                <w:lang w:val="en-US" w:eastAsia="zh-CN"/>
              </w:rPr>
              <w:t>57</w:t>
            </w:r>
            <w:r>
              <w:rPr>
                <w:rFonts w:hint="eastAsia" w:eastAsia="仿宋_GB2312"/>
                <w:b w:val="0"/>
                <w:bCs w:val="0"/>
                <w:color w:val="000000"/>
                <w:kern w:val="0"/>
                <w:szCs w:val="21"/>
              </w:rPr>
              <w:t>人次</w:t>
            </w:r>
          </w:p>
        </w:tc>
        <w:tc>
          <w:tcPr>
            <w:tcW w:w="828"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highlight w:val="yellow"/>
              </w:rPr>
            </w:pPr>
            <w:r>
              <w:rPr>
                <w:rFonts w:hint="eastAsia" w:eastAsia="仿宋_GB2312"/>
                <w:b w:val="0"/>
                <w:bCs w:val="0"/>
                <w:color w:val="000000"/>
                <w:kern w:val="0"/>
                <w:szCs w:val="21"/>
              </w:rPr>
              <w:t xml:space="preserve"> 10</w:t>
            </w:r>
          </w:p>
        </w:tc>
        <w:tc>
          <w:tcPr>
            <w:tcW w:w="873"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10</w:t>
            </w:r>
          </w:p>
        </w:tc>
        <w:tc>
          <w:tcPr>
            <w:tcW w:w="1418"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top w:val="single" w:color="auto" w:sz="4" w:space="0"/>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提升学生技能，稳定学生就业率</w:t>
            </w:r>
          </w:p>
        </w:tc>
        <w:tc>
          <w:tcPr>
            <w:tcW w:w="1134"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在一定程度上，增强技工教育的吸引力，稳定学生就业率</w:t>
            </w:r>
          </w:p>
        </w:tc>
        <w:tc>
          <w:tcPr>
            <w:tcW w:w="1134"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超额完成年度招生目标，学生就业率达95%以上</w:t>
            </w:r>
          </w:p>
        </w:tc>
        <w:tc>
          <w:tcPr>
            <w:tcW w:w="828"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10</w:t>
            </w:r>
          </w:p>
        </w:tc>
        <w:tc>
          <w:tcPr>
            <w:tcW w:w="873" w:type="dxa"/>
            <w:tcBorders>
              <w:top w:val="nil"/>
              <w:left w:val="nil"/>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10</w:t>
            </w:r>
          </w:p>
        </w:tc>
        <w:tc>
          <w:tcPr>
            <w:tcW w:w="1418"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vMerge w:val="continue"/>
            <w:tcBorders>
              <w:left w:val="nil"/>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224"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采购符合现行国家标准的设备设施和材料</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采购符合现行国家标准的设备设施和材料，达到政府采购条件的，实行政府采购</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eastAsia="仿宋_GB2312"/>
                <w:b w:val="0"/>
                <w:bCs w:val="0"/>
                <w:color w:val="000000"/>
                <w:kern w:val="0"/>
                <w:szCs w:val="21"/>
              </w:rPr>
              <w:t>　</w:t>
            </w:r>
            <w:r>
              <w:rPr>
                <w:rFonts w:hint="eastAsia" w:eastAsia="仿宋_GB2312"/>
                <w:b w:val="0"/>
                <w:bCs w:val="0"/>
                <w:color w:val="000000"/>
                <w:kern w:val="0"/>
                <w:szCs w:val="21"/>
              </w:rPr>
              <w:t>采购符合现行国家标准的设备设施和材料，达到政府采购条件的，已实行政府采购</w:t>
            </w:r>
          </w:p>
        </w:tc>
        <w:tc>
          <w:tcPr>
            <w:tcW w:w="828"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5</w:t>
            </w:r>
          </w:p>
        </w:tc>
        <w:tc>
          <w:tcPr>
            <w:tcW w:w="873"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5</w:t>
            </w:r>
          </w:p>
        </w:tc>
        <w:tc>
          <w:tcPr>
            <w:tcW w:w="1418"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p>
        </w:tc>
      </w:tr>
      <w:tr>
        <w:tblPrEx>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绩</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效</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指</w:t>
            </w:r>
          </w:p>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标</w:t>
            </w:r>
          </w:p>
        </w:tc>
        <w:tc>
          <w:tcPr>
            <w:tcW w:w="1080" w:type="dxa"/>
            <w:tcBorders>
              <w:top w:val="single" w:color="auto" w:sz="4" w:space="0"/>
              <w:left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c>
          <w:tcPr>
            <w:tcW w:w="1080" w:type="dxa"/>
            <w:tcBorders>
              <w:top w:val="single" w:color="auto" w:sz="4" w:space="0"/>
              <w:left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可持续影响指标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在专项政策期限内可持续</w:t>
            </w:r>
          </w:p>
        </w:tc>
        <w:tc>
          <w:tcPr>
            <w:tcW w:w="1134" w:type="dxa"/>
            <w:tcBorders>
              <w:top w:val="single" w:color="auto" w:sz="4" w:space="0"/>
              <w:left w:val="single" w:color="auto" w:sz="4" w:space="0"/>
              <w:bottom w:val="single" w:color="auto" w:sz="4" w:space="0"/>
              <w:right w:val="single" w:color="auto" w:sz="4" w:space="0"/>
            </w:tcBorders>
            <w:noWrap w:val="0"/>
            <w:vAlign w:val="top"/>
          </w:tcPr>
          <w:p>
            <w:pPr>
              <w:rPr>
                <w:b w:val="0"/>
                <w:bCs w:val="0"/>
              </w:rPr>
            </w:pPr>
            <w:r>
              <w:rPr>
                <w:rFonts w:hint="eastAsia" w:eastAsia="仿宋_GB2312"/>
                <w:b w:val="0"/>
                <w:bCs w:val="0"/>
                <w:color w:val="000000"/>
                <w:kern w:val="0"/>
                <w:szCs w:val="21"/>
              </w:rPr>
              <w:t>在专项政策期限内可持续</w:t>
            </w:r>
          </w:p>
        </w:tc>
        <w:tc>
          <w:tcPr>
            <w:tcW w:w="1134" w:type="dxa"/>
            <w:tcBorders>
              <w:top w:val="single" w:color="auto" w:sz="4" w:space="0"/>
              <w:left w:val="single" w:color="auto" w:sz="4" w:space="0"/>
              <w:bottom w:val="single" w:color="auto" w:sz="4" w:space="0"/>
              <w:right w:val="single" w:color="auto" w:sz="4" w:space="0"/>
            </w:tcBorders>
            <w:noWrap w:val="0"/>
            <w:vAlign w:val="top"/>
          </w:tcPr>
          <w:p>
            <w:pPr>
              <w:rPr>
                <w:b w:val="0"/>
                <w:bCs w:val="0"/>
              </w:rPr>
            </w:pPr>
            <w:r>
              <w:rPr>
                <w:rFonts w:hint="eastAsia" w:eastAsia="仿宋_GB2312"/>
                <w:b w:val="0"/>
                <w:bCs w:val="0"/>
                <w:color w:val="000000"/>
                <w:kern w:val="0"/>
                <w:szCs w:val="21"/>
              </w:rPr>
              <w:t>在专项政策期限内可持续</w:t>
            </w:r>
          </w:p>
        </w:tc>
        <w:tc>
          <w:tcPr>
            <w:tcW w:w="8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jc w:val="left"/>
              <w:rPr>
                <w:rFonts w:ascii="Times New Roman" w:hAnsi="Times New Roman" w:eastAsia="仿宋_GB2312" w:cs="Times New Roman"/>
                <w:b w:val="0"/>
                <w:bCs w:val="0"/>
                <w:color w:val="000000"/>
                <w:kern w:val="0"/>
                <w:szCs w:val="21"/>
              </w:rPr>
            </w:pPr>
          </w:p>
        </w:tc>
        <w:tc>
          <w:tcPr>
            <w:tcW w:w="1080" w:type="dxa"/>
            <w:tcBorders>
              <w:top w:val="single" w:color="auto" w:sz="4" w:space="0"/>
              <w:left w:val="nil"/>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满意度</w:t>
            </w:r>
          </w:p>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指标</w:t>
            </w:r>
          </w:p>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（10分）</w:t>
            </w:r>
          </w:p>
        </w:tc>
        <w:tc>
          <w:tcPr>
            <w:tcW w:w="1080" w:type="dxa"/>
            <w:tcBorders>
              <w:top w:val="single" w:color="auto" w:sz="4" w:space="0"/>
              <w:left w:val="nil"/>
              <w:right w:val="single" w:color="auto" w:sz="4" w:space="0"/>
            </w:tcBorders>
            <w:noWrap w:val="0"/>
            <w:vAlign w:val="center"/>
          </w:tcPr>
          <w:p>
            <w:pPr>
              <w:widowControl/>
              <w:spacing w:line="240" w:lineRule="exact"/>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服务对象满意度指标</w:t>
            </w:r>
          </w:p>
        </w:tc>
        <w:tc>
          <w:tcPr>
            <w:tcW w:w="1224"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r>
              <w:rPr>
                <w:rFonts w:hint="eastAsia" w:eastAsia="仿宋_GB2312"/>
                <w:b w:val="0"/>
                <w:bCs w:val="0"/>
                <w:color w:val="000000"/>
                <w:kern w:val="0"/>
                <w:szCs w:val="21"/>
              </w:rPr>
              <w:t>师生整体满意度达95%以上</w:t>
            </w:r>
          </w:p>
        </w:tc>
        <w:tc>
          <w:tcPr>
            <w:tcW w:w="1134" w:type="dxa"/>
            <w:tcBorders>
              <w:top w:val="nil"/>
              <w:left w:val="nil"/>
              <w:bottom w:val="single" w:color="auto" w:sz="4" w:space="0"/>
              <w:right w:val="single" w:color="auto" w:sz="4" w:space="0"/>
            </w:tcBorders>
            <w:noWrap w:val="0"/>
            <w:vAlign w:val="top"/>
          </w:tcPr>
          <w:p>
            <w:pPr>
              <w:rPr>
                <w:b w:val="0"/>
                <w:bCs w:val="0"/>
              </w:rPr>
            </w:pPr>
            <w:r>
              <w:rPr>
                <w:rFonts w:hint="eastAsia" w:eastAsia="仿宋_GB2312"/>
                <w:b w:val="0"/>
                <w:bCs w:val="0"/>
                <w:color w:val="000000"/>
                <w:kern w:val="0"/>
                <w:szCs w:val="21"/>
              </w:rPr>
              <w:t>师生整体满意度达95%以上</w:t>
            </w:r>
          </w:p>
        </w:tc>
        <w:tc>
          <w:tcPr>
            <w:tcW w:w="1134" w:type="dxa"/>
            <w:tcBorders>
              <w:top w:val="nil"/>
              <w:left w:val="nil"/>
              <w:bottom w:val="single" w:color="auto" w:sz="4" w:space="0"/>
              <w:right w:val="single" w:color="auto" w:sz="4" w:space="0"/>
            </w:tcBorders>
            <w:noWrap w:val="0"/>
            <w:vAlign w:val="top"/>
          </w:tcPr>
          <w:p>
            <w:pPr>
              <w:rPr>
                <w:b w:val="0"/>
                <w:bCs w:val="0"/>
              </w:rPr>
            </w:pPr>
            <w:r>
              <w:rPr>
                <w:rFonts w:hint="eastAsia" w:eastAsia="仿宋_GB2312"/>
                <w:b w:val="0"/>
                <w:bCs w:val="0"/>
                <w:color w:val="000000"/>
                <w:kern w:val="0"/>
                <w:szCs w:val="21"/>
              </w:rPr>
              <w:t>师生整体满意度达95%以上</w:t>
            </w:r>
          </w:p>
        </w:tc>
        <w:tc>
          <w:tcPr>
            <w:tcW w:w="828" w:type="dxa"/>
            <w:tcBorders>
              <w:top w:val="nil"/>
              <w:left w:val="nil"/>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10</w:t>
            </w:r>
          </w:p>
        </w:tc>
        <w:tc>
          <w:tcPr>
            <w:tcW w:w="873" w:type="dxa"/>
            <w:tcBorders>
              <w:top w:val="nil"/>
              <w:left w:val="nil"/>
              <w:bottom w:val="single" w:color="auto" w:sz="4" w:space="0"/>
              <w:right w:val="single" w:color="auto" w:sz="4" w:space="0"/>
            </w:tcBorders>
            <w:noWrap w:val="0"/>
            <w:vAlign w:val="center"/>
          </w:tcPr>
          <w:p>
            <w:pPr>
              <w:widowControl/>
              <w:jc w:val="center"/>
              <w:rPr>
                <w:rFonts w:eastAsia="仿宋_GB2312"/>
                <w:b w:val="0"/>
                <w:bCs w:val="0"/>
                <w:color w:val="000000"/>
                <w:kern w:val="0"/>
                <w:szCs w:val="21"/>
              </w:rPr>
            </w:pPr>
            <w:r>
              <w:rPr>
                <w:rFonts w:hint="eastAsia" w:eastAsia="仿宋_GB2312"/>
                <w:b w:val="0"/>
                <w:bCs w:val="0"/>
                <w:color w:val="000000"/>
                <w:kern w:val="0"/>
                <w:szCs w:val="21"/>
              </w:rPr>
              <w:t>10</w:t>
            </w:r>
          </w:p>
        </w:tc>
        <w:tc>
          <w:tcPr>
            <w:tcW w:w="1418" w:type="dxa"/>
            <w:tcBorders>
              <w:top w:val="nil"/>
              <w:left w:val="nil"/>
              <w:bottom w:val="single" w:color="auto" w:sz="4" w:space="0"/>
              <w:right w:val="single" w:color="auto" w:sz="4" w:space="0"/>
            </w:tcBorders>
            <w:noWrap w:val="0"/>
            <w:vAlign w:val="center"/>
          </w:tcPr>
          <w:p>
            <w:pPr>
              <w:widowControl/>
              <w:jc w:val="left"/>
              <w:rPr>
                <w:rFonts w:eastAsia="仿宋_GB2312"/>
                <w:b w:val="0"/>
                <w:bCs w:val="0"/>
                <w:color w:val="000000"/>
                <w:kern w:val="0"/>
                <w:szCs w:val="21"/>
              </w:rPr>
            </w:pP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总分</w:t>
            </w:r>
          </w:p>
        </w:tc>
        <w:tc>
          <w:tcPr>
            <w:tcW w:w="828" w:type="dxa"/>
            <w:tcBorders>
              <w:top w:val="nil"/>
              <w:left w:val="nil"/>
              <w:bottom w:val="single" w:color="auto" w:sz="4" w:space="0"/>
              <w:right w:val="single" w:color="auto" w:sz="4" w:space="0"/>
            </w:tcBorders>
            <w:noWrap w:val="0"/>
            <w:vAlign w:val="center"/>
          </w:tcPr>
          <w:p>
            <w:pPr>
              <w:widowControl/>
              <w:jc w:val="center"/>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100</w:t>
            </w:r>
          </w:p>
        </w:tc>
        <w:tc>
          <w:tcPr>
            <w:tcW w:w="873" w:type="dxa"/>
            <w:tcBorders>
              <w:top w:val="nil"/>
              <w:left w:val="nil"/>
              <w:bottom w:val="single" w:color="auto" w:sz="4" w:space="0"/>
              <w:right w:val="single" w:color="auto" w:sz="4" w:space="0"/>
            </w:tcBorders>
            <w:noWrap w:val="0"/>
            <w:vAlign w:val="center"/>
          </w:tcPr>
          <w:p>
            <w:pPr>
              <w:widowControl/>
              <w:jc w:val="left"/>
              <w:rPr>
                <w:rFonts w:hint="default" w:ascii="Times New Roman" w:hAnsi="Times New Roman" w:eastAsia="仿宋_GB2312" w:cs="Times New Roman"/>
                <w:b w:val="0"/>
                <w:bCs w:val="0"/>
                <w:color w:val="000000"/>
                <w:kern w:val="0"/>
                <w:szCs w:val="21"/>
                <w:lang w:val="en-US" w:eastAsia="zh-CN"/>
              </w:rPr>
            </w:pPr>
            <w:r>
              <w:rPr>
                <w:rFonts w:ascii="Times New Roman" w:hAnsi="Times New Roman" w:eastAsia="仿宋_GB2312" w:cs="Times New Roman"/>
                <w:b w:val="0"/>
                <w:bCs w:val="0"/>
                <w:color w:val="000000"/>
                <w:kern w:val="0"/>
                <w:szCs w:val="21"/>
              </w:rPr>
              <w:t>　</w:t>
            </w:r>
            <w:r>
              <w:rPr>
                <w:rFonts w:hint="eastAsia" w:ascii="Times New Roman" w:hAnsi="Times New Roman" w:eastAsia="仿宋_GB2312" w:cs="Times New Roman"/>
                <w:b w:val="0"/>
                <w:bCs w:val="0"/>
                <w:color w:val="000000"/>
                <w:kern w:val="0"/>
                <w:szCs w:val="21"/>
                <w:lang w:val="en-US" w:eastAsia="zh-CN"/>
              </w:rPr>
              <w:t>97</w:t>
            </w:r>
          </w:p>
        </w:tc>
        <w:tc>
          <w:tcPr>
            <w:tcW w:w="1418" w:type="dxa"/>
            <w:tcBorders>
              <w:top w:val="nil"/>
              <w:left w:val="nil"/>
              <w:bottom w:val="single" w:color="auto" w:sz="4" w:space="0"/>
              <w:right w:val="single" w:color="auto" w:sz="4" w:space="0"/>
            </w:tcBorders>
            <w:noWrap w:val="0"/>
            <w:vAlign w:val="center"/>
          </w:tcPr>
          <w:p>
            <w:pPr>
              <w:widowControl/>
              <w:jc w:val="left"/>
              <w:rPr>
                <w:rFonts w:ascii="Times New Roman" w:hAnsi="Times New Roman" w:eastAsia="仿宋_GB2312" w:cs="Times New Roman"/>
                <w:b w:val="0"/>
                <w:bCs w:val="0"/>
                <w:color w:val="000000"/>
                <w:kern w:val="0"/>
                <w:szCs w:val="21"/>
              </w:rPr>
            </w:pPr>
            <w:r>
              <w:rPr>
                <w:rFonts w:ascii="Times New Roman" w:hAnsi="Times New Roman" w:eastAsia="仿宋_GB2312" w:cs="Times New Roman"/>
                <w:b w:val="0"/>
                <w:bCs w:val="0"/>
                <w:color w:val="000000"/>
                <w:kern w:val="0"/>
                <w:szCs w:val="21"/>
              </w:rPr>
              <w:t>　</w:t>
            </w:r>
          </w:p>
        </w:tc>
      </w:tr>
    </w:tbl>
    <w:p>
      <w:pPr>
        <w:widowControl/>
        <w:spacing w:beforeLines="50" w:afterLines="50"/>
        <w:jc w:val="left"/>
        <w:rPr>
          <w:rFonts w:hint="eastAsia" w:ascii="Times New Roman" w:hAnsi="Times New Roman" w:eastAsia="仿宋_GB2312" w:cs="Times New Roman"/>
          <w:b w:val="0"/>
          <w:bCs w:val="0"/>
          <w:kern w:val="0"/>
          <w:szCs w:val="21"/>
          <w:lang w:eastAsia="zh-CN"/>
        </w:rPr>
      </w:pPr>
      <w:r>
        <w:rPr>
          <w:rFonts w:ascii="Times New Roman" w:hAnsi="Times New Roman" w:eastAsia="仿宋_GB2312" w:cs="Times New Roman"/>
          <w:b w:val="0"/>
          <w:bCs w:val="0"/>
          <w:kern w:val="0"/>
          <w:szCs w:val="21"/>
        </w:rPr>
        <w:t>填表人：</w:t>
      </w:r>
      <w:r>
        <w:rPr>
          <w:rFonts w:hint="eastAsia" w:ascii="Times New Roman" w:hAnsi="Times New Roman" w:eastAsia="仿宋_GB2312" w:cs="Times New Roman"/>
          <w:b w:val="0"/>
          <w:bCs w:val="0"/>
          <w:kern w:val="0"/>
          <w:szCs w:val="21"/>
          <w:lang w:eastAsia="zh-CN"/>
        </w:rPr>
        <w:t>肖潇</w:t>
      </w:r>
      <w:r>
        <w:rPr>
          <w:rFonts w:ascii="Times New Roman" w:hAnsi="Times New Roman" w:eastAsia="仿宋_GB2312" w:cs="Times New Roman"/>
          <w:b w:val="0"/>
          <w:bCs w:val="0"/>
          <w:kern w:val="0"/>
          <w:szCs w:val="21"/>
        </w:rPr>
        <w:t xml:space="preserve"> 填报日期： </w:t>
      </w:r>
      <w:r>
        <w:rPr>
          <w:rFonts w:hint="eastAsia" w:ascii="Times New Roman" w:hAnsi="Times New Roman" w:eastAsia="仿宋_GB2312" w:cs="Times New Roman"/>
          <w:b w:val="0"/>
          <w:bCs w:val="0"/>
          <w:kern w:val="0"/>
          <w:szCs w:val="21"/>
        </w:rPr>
        <w:t>202</w:t>
      </w:r>
      <w:r>
        <w:rPr>
          <w:rFonts w:hint="eastAsia" w:ascii="Times New Roman" w:hAnsi="Times New Roman" w:eastAsia="仿宋_GB2312" w:cs="Times New Roman"/>
          <w:b w:val="0"/>
          <w:bCs w:val="0"/>
          <w:kern w:val="0"/>
          <w:szCs w:val="21"/>
          <w:lang w:val="en-US" w:eastAsia="zh-CN"/>
        </w:rPr>
        <w:t>3</w:t>
      </w:r>
      <w:r>
        <w:rPr>
          <w:rFonts w:hint="eastAsia" w:ascii="Times New Roman" w:hAnsi="Times New Roman" w:eastAsia="仿宋_GB2312" w:cs="Times New Roman"/>
          <w:b w:val="0"/>
          <w:bCs w:val="0"/>
          <w:kern w:val="0"/>
          <w:szCs w:val="21"/>
        </w:rPr>
        <w:t>.</w:t>
      </w:r>
      <w:r>
        <w:rPr>
          <w:rFonts w:hint="eastAsia" w:ascii="Times New Roman" w:hAnsi="Times New Roman" w:eastAsia="仿宋_GB2312" w:cs="Times New Roman"/>
          <w:b w:val="0"/>
          <w:bCs w:val="0"/>
          <w:kern w:val="0"/>
          <w:szCs w:val="21"/>
          <w:lang w:val="en-US" w:eastAsia="zh-CN"/>
        </w:rPr>
        <w:t>3</w:t>
      </w:r>
      <w:r>
        <w:rPr>
          <w:rFonts w:hint="eastAsia" w:ascii="Times New Roman" w:hAnsi="Times New Roman" w:eastAsia="仿宋_GB2312" w:cs="Times New Roman"/>
          <w:b w:val="0"/>
          <w:bCs w:val="0"/>
          <w:kern w:val="0"/>
          <w:szCs w:val="21"/>
        </w:rPr>
        <w:t>.</w:t>
      </w:r>
      <w:r>
        <w:rPr>
          <w:rFonts w:hint="eastAsia" w:ascii="Times New Roman" w:hAnsi="Times New Roman" w:eastAsia="仿宋_GB2312" w:cs="Times New Roman"/>
          <w:b w:val="0"/>
          <w:bCs w:val="0"/>
          <w:kern w:val="0"/>
          <w:szCs w:val="21"/>
          <w:lang w:val="en-US" w:eastAsia="zh-CN"/>
        </w:rPr>
        <w:t>2</w:t>
      </w:r>
      <w:r>
        <w:rPr>
          <w:rFonts w:ascii="Times New Roman" w:hAnsi="Times New Roman" w:eastAsia="仿宋_GB2312" w:cs="Times New Roman"/>
          <w:b w:val="0"/>
          <w:bCs w:val="0"/>
          <w:kern w:val="0"/>
          <w:szCs w:val="21"/>
        </w:rPr>
        <w:t xml:space="preserve">   联系电话：</w:t>
      </w:r>
      <w:r>
        <w:rPr>
          <w:rFonts w:hint="eastAsia" w:ascii="Times New Roman" w:hAnsi="Times New Roman" w:eastAsia="仿宋_GB2312" w:cs="Times New Roman"/>
          <w:b w:val="0"/>
          <w:bCs w:val="0"/>
          <w:kern w:val="0"/>
          <w:szCs w:val="21"/>
        </w:rPr>
        <w:t>82920939</w:t>
      </w:r>
      <w:r>
        <w:rPr>
          <w:rFonts w:ascii="Times New Roman" w:hAnsi="Times New Roman" w:eastAsia="仿宋_GB2312" w:cs="Times New Roman"/>
          <w:b w:val="0"/>
          <w:bCs w:val="0"/>
          <w:kern w:val="0"/>
          <w:szCs w:val="21"/>
        </w:rPr>
        <w:t xml:space="preserve">  单位负责人签字：</w:t>
      </w:r>
      <w:r>
        <w:rPr>
          <w:rFonts w:hint="eastAsia" w:ascii="Times New Roman" w:hAnsi="Times New Roman" w:eastAsia="仿宋_GB2312" w:cs="Times New Roman"/>
          <w:b w:val="0"/>
          <w:bCs w:val="0"/>
          <w:kern w:val="0"/>
          <w:szCs w:val="21"/>
          <w:lang w:eastAsia="zh-CN"/>
        </w:rPr>
        <w:t>潘瑞旺</w:t>
      </w:r>
    </w:p>
    <w:p>
      <w:pPr>
        <w:pStyle w:val="2"/>
        <w:rPr>
          <w:rFonts w:ascii="Times New Roman" w:hAnsi="Times New Roman" w:eastAsia="黑体" w:cs="Times New Roman"/>
          <w:b w:val="0"/>
          <w:bCs w:val="0"/>
          <w:kern w:val="0"/>
          <w:sz w:val="32"/>
          <w:szCs w:val="32"/>
        </w:rPr>
      </w:pPr>
    </w:p>
    <w:p>
      <w:pPr>
        <w:widowControl/>
        <w:spacing w:beforeLines="50" w:afterLines="50"/>
        <w:jc w:val="left"/>
        <w:rPr>
          <w:rFonts w:ascii="Times New Roman" w:hAnsi="Times New Roman" w:eastAsia="黑体" w:cs="Times New Roman"/>
          <w:b w:val="0"/>
          <w:bCs w:val="0"/>
          <w:kern w:val="0"/>
          <w:sz w:val="32"/>
          <w:szCs w:val="32"/>
        </w:rPr>
      </w:pPr>
    </w:p>
    <w:p>
      <w:pPr>
        <w:pStyle w:val="2"/>
        <w:jc w:val="both"/>
        <w:rPr>
          <w:rFonts w:hint="eastAsia" w:ascii="仿宋" w:hAnsi="仿宋" w:eastAsia="仿宋" w:cs="仿宋"/>
          <w:bCs/>
          <w:kern w:val="2"/>
          <w:sz w:val="28"/>
          <w:szCs w:val="28"/>
          <w:lang w:val="en-US" w:eastAsia="zh-CN" w:bidi="ar-SA"/>
        </w:rPr>
      </w:pPr>
    </w:p>
    <w:p>
      <w:pPr>
        <w:pStyle w:val="2"/>
        <w:jc w:val="both"/>
        <w:rPr>
          <w:rFonts w:hint="eastAsia" w:ascii="仿宋" w:hAnsi="仿宋" w:eastAsia="仿宋" w:cs="仿宋"/>
          <w:bCs/>
          <w:kern w:val="2"/>
          <w:sz w:val="28"/>
          <w:szCs w:val="28"/>
          <w:lang w:val="en-US" w:eastAsia="zh-CN" w:bidi="ar-SA"/>
        </w:rPr>
      </w:pPr>
    </w:p>
    <w:p>
      <w:pPr>
        <w:pStyle w:val="2"/>
        <w:jc w:val="both"/>
        <w:rPr>
          <w:rFonts w:hint="eastAsia" w:ascii="仿宋" w:hAnsi="仿宋" w:eastAsia="仿宋" w:cs="仿宋"/>
          <w:bCs/>
          <w:kern w:val="2"/>
          <w:sz w:val="28"/>
          <w:szCs w:val="28"/>
          <w:lang w:val="en-US" w:eastAsia="zh-CN" w:bidi="ar-SA"/>
        </w:rPr>
      </w:pPr>
    </w:p>
    <w:p>
      <w:pPr>
        <w:pStyle w:val="2"/>
        <w:jc w:val="both"/>
        <w:rPr>
          <w:rFonts w:hint="eastAsia" w:ascii="仿宋" w:hAnsi="仿宋" w:eastAsia="仿宋" w:cs="仿宋"/>
          <w:bCs/>
          <w:kern w:val="2"/>
          <w:sz w:val="28"/>
          <w:szCs w:val="28"/>
          <w:lang w:val="en-US" w:eastAsia="zh-CN" w:bidi="ar-SA"/>
        </w:rPr>
      </w:pPr>
    </w:p>
    <w:p>
      <w:pPr>
        <w:widowControl/>
        <w:spacing w:beforeLines="50" w:afterLines="50"/>
        <w:jc w:val="left"/>
        <w:rPr>
          <w:rFonts w:hint="eastAsia" w:ascii="Times New Roman" w:hAnsi="Times New Roman" w:eastAsia="黑体" w:cs="Times New Roman"/>
          <w:b w:val="0"/>
          <w:bCs w:val="0"/>
          <w:kern w:val="0"/>
          <w:sz w:val="32"/>
          <w:szCs w:val="32"/>
          <w:lang w:val="en-US" w:eastAsia="zh-CN"/>
        </w:rPr>
      </w:pPr>
      <w:r>
        <w:rPr>
          <w:rFonts w:ascii="Times New Roman" w:hAnsi="Times New Roman" w:eastAsia="黑体" w:cs="Times New Roman"/>
          <w:b w:val="0"/>
          <w:bCs w:val="0"/>
          <w:kern w:val="0"/>
          <w:sz w:val="32"/>
          <w:szCs w:val="32"/>
        </w:rPr>
        <w:t>附件</w:t>
      </w:r>
      <w:r>
        <w:rPr>
          <w:rFonts w:hint="eastAsia" w:eastAsia="黑体" w:cs="Times New Roman"/>
          <w:b w:val="0"/>
          <w:bCs w:val="0"/>
          <w:kern w:val="0"/>
          <w:sz w:val="32"/>
          <w:szCs w:val="32"/>
          <w:lang w:val="en-US" w:eastAsia="zh-CN"/>
        </w:rPr>
        <w:t>4</w:t>
      </w:r>
    </w:p>
    <w:p>
      <w:pPr>
        <w:spacing w:beforeLines="50" w:afterLines="50"/>
        <w:jc w:val="center"/>
        <w:rPr>
          <w:rFonts w:ascii="Times New Roman" w:hAnsi="Times New Roman" w:eastAsia="方正小标宋_GBK" w:cs="Times New Roman"/>
          <w:b w:val="0"/>
          <w:bCs w:val="0"/>
          <w:spacing w:val="-6"/>
          <w:sz w:val="36"/>
          <w:szCs w:val="36"/>
        </w:rPr>
      </w:pPr>
      <w:r>
        <w:rPr>
          <w:rFonts w:ascii="Times New Roman" w:hAnsi="Times New Roman" w:eastAsia="方正小标宋_GBK" w:cs="Times New Roman"/>
          <w:b w:val="0"/>
          <w:bCs w:val="0"/>
          <w:sz w:val="36"/>
          <w:szCs w:val="36"/>
        </w:rPr>
        <w:t>部门整体支出</w:t>
      </w:r>
      <w:r>
        <w:rPr>
          <w:rFonts w:ascii="Times New Roman" w:hAnsi="Times New Roman" w:eastAsia="方正小标宋_GBK" w:cs="Times New Roman"/>
          <w:b w:val="0"/>
          <w:bCs w:val="0"/>
          <w:spacing w:val="-6"/>
          <w:sz w:val="36"/>
          <w:szCs w:val="36"/>
        </w:rPr>
        <w:t>绩效自评工作考核评分表</w:t>
      </w:r>
    </w:p>
    <w:tbl>
      <w:tblPr>
        <w:tblStyle w:val="12"/>
        <w:tblW w:w="9503" w:type="dxa"/>
        <w:jc w:val="center"/>
        <w:tblLayout w:type="fixed"/>
        <w:tblCellMar>
          <w:top w:w="0" w:type="dxa"/>
          <w:left w:w="108" w:type="dxa"/>
          <w:bottom w:w="0" w:type="dxa"/>
          <w:right w:w="108" w:type="dxa"/>
        </w:tblCellMar>
      </w:tblPr>
      <w:tblGrid>
        <w:gridCol w:w="774"/>
        <w:gridCol w:w="1500"/>
        <w:gridCol w:w="6477"/>
        <w:gridCol w:w="752"/>
      </w:tblGrid>
      <w:tr>
        <w:tblPrEx>
          <w:tblCellMar>
            <w:top w:w="0" w:type="dxa"/>
            <w:left w:w="108" w:type="dxa"/>
            <w:bottom w:w="0" w:type="dxa"/>
            <w:right w:w="108" w:type="dxa"/>
          </w:tblCellMar>
        </w:tblPrEx>
        <w:trPr>
          <w:tblHeader/>
          <w:jc w:val="center"/>
        </w:trPr>
        <w:tc>
          <w:tcPr>
            <w:tcW w:w="77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仿宋_GB2312" w:hAnsi="Times New Roman" w:eastAsia="仿宋_GB2312" w:cs="Times New Roman"/>
                <w:b w:val="0"/>
                <w:bCs w:val="0"/>
                <w:szCs w:val="21"/>
              </w:rPr>
            </w:pPr>
            <w:r>
              <w:rPr>
                <w:rFonts w:hint="eastAsia" w:ascii="仿宋_GB2312" w:hAnsi="Times New Roman" w:eastAsia="仿宋_GB2312" w:cs="Times New Roman"/>
                <w:b w:val="0"/>
                <w:bCs w:val="0"/>
                <w:szCs w:val="21"/>
              </w:rPr>
              <w:t>一级指标</w:t>
            </w:r>
          </w:p>
        </w:tc>
        <w:tc>
          <w:tcPr>
            <w:tcW w:w="1500"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仿宋_GB2312" w:hAnsi="Times New Roman" w:eastAsia="仿宋_GB2312" w:cs="Times New Roman"/>
                <w:b w:val="0"/>
                <w:bCs w:val="0"/>
                <w:szCs w:val="21"/>
              </w:rPr>
            </w:pPr>
            <w:r>
              <w:rPr>
                <w:rFonts w:hint="eastAsia" w:ascii="仿宋_GB2312" w:hAnsi="Times New Roman" w:eastAsia="仿宋_GB2312" w:cs="Times New Roman"/>
                <w:b w:val="0"/>
                <w:bCs w:val="0"/>
                <w:szCs w:val="21"/>
              </w:rPr>
              <w:t>二级指标</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仿宋_GB2312" w:hAnsi="Times New Roman" w:eastAsia="仿宋_GB2312" w:cs="Times New Roman"/>
                <w:b w:val="0"/>
                <w:bCs w:val="0"/>
                <w:szCs w:val="21"/>
              </w:rPr>
            </w:pPr>
            <w:r>
              <w:rPr>
                <w:rFonts w:hint="eastAsia" w:ascii="仿宋_GB2312" w:hAnsi="Times New Roman" w:eastAsia="仿宋_GB2312" w:cs="Times New Roman"/>
                <w:b w:val="0"/>
                <w:bCs w:val="0"/>
                <w:szCs w:val="21"/>
              </w:rPr>
              <w:t>评分标准</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仿宋_GB2312" w:hAnsi="Times New Roman" w:eastAsia="仿宋_GB2312" w:cs="Times New Roman"/>
                <w:b w:val="0"/>
                <w:bCs w:val="0"/>
                <w:szCs w:val="21"/>
              </w:rPr>
            </w:pPr>
            <w:r>
              <w:rPr>
                <w:rFonts w:hint="eastAsia" w:ascii="仿宋_GB2312" w:hAnsi="Times New Roman" w:eastAsia="仿宋_GB2312" w:cs="Times New Roman"/>
                <w:b w:val="0"/>
                <w:bCs w:val="0"/>
                <w:szCs w:val="21"/>
              </w:rPr>
              <w:t>评分</w:t>
            </w:r>
          </w:p>
        </w:tc>
      </w:tr>
      <w:tr>
        <w:tblPrEx>
          <w:tblCellMar>
            <w:top w:w="0" w:type="dxa"/>
            <w:left w:w="108" w:type="dxa"/>
            <w:bottom w:w="0" w:type="dxa"/>
            <w:right w:w="108" w:type="dxa"/>
          </w:tblCellMar>
        </w:tblPrEx>
        <w:trPr>
          <w:jc w:val="center"/>
        </w:trPr>
        <w:tc>
          <w:tcPr>
            <w:tcW w:w="774" w:type="dxa"/>
            <w:vMerge w:val="restart"/>
            <w:tcBorders>
              <w:top w:val="single" w:color="auto" w:sz="4" w:space="0"/>
              <w:left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布置工作</w:t>
            </w:r>
          </w:p>
          <w:p>
            <w:pPr>
              <w:spacing w:line="300" w:lineRule="exact"/>
              <w:jc w:val="center"/>
              <w:rPr>
                <w:rFonts w:ascii="Times New Roman" w:hAnsi="Times New Roman" w:eastAsia="仿宋_GB2312" w:cs="Times New Roman"/>
                <w:b w:val="0"/>
                <w:bCs w:val="0"/>
                <w:szCs w:val="21"/>
              </w:rPr>
            </w:pPr>
          </w:p>
          <w:p>
            <w:pPr>
              <w:spacing w:line="300" w:lineRule="exact"/>
              <w:jc w:val="left"/>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10分</w:t>
            </w:r>
          </w:p>
        </w:tc>
        <w:tc>
          <w:tcPr>
            <w:tcW w:w="1500" w:type="dxa"/>
            <w:tcBorders>
              <w:top w:val="single" w:color="auto" w:sz="4" w:space="0"/>
              <w:left w:val="nil"/>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自评通知</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（8分）</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hint="default"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1、印发绩效自评通知的得2分，否则不得分。</w:t>
            </w:r>
          </w:p>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2、按照本规程规定，绩效自评通知包括自评范围、自评主要依据、自评主要内容、自评程序和步骤、有关要求等内容，并附有本通知要求的附件的，得6分；否则缺1项扣1分，最多扣6分。</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rPr>
                <w:rFonts w:hint="eastAsia" w:ascii="Times New Roman" w:hAnsi="Times New Roman" w:eastAsia="仿宋_GB2312" w:cs="Times New Roman"/>
                <w:b w:val="0"/>
                <w:bCs w:val="0"/>
                <w:szCs w:val="21"/>
                <w:lang w:eastAsia="zh-CN"/>
              </w:rPr>
            </w:pPr>
            <w:r>
              <w:rPr>
                <w:rFonts w:ascii="Times New Roman" w:hAnsi="Times New Roman" w:eastAsia="仿宋_GB2312" w:cs="Times New Roman"/>
                <w:b w:val="0"/>
                <w:bCs w:val="0"/>
                <w:szCs w:val="21"/>
              </w:rPr>
              <w:t>　</w:t>
            </w:r>
            <w:r>
              <w:rPr>
                <w:rFonts w:hint="eastAsia" w:eastAsia="仿宋_GB2312" w:cs="Times New Roman"/>
                <w:b w:val="0"/>
                <w:bCs w:val="0"/>
                <w:szCs w:val="21"/>
                <w:lang w:val="en-US" w:eastAsia="zh-CN"/>
              </w:rPr>
              <w:t>8</w:t>
            </w:r>
          </w:p>
        </w:tc>
      </w:tr>
      <w:tr>
        <w:tblPrEx>
          <w:tblCellMar>
            <w:top w:w="0" w:type="dxa"/>
            <w:left w:w="108" w:type="dxa"/>
            <w:bottom w:w="0" w:type="dxa"/>
            <w:right w:w="108" w:type="dxa"/>
          </w:tblCellMar>
        </w:tblPrEx>
        <w:trPr>
          <w:jc w:val="center"/>
        </w:trPr>
        <w:tc>
          <w:tcPr>
            <w:tcW w:w="774" w:type="dxa"/>
            <w:vMerge w:val="continue"/>
            <w:tcBorders>
              <w:left w:val="single" w:color="auto" w:sz="4" w:space="0"/>
              <w:bottom w:val="single" w:color="auto" w:sz="4" w:space="0"/>
              <w:right w:val="single" w:color="auto" w:sz="4" w:space="0"/>
            </w:tcBorders>
            <w:shd w:val="clear" w:color="auto" w:fill="auto"/>
            <w:vAlign w:val="center"/>
          </w:tcPr>
          <w:p>
            <w:pPr>
              <w:spacing w:line="300" w:lineRule="exact"/>
              <w:rPr>
                <w:rFonts w:ascii="Times New Roman" w:hAnsi="Times New Roman" w:eastAsia="仿宋_GB2312" w:cs="Times New Roman"/>
                <w:b w:val="0"/>
                <w:bCs w:val="0"/>
                <w:szCs w:val="21"/>
              </w:rPr>
            </w:pPr>
          </w:p>
        </w:tc>
        <w:tc>
          <w:tcPr>
            <w:tcW w:w="1500"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工作小组</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（2分）</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成立绩效自评工作小组的得2分，否则不得分。</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hint="eastAsia" w:ascii="Times New Roman" w:hAnsi="Times New Roman" w:eastAsia="仿宋_GB2312" w:cs="Times New Roman"/>
                <w:b w:val="0"/>
                <w:bCs w:val="0"/>
                <w:szCs w:val="21"/>
                <w:lang w:eastAsia="zh-CN"/>
              </w:rPr>
            </w:pPr>
            <w:r>
              <w:rPr>
                <w:rFonts w:hint="eastAsia" w:ascii="Times New Roman" w:hAnsi="Times New Roman" w:eastAsia="仿宋_GB2312" w:cs="Times New Roman"/>
                <w:b w:val="0"/>
                <w:bCs w:val="0"/>
                <w:szCs w:val="21"/>
                <w:lang w:val="en-US" w:eastAsia="zh-CN"/>
              </w:rPr>
              <w:t>2</w:t>
            </w:r>
          </w:p>
        </w:tc>
      </w:tr>
      <w:tr>
        <w:tblPrEx>
          <w:tblCellMar>
            <w:top w:w="0" w:type="dxa"/>
            <w:left w:w="108" w:type="dxa"/>
            <w:bottom w:w="0" w:type="dxa"/>
            <w:right w:w="108" w:type="dxa"/>
          </w:tblCellMar>
        </w:tblPrEx>
        <w:trPr>
          <w:jc w:val="center"/>
        </w:trPr>
        <w:tc>
          <w:tcPr>
            <w:tcW w:w="774" w:type="dxa"/>
            <w:vMerge w:val="restart"/>
            <w:tcBorders>
              <w:top w:val="single" w:color="auto" w:sz="4" w:space="0"/>
              <w:left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实施评价</w:t>
            </w:r>
          </w:p>
          <w:p>
            <w:pPr>
              <w:spacing w:line="300" w:lineRule="exact"/>
              <w:jc w:val="center"/>
              <w:rPr>
                <w:rFonts w:ascii="Times New Roman" w:hAnsi="Times New Roman" w:eastAsia="仿宋_GB2312" w:cs="Times New Roman"/>
                <w:b w:val="0"/>
                <w:bCs w:val="0"/>
                <w:szCs w:val="21"/>
              </w:rPr>
            </w:pPr>
          </w:p>
          <w:p>
            <w:pPr>
              <w:spacing w:line="300" w:lineRule="exact"/>
              <w:jc w:val="center"/>
              <w:rPr>
                <w:rFonts w:ascii="Times New Roman" w:hAnsi="Times New Roman" w:eastAsia="仿宋_GB2312" w:cs="Times New Roman"/>
                <w:b w:val="0"/>
                <w:bCs w:val="0"/>
                <w:szCs w:val="21"/>
              </w:rPr>
            </w:pPr>
            <w:r>
              <w:rPr>
                <w:rFonts w:hint="eastAsia" w:eastAsia="仿宋_GB2312" w:cs="Times New Roman"/>
                <w:b w:val="0"/>
                <w:bCs w:val="0"/>
                <w:szCs w:val="21"/>
                <w:lang w:val="en-US" w:eastAsia="zh-CN"/>
              </w:rPr>
              <w:t>2</w:t>
            </w:r>
            <w:r>
              <w:rPr>
                <w:rFonts w:ascii="Times New Roman" w:hAnsi="Times New Roman" w:eastAsia="仿宋_GB2312" w:cs="Times New Roman"/>
                <w:b w:val="0"/>
                <w:bCs w:val="0"/>
                <w:szCs w:val="21"/>
              </w:rPr>
              <w:t>0分</w:t>
            </w:r>
          </w:p>
        </w:tc>
        <w:tc>
          <w:tcPr>
            <w:tcW w:w="1500"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单位自查</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w:t>
            </w:r>
            <w:r>
              <w:rPr>
                <w:rFonts w:hint="eastAsia" w:eastAsia="仿宋_GB2312" w:cs="Times New Roman"/>
                <w:b w:val="0"/>
                <w:bCs w:val="0"/>
                <w:szCs w:val="21"/>
                <w:lang w:val="en-US" w:eastAsia="zh-CN"/>
              </w:rPr>
              <w:t>1</w:t>
            </w:r>
            <w:r>
              <w:rPr>
                <w:rFonts w:ascii="Times New Roman" w:hAnsi="Times New Roman" w:eastAsia="仿宋_GB2312" w:cs="Times New Roman"/>
                <w:b w:val="0"/>
                <w:bCs w:val="0"/>
                <w:szCs w:val="21"/>
              </w:rPr>
              <w:t>0分）</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省级预算部门本级和所属单位都要开展绩效自查，转移支付项目单位都要开展绩效自查，市、县级主管部门都要汇总本区域转移支付情况；以上各项每发现一个单位没有做相应工作的，扣1分，最多扣10分。</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　</w:t>
            </w:r>
            <w:r>
              <w:rPr>
                <w:rFonts w:hint="eastAsia" w:ascii="Times New Roman" w:hAnsi="Times New Roman" w:eastAsia="仿宋_GB2312" w:cs="Times New Roman"/>
                <w:b w:val="0"/>
                <w:bCs w:val="0"/>
                <w:szCs w:val="21"/>
              </w:rPr>
              <w:t>20</w:t>
            </w:r>
          </w:p>
        </w:tc>
      </w:tr>
      <w:tr>
        <w:tblPrEx>
          <w:tblCellMar>
            <w:top w:w="0" w:type="dxa"/>
            <w:left w:w="108" w:type="dxa"/>
            <w:bottom w:w="0" w:type="dxa"/>
            <w:right w:w="108" w:type="dxa"/>
          </w:tblCellMar>
        </w:tblPrEx>
        <w:trPr>
          <w:jc w:val="center"/>
        </w:trPr>
        <w:tc>
          <w:tcPr>
            <w:tcW w:w="774" w:type="dxa"/>
            <w:vMerge w:val="continue"/>
            <w:tcBorders>
              <w:left w:val="single" w:color="auto" w:sz="4" w:space="0"/>
              <w:bottom w:val="single" w:color="auto" w:sz="4" w:space="0"/>
              <w:right w:val="single" w:color="auto" w:sz="4" w:space="0"/>
            </w:tcBorders>
            <w:shd w:val="clear" w:color="auto" w:fill="auto"/>
            <w:vAlign w:val="center"/>
          </w:tcPr>
          <w:p>
            <w:pPr>
              <w:spacing w:line="300" w:lineRule="exact"/>
              <w:rPr>
                <w:rFonts w:ascii="Times New Roman" w:hAnsi="Times New Roman" w:eastAsia="仿宋_GB2312" w:cs="Times New Roman"/>
                <w:b w:val="0"/>
                <w:bCs w:val="0"/>
                <w:szCs w:val="21"/>
              </w:rPr>
            </w:pPr>
          </w:p>
        </w:tc>
        <w:tc>
          <w:tcPr>
            <w:tcW w:w="1500"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提交报告</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（10分）</w:t>
            </w:r>
          </w:p>
        </w:tc>
        <w:tc>
          <w:tcPr>
            <w:tcW w:w="6477" w:type="dxa"/>
            <w:tcBorders>
              <w:top w:val="nil"/>
              <w:left w:val="nil"/>
              <w:bottom w:val="single" w:color="auto" w:sz="4" w:space="0"/>
              <w:right w:val="single" w:color="auto" w:sz="4" w:space="0"/>
            </w:tcBorders>
            <w:shd w:val="clear" w:color="auto" w:fill="auto"/>
            <w:vAlign w:val="center"/>
          </w:tcPr>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按时向省财政厅报送报告的得10分；每推迟一个工作日报送报告的扣1分，最多扣10分。</w:t>
            </w:r>
          </w:p>
        </w:tc>
        <w:tc>
          <w:tcPr>
            <w:tcW w:w="752" w:type="dxa"/>
            <w:tcBorders>
              <w:top w:val="nil"/>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hint="eastAsia" w:ascii="Times New Roman" w:hAnsi="Times New Roman" w:eastAsia="仿宋_GB2312" w:cs="Times New Roman"/>
                <w:b w:val="0"/>
                <w:bCs w:val="0"/>
                <w:szCs w:val="21"/>
              </w:rPr>
              <w:t>10</w:t>
            </w:r>
          </w:p>
        </w:tc>
      </w:tr>
      <w:tr>
        <w:tblPrEx>
          <w:tblCellMar>
            <w:top w:w="0" w:type="dxa"/>
            <w:left w:w="108" w:type="dxa"/>
            <w:bottom w:w="0" w:type="dxa"/>
            <w:right w:w="108" w:type="dxa"/>
          </w:tblCellMar>
        </w:tblPrEx>
        <w:trPr>
          <w:jc w:val="center"/>
        </w:trPr>
        <w:tc>
          <w:tcPr>
            <w:tcW w:w="7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自评报告</w:t>
            </w:r>
          </w:p>
          <w:p>
            <w:pPr>
              <w:spacing w:line="300" w:lineRule="exact"/>
              <w:jc w:val="center"/>
              <w:rPr>
                <w:rFonts w:ascii="Times New Roman" w:hAnsi="Times New Roman" w:eastAsia="仿宋_GB2312" w:cs="Times New Roman"/>
                <w:b w:val="0"/>
                <w:bCs w:val="0"/>
                <w:szCs w:val="21"/>
              </w:rPr>
            </w:pPr>
          </w:p>
          <w:p>
            <w:pPr>
              <w:spacing w:line="300" w:lineRule="exact"/>
              <w:jc w:val="center"/>
              <w:rPr>
                <w:rFonts w:ascii="Times New Roman" w:hAnsi="Times New Roman" w:eastAsia="仿宋_GB2312" w:cs="Times New Roman"/>
                <w:b w:val="0"/>
                <w:bCs w:val="0"/>
                <w:szCs w:val="21"/>
              </w:rPr>
            </w:pPr>
            <w:r>
              <w:rPr>
                <w:rFonts w:hint="eastAsia" w:eastAsia="仿宋_GB2312" w:cs="Times New Roman"/>
                <w:b w:val="0"/>
                <w:bCs w:val="0"/>
                <w:szCs w:val="21"/>
                <w:lang w:val="en-US" w:eastAsia="zh-CN"/>
              </w:rPr>
              <w:t>7</w:t>
            </w:r>
            <w:r>
              <w:rPr>
                <w:rFonts w:ascii="Times New Roman" w:hAnsi="Times New Roman" w:eastAsia="仿宋_GB2312" w:cs="Times New Roman"/>
                <w:b w:val="0"/>
                <w:bCs w:val="0"/>
                <w:szCs w:val="21"/>
              </w:rPr>
              <w:t>0分</w:t>
            </w:r>
          </w:p>
        </w:tc>
        <w:tc>
          <w:tcPr>
            <w:tcW w:w="1500"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自评报告</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的完整性</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（15分）</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hint="default"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1、绩效自评报告正文部分内容齐全的，得8分；否则每少一个部分扣2分，最多扣8分。</w:t>
            </w:r>
          </w:p>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2、绩效自评报告附件部分内容齐全的，得7分；否则每少一个部分扣2分，最多扣7分。</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hint="eastAsia" w:ascii="Times New Roman" w:hAnsi="Times New Roman" w:eastAsia="仿宋_GB2312" w:cs="Times New Roman"/>
                <w:b w:val="0"/>
                <w:bCs w:val="0"/>
                <w:szCs w:val="21"/>
              </w:rPr>
              <w:t>15</w:t>
            </w:r>
            <w:r>
              <w:rPr>
                <w:rFonts w:ascii="Times New Roman" w:hAnsi="Times New Roman" w:eastAsia="仿宋_GB2312" w:cs="Times New Roman"/>
                <w:b w:val="0"/>
                <w:bCs w:val="0"/>
                <w:szCs w:val="21"/>
              </w:rPr>
              <w:t>　</w:t>
            </w:r>
          </w:p>
        </w:tc>
      </w:tr>
      <w:tr>
        <w:tblPrEx>
          <w:tblCellMar>
            <w:top w:w="0" w:type="dxa"/>
            <w:left w:w="108" w:type="dxa"/>
            <w:bottom w:w="0" w:type="dxa"/>
            <w:right w:w="108" w:type="dxa"/>
          </w:tblCellMar>
        </w:tblPrEx>
        <w:trPr>
          <w:jc w:val="center"/>
        </w:trPr>
        <w:tc>
          <w:tcPr>
            <w:tcW w:w="7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Times New Roman" w:hAnsi="Times New Roman" w:eastAsia="仿宋_GB2312" w:cs="Times New Roman"/>
                <w:b w:val="0"/>
                <w:bCs w:val="0"/>
                <w:szCs w:val="21"/>
              </w:rPr>
            </w:pPr>
          </w:p>
        </w:tc>
        <w:tc>
          <w:tcPr>
            <w:tcW w:w="1500" w:type="dxa"/>
            <w:tcBorders>
              <w:top w:val="single" w:color="auto" w:sz="4" w:space="0"/>
              <w:left w:val="nil"/>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绩效自评表</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w:t>
            </w:r>
            <w:r>
              <w:rPr>
                <w:rFonts w:hint="eastAsia" w:eastAsia="仿宋_GB2312" w:cs="Times New Roman"/>
                <w:b w:val="0"/>
                <w:bCs w:val="0"/>
                <w:szCs w:val="21"/>
                <w:lang w:val="en-US" w:eastAsia="zh-CN"/>
              </w:rPr>
              <w:t>20</w:t>
            </w:r>
            <w:r>
              <w:rPr>
                <w:rFonts w:ascii="Times New Roman" w:hAnsi="Times New Roman" w:eastAsia="仿宋_GB2312" w:cs="Times New Roman"/>
                <w:b w:val="0"/>
                <w:bCs w:val="0"/>
                <w:szCs w:val="21"/>
              </w:rPr>
              <w:t>分）</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hint="default"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1、部门整体支出和项目支出绩效指标反映产出、效益、服务对象满意度方面的指标和预算执行率的权重符合《湖南省省级预算部门绩效自评操作规程》第八条要求的，得5分，否则按比例扣除相应的分数。</w:t>
            </w:r>
          </w:p>
          <w:p>
            <w:pPr>
              <w:spacing w:line="300" w:lineRule="exact"/>
              <w:jc w:val="left"/>
              <w:rPr>
                <w:rFonts w:hint="default"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2、部门整体支出和项目支出绩效指标全部细化到三级指标的，得5分；部分细化的，酌情扣分；没有细化的，不得分。</w:t>
            </w:r>
          </w:p>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3、部门整体支出和项目支出三级绩效指标内涵明确、具体、可衡量的得5分；突出核心指标，精简实用的得3分；指标与部门整体支出和项目支出密切相关，全面反映产出和效益的得2分；否则，每项酌情扣分，最多扣10分。</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hint="eastAsia" w:eastAsia="仿宋_GB2312" w:cs="Times New Roman"/>
                <w:b w:val="0"/>
                <w:bCs w:val="0"/>
                <w:szCs w:val="21"/>
                <w:lang w:val="en-US" w:eastAsia="zh-CN"/>
              </w:rPr>
              <w:t>18</w:t>
            </w:r>
            <w:r>
              <w:rPr>
                <w:rFonts w:ascii="Times New Roman" w:hAnsi="Times New Roman" w:eastAsia="仿宋_GB2312" w:cs="Times New Roman"/>
                <w:b w:val="0"/>
                <w:bCs w:val="0"/>
                <w:szCs w:val="21"/>
              </w:rPr>
              <w:t>　</w:t>
            </w:r>
          </w:p>
        </w:tc>
      </w:tr>
      <w:tr>
        <w:tblPrEx>
          <w:tblCellMar>
            <w:top w:w="0" w:type="dxa"/>
            <w:left w:w="108" w:type="dxa"/>
            <w:bottom w:w="0" w:type="dxa"/>
            <w:right w:w="108" w:type="dxa"/>
          </w:tblCellMar>
        </w:tblPrEx>
        <w:trPr>
          <w:jc w:val="center"/>
        </w:trPr>
        <w:tc>
          <w:tcPr>
            <w:tcW w:w="7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p>
        </w:tc>
        <w:tc>
          <w:tcPr>
            <w:tcW w:w="1500"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绩效评价</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报告反映</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问题情况</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w:t>
            </w:r>
            <w:r>
              <w:rPr>
                <w:rFonts w:hint="eastAsia" w:eastAsia="仿宋_GB2312" w:cs="Times New Roman"/>
                <w:b w:val="0"/>
                <w:bCs w:val="0"/>
                <w:szCs w:val="21"/>
                <w:lang w:val="en-US" w:eastAsia="zh-CN"/>
              </w:rPr>
              <w:t>20</w:t>
            </w:r>
            <w:r>
              <w:rPr>
                <w:rFonts w:ascii="Times New Roman" w:hAnsi="Times New Roman" w:eastAsia="仿宋_GB2312" w:cs="Times New Roman"/>
                <w:b w:val="0"/>
                <w:bCs w:val="0"/>
                <w:szCs w:val="21"/>
              </w:rPr>
              <w:t>分）</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从预算和预算绩效管理，部门履职效能，资金分配、使用和管理，资产和财务管理，政府采购等方面归纳问题、分析原因全面的，得20分；反映问题、分析原因较全面的，得16—18分；反映问题、分析原因不全面的，得13—15分；问题未归纳且过于简单的，得10—12分；只提出资金不足问题的不得分；其他情况酌情扣分。　</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hint="eastAsia" w:ascii="Times New Roman" w:hAnsi="Times New Roman" w:eastAsia="仿宋_GB2312" w:cs="Times New Roman"/>
                <w:b w:val="0"/>
                <w:bCs w:val="0"/>
                <w:szCs w:val="21"/>
              </w:rPr>
              <w:t>1</w:t>
            </w:r>
            <w:r>
              <w:rPr>
                <w:rFonts w:hint="eastAsia" w:eastAsia="仿宋_GB2312" w:cs="Times New Roman"/>
                <w:b w:val="0"/>
                <w:bCs w:val="0"/>
                <w:szCs w:val="21"/>
                <w:lang w:val="en-US" w:eastAsia="zh-CN"/>
              </w:rPr>
              <w:t>4</w:t>
            </w:r>
            <w:r>
              <w:rPr>
                <w:rFonts w:ascii="Times New Roman" w:hAnsi="Times New Roman" w:eastAsia="仿宋_GB2312" w:cs="Times New Roman"/>
                <w:b w:val="0"/>
                <w:bCs w:val="0"/>
                <w:szCs w:val="21"/>
              </w:rPr>
              <w:t>　</w:t>
            </w:r>
          </w:p>
        </w:tc>
      </w:tr>
      <w:tr>
        <w:tblPrEx>
          <w:tblCellMar>
            <w:top w:w="0" w:type="dxa"/>
            <w:left w:w="108" w:type="dxa"/>
            <w:bottom w:w="0" w:type="dxa"/>
            <w:right w:w="108" w:type="dxa"/>
          </w:tblCellMar>
        </w:tblPrEx>
        <w:trPr>
          <w:jc w:val="center"/>
        </w:trPr>
        <w:tc>
          <w:tcPr>
            <w:tcW w:w="7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Times New Roman" w:hAnsi="Times New Roman" w:eastAsia="仿宋_GB2312" w:cs="Times New Roman"/>
                <w:b w:val="0"/>
                <w:bCs w:val="0"/>
                <w:szCs w:val="21"/>
              </w:rPr>
            </w:pPr>
          </w:p>
        </w:tc>
        <w:tc>
          <w:tcPr>
            <w:tcW w:w="1500"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针对问题</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提出可行性建议的情况</w:t>
            </w:r>
          </w:p>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（15分）</w:t>
            </w:r>
          </w:p>
        </w:tc>
        <w:tc>
          <w:tcPr>
            <w:tcW w:w="6477"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left"/>
              <w:rPr>
                <w:rFonts w:ascii="Times New Roman" w:hAnsi="Times New Roman" w:eastAsia="仿宋_GB2312" w:cs="Times New Roman"/>
                <w:b w:val="0"/>
                <w:bCs w:val="0"/>
                <w:szCs w:val="21"/>
              </w:rPr>
            </w:pPr>
            <w:r>
              <w:rPr>
                <w:rFonts w:hint="default" w:ascii="Times New Roman" w:hAnsi="Times New Roman" w:eastAsia="仿宋_GB2312" w:cs="Times New Roman"/>
                <w:b w:val="0"/>
                <w:bCs w:val="0"/>
                <w:szCs w:val="21"/>
              </w:rPr>
              <w:t>建议与问题对应且全面的得15分，建议比较全面的得12—14分，建议不全面的得9—11分，建议过于简单的得6—8分，只提出加大资金投入建议的不得分；其他情况酌情扣分。</w:t>
            </w:r>
          </w:p>
        </w:tc>
        <w:tc>
          <w:tcPr>
            <w:tcW w:w="752" w:type="dxa"/>
            <w:tcBorders>
              <w:top w:val="single" w:color="auto" w:sz="4" w:space="0"/>
              <w:left w:val="nil"/>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hint="eastAsia" w:eastAsia="仿宋_GB2312" w:cs="Times New Roman"/>
                <w:b w:val="0"/>
                <w:bCs w:val="0"/>
                <w:szCs w:val="21"/>
                <w:lang w:val="en-US" w:eastAsia="zh-CN"/>
              </w:rPr>
              <w:t>14</w:t>
            </w:r>
            <w:r>
              <w:rPr>
                <w:rFonts w:ascii="Times New Roman" w:hAnsi="Times New Roman" w:eastAsia="仿宋_GB2312" w:cs="Times New Roman"/>
                <w:b w:val="0"/>
                <w:bCs w:val="0"/>
                <w:szCs w:val="21"/>
              </w:rPr>
              <w:t>　</w:t>
            </w:r>
          </w:p>
        </w:tc>
      </w:tr>
      <w:tr>
        <w:tblPrEx>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合计</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imes New Roman" w:hAnsi="Times New Roman" w:eastAsia="仿宋_GB2312" w:cs="Times New Roman"/>
                <w:b w:val="0"/>
                <w:bCs w:val="0"/>
                <w:szCs w:val="21"/>
              </w:rPr>
            </w:pPr>
            <w:r>
              <w:rPr>
                <w:rFonts w:ascii="Times New Roman" w:hAnsi="Times New Roman" w:eastAsia="仿宋_GB2312" w:cs="Times New Roman"/>
                <w:b w:val="0"/>
                <w:bCs w:val="0"/>
                <w:szCs w:val="21"/>
              </w:rPr>
              <w:t>100分</w:t>
            </w:r>
          </w:p>
        </w:tc>
        <w:tc>
          <w:tcPr>
            <w:tcW w:w="647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ascii="Times New Roman" w:hAnsi="Times New Roman" w:eastAsia="仿宋_GB2312" w:cs="Times New Roman"/>
                <w:b w:val="0"/>
                <w:bCs w:val="0"/>
                <w:szCs w:val="21"/>
              </w:rPr>
            </w:pPr>
          </w:p>
        </w:tc>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rPr>
                <w:rFonts w:hint="default" w:ascii="Times New Roman" w:hAnsi="Times New Roman" w:eastAsia="仿宋_GB2312" w:cs="Times New Roman"/>
                <w:b w:val="0"/>
                <w:bCs w:val="0"/>
                <w:szCs w:val="21"/>
                <w:lang w:val="en-US" w:eastAsia="zh-CN"/>
              </w:rPr>
            </w:pPr>
            <w:r>
              <w:rPr>
                <w:rFonts w:ascii="Times New Roman" w:hAnsi="Times New Roman" w:eastAsia="仿宋_GB2312" w:cs="Times New Roman"/>
                <w:b w:val="0"/>
                <w:bCs w:val="0"/>
                <w:szCs w:val="21"/>
              </w:rPr>
              <w:t>　</w:t>
            </w:r>
            <w:r>
              <w:rPr>
                <w:rFonts w:hint="eastAsia" w:ascii="Times New Roman" w:hAnsi="Times New Roman" w:eastAsia="仿宋_GB2312" w:cs="Times New Roman"/>
                <w:b w:val="0"/>
                <w:bCs w:val="0"/>
                <w:szCs w:val="21"/>
                <w:lang w:val="en-US" w:eastAsia="zh-CN"/>
              </w:rPr>
              <w:t>9</w:t>
            </w:r>
            <w:r>
              <w:rPr>
                <w:rFonts w:hint="eastAsia" w:eastAsia="仿宋_GB2312" w:cs="Times New Roman"/>
                <w:b w:val="0"/>
                <w:bCs w:val="0"/>
                <w:szCs w:val="21"/>
                <w:lang w:val="en-US" w:eastAsia="zh-CN"/>
              </w:rPr>
              <w:t>6</w:t>
            </w:r>
          </w:p>
        </w:tc>
      </w:tr>
    </w:tbl>
    <w:p>
      <w:pPr>
        <w:rPr>
          <w:rFonts w:ascii="Times New Roman" w:hAnsi="Times New Roman" w:eastAsia="仿宋_GB2312" w:cs="Times New Roman"/>
          <w:b w:val="0"/>
          <w:bCs w:val="0"/>
          <w:sz w:val="32"/>
          <w:szCs w:val="32"/>
        </w:rPr>
      </w:pPr>
    </w:p>
    <w:p>
      <w:pPr>
        <w:rPr>
          <w:b w:val="0"/>
          <w:bCs w:val="0"/>
        </w:rPr>
      </w:pPr>
    </w:p>
    <w:p>
      <w:pPr>
        <w:keepNext w:val="0"/>
        <w:keepLines w:val="0"/>
        <w:pageBreakBefore w:val="0"/>
        <w:kinsoku/>
        <w:wordWrap/>
        <w:overflowPunct/>
        <w:topLinePunct w:val="0"/>
        <w:autoSpaceDE/>
        <w:autoSpaceDN/>
        <w:bidi w:val="0"/>
        <w:spacing w:line="560" w:lineRule="exact"/>
        <w:jc w:val="both"/>
        <w:textAlignment w:val="auto"/>
        <w:rPr>
          <w:color w:val="auto"/>
          <w:highlight w:val="none"/>
        </w:rPr>
      </w:pPr>
    </w:p>
    <w:sectPr>
      <w:footerReference r:id="rId3" w:type="default"/>
      <w:pgSz w:w="11906" w:h="16838"/>
      <w:pgMar w:top="675" w:right="1803" w:bottom="675" w:left="1803"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248AC4-7D6F-4C2E-A83A-6160F391E2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5AD4850-E8C5-4A52-B9A0-3F06789383E8}"/>
  </w:font>
  <w:font w:name="仿宋_GB2312">
    <w:altName w:val="仿宋"/>
    <w:panose1 w:val="02010609030101010101"/>
    <w:charset w:val="86"/>
    <w:family w:val="modern"/>
    <w:pitch w:val="default"/>
    <w:sig w:usb0="00000000" w:usb1="00000000" w:usb2="00000000" w:usb3="00000000" w:csb0="00040000" w:csb1="00000000"/>
    <w:embedRegular r:id="rId3" w:fontKey="{DB27EBD5-6441-4BC1-B173-3DE500C681EE}"/>
  </w:font>
  <w:font w:name="仿宋">
    <w:panose1 w:val="02010609060101010101"/>
    <w:charset w:val="86"/>
    <w:family w:val="auto"/>
    <w:pitch w:val="default"/>
    <w:sig w:usb0="800002BF" w:usb1="38CF7CFA" w:usb2="00000016" w:usb3="00000000" w:csb0="00040001" w:csb1="00000000"/>
    <w:embedRegular r:id="rId4" w:fontKey="{BA99FA37-EA3D-4D49-9C7C-AE9DFC4DF7FA}"/>
  </w:font>
  <w:font w:name="方正小标宋_GBK">
    <w:panose1 w:val="02000000000000000000"/>
    <w:charset w:val="86"/>
    <w:family w:val="script"/>
    <w:pitch w:val="default"/>
    <w:sig w:usb0="A00002BF" w:usb1="38CF7CFA" w:usb2="00082016" w:usb3="00000000" w:csb0="00040001" w:csb1="00000000"/>
    <w:embedRegular r:id="rId5" w:fontKey="{5EA4DD61-D03C-4742-93FC-C0FE46F8220D}"/>
  </w:font>
  <w:font w:name="楷体_GB2312">
    <w:altName w:val="楷体"/>
    <w:panose1 w:val="02010609030101010101"/>
    <w:charset w:val="86"/>
    <w:family w:val="modern"/>
    <w:pitch w:val="default"/>
    <w:sig w:usb0="00000000" w:usb1="00000000" w:usb2="00000010" w:usb3="00000000" w:csb0="00040000" w:csb1="00000000"/>
    <w:embedRegular r:id="rId6" w:fontKey="{895E8B0E-7129-48E0-9F78-DC83DFFDB60D}"/>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embedRegular r:id="rId7" w:fontKey="{82219851-BA4A-48EF-BA5D-C6CAF528E195}"/>
  </w:font>
  <w:font w:name="华文仿宋">
    <w:altName w:val="仿宋"/>
    <w:panose1 w:val="02010600040101010101"/>
    <w:charset w:val="86"/>
    <w:family w:val="auto"/>
    <w:pitch w:val="default"/>
    <w:sig w:usb0="00000000" w:usb1="00000000" w:usb2="00000010" w:usb3="00000000" w:csb0="0004009F" w:csb1="00000000"/>
    <w:embedRegular r:id="rId8" w:fontKey="{311A5403-F5CB-41CC-8A61-17BF2E908A16}"/>
  </w:font>
  <w:font w:name="方正仿宋_GB2312">
    <w:panose1 w:val="02000000000000000000"/>
    <w:charset w:val="86"/>
    <w:family w:val="auto"/>
    <w:pitch w:val="default"/>
    <w:sig w:usb0="A00002BF" w:usb1="184F6CFA" w:usb2="00000012" w:usb3="00000000" w:csb0="00040001" w:csb1="00000000"/>
    <w:embedRegular r:id="rId9" w:fontKey="{193C30FE-C590-4513-8802-322F9E0B3E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953307"/>
    <w:multiLevelType w:val="multilevel"/>
    <w:tmpl w:val="1C953307"/>
    <w:lvl w:ilvl="0" w:tentative="0">
      <w:start w:val="7"/>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6C35E7C0"/>
    <w:multiLevelType w:val="singleLevel"/>
    <w:tmpl w:val="6C35E7C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iYjcxOTY5YzY0OTkxNjY5MzFiMjAzZDUzYTM4MzcifQ=="/>
  </w:docVars>
  <w:rsids>
    <w:rsidRoot w:val="79545BF0"/>
    <w:rsid w:val="00AB6BAC"/>
    <w:rsid w:val="00AF06D3"/>
    <w:rsid w:val="016323C1"/>
    <w:rsid w:val="018B1D99"/>
    <w:rsid w:val="02E5275D"/>
    <w:rsid w:val="04293CFB"/>
    <w:rsid w:val="0512354F"/>
    <w:rsid w:val="052142C4"/>
    <w:rsid w:val="05774529"/>
    <w:rsid w:val="06121443"/>
    <w:rsid w:val="0653784C"/>
    <w:rsid w:val="06A3651C"/>
    <w:rsid w:val="07AF6518"/>
    <w:rsid w:val="080920B9"/>
    <w:rsid w:val="081B2BC7"/>
    <w:rsid w:val="097A7AB5"/>
    <w:rsid w:val="0A6A3541"/>
    <w:rsid w:val="0A9315AD"/>
    <w:rsid w:val="0AC207BA"/>
    <w:rsid w:val="0AFB7374"/>
    <w:rsid w:val="0B646C3B"/>
    <w:rsid w:val="0D0C0901"/>
    <w:rsid w:val="0D7C124B"/>
    <w:rsid w:val="0E462D78"/>
    <w:rsid w:val="0EBD7100"/>
    <w:rsid w:val="111556EA"/>
    <w:rsid w:val="11EC7A88"/>
    <w:rsid w:val="120227AE"/>
    <w:rsid w:val="127B3F2C"/>
    <w:rsid w:val="12E80E29"/>
    <w:rsid w:val="13922F17"/>
    <w:rsid w:val="14B3609B"/>
    <w:rsid w:val="14BF4719"/>
    <w:rsid w:val="15567E4C"/>
    <w:rsid w:val="162E294D"/>
    <w:rsid w:val="163F53B8"/>
    <w:rsid w:val="166C78D2"/>
    <w:rsid w:val="16C67473"/>
    <w:rsid w:val="16CB6593"/>
    <w:rsid w:val="170515EA"/>
    <w:rsid w:val="17155BCA"/>
    <w:rsid w:val="176D09AA"/>
    <w:rsid w:val="18D66009"/>
    <w:rsid w:val="18E4404D"/>
    <w:rsid w:val="19705974"/>
    <w:rsid w:val="19B07BE2"/>
    <w:rsid w:val="19CA1C69"/>
    <w:rsid w:val="1A4A2695"/>
    <w:rsid w:val="1ADE3CF2"/>
    <w:rsid w:val="1B32070E"/>
    <w:rsid w:val="1C1B7274"/>
    <w:rsid w:val="1CCA7D61"/>
    <w:rsid w:val="1CCE00F1"/>
    <w:rsid w:val="1D2F4049"/>
    <w:rsid w:val="1D876CCD"/>
    <w:rsid w:val="1DB11C54"/>
    <w:rsid w:val="1DED2C78"/>
    <w:rsid w:val="1F5B0D97"/>
    <w:rsid w:val="21571A7A"/>
    <w:rsid w:val="218E2E33"/>
    <w:rsid w:val="21C16F79"/>
    <w:rsid w:val="21C509B2"/>
    <w:rsid w:val="21F03A01"/>
    <w:rsid w:val="22331AA9"/>
    <w:rsid w:val="227401C1"/>
    <w:rsid w:val="23D520BC"/>
    <w:rsid w:val="242325ED"/>
    <w:rsid w:val="242D00A7"/>
    <w:rsid w:val="242F33C9"/>
    <w:rsid w:val="25662653"/>
    <w:rsid w:val="26CD53C3"/>
    <w:rsid w:val="271F6458"/>
    <w:rsid w:val="273E0C67"/>
    <w:rsid w:val="28013B55"/>
    <w:rsid w:val="29955CA6"/>
    <w:rsid w:val="2A1F0018"/>
    <w:rsid w:val="2A883F52"/>
    <w:rsid w:val="2AD242F3"/>
    <w:rsid w:val="2AD67A68"/>
    <w:rsid w:val="2AFB1E85"/>
    <w:rsid w:val="2B2D6440"/>
    <w:rsid w:val="2B6105D1"/>
    <w:rsid w:val="2BDA1214"/>
    <w:rsid w:val="2C2B6336"/>
    <w:rsid w:val="2C7D416F"/>
    <w:rsid w:val="2CCE5C7A"/>
    <w:rsid w:val="2CE1787E"/>
    <w:rsid w:val="2CFE32BF"/>
    <w:rsid w:val="2D584DAB"/>
    <w:rsid w:val="2D736080"/>
    <w:rsid w:val="2D8D57F6"/>
    <w:rsid w:val="2E5374C0"/>
    <w:rsid w:val="2E6D2EEE"/>
    <w:rsid w:val="2EB06528"/>
    <w:rsid w:val="2F082761"/>
    <w:rsid w:val="2F920C6D"/>
    <w:rsid w:val="30971CF6"/>
    <w:rsid w:val="30BA203F"/>
    <w:rsid w:val="316D11FF"/>
    <w:rsid w:val="319603E0"/>
    <w:rsid w:val="336D4996"/>
    <w:rsid w:val="359978A1"/>
    <w:rsid w:val="35A61398"/>
    <w:rsid w:val="360A1461"/>
    <w:rsid w:val="361E2E89"/>
    <w:rsid w:val="36785C0A"/>
    <w:rsid w:val="36F800CD"/>
    <w:rsid w:val="37166693"/>
    <w:rsid w:val="37631775"/>
    <w:rsid w:val="37754915"/>
    <w:rsid w:val="379E015A"/>
    <w:rsid w:val="3A117121"/>
    <w:rsid w:val="3A4A5335"/>
    <w:rsid w:val="3A55033E"/>
    <w:rsid w:val="3A8C49BF"/>
    <w:rsid w:val="3AAC6EA5"/>
    <w:rsid w:val="3AD75B94"/>
    <w:rsid w:val="3B8F352C"/>
    <w:rsid w:val="3C3976CB"/>
    <w:rsid w:val="3C7E3141"/>
    <w:rsid w:val="3CA20B6B"/>
    <w:rsid w:val="3E1257A9"/>
    <w:rsid w:val="3E336081"/>
    <w:rsid w:val="3ECA3D26"/>
    <w:rsid w:val="3F974C0F"/>
    <w:rsid w:val="3FAF0662"/>
    <w:rsid w:val="3FDE363D"/>
    <w:rsid w:val="404A0D42"/>
    <w:rsid w:val="40637059"/>
    <w:rsid w:val="40D80945"/>
    <w:rsid w:val="40F83CF9"/>
    <w:rsid w:val="414D074C"/>
    <w:rsid w:val="42616B63"/>
    <w:rsid w:val="428306EC"/>
    <w:rsid w:val="429F3196"/>
    <w:rsid w:val="42CE077A"/>
    <w:rsid w:val="42D83792"/>
    <w:rsid w:val="43054405"/>
    <w:rsid w:val="43697616"/>
    <w:rsid w:val="43A10BF8"/>
    <w:rsid w:val="43C14588"/>
    <w:rsid w:val="447D40F2"/>
    <w:rsid w:val="447F5C92"/>
    <w:rsid w:val="4524505F"/>
    <w:rsid w:val="4670500C"/>
    <w:rsid w:val="46D96B6F"/>
    <w:rsid w:val="47443D40"/>
    <w:rsid w:val="479C3582"/>
    <w:rsid w:val="495F3DD4"/>
    <w:rsid w:val="49903BA5"/>
    <w:rsid w:val="49A27C8C"/>
    <w:rsid w:val="49FD6038"/>
    <w:rsid w:val="4AFA224D"/>
    <w:rsid w:val="4B086390"/>
    <w:rsid w:val="4B2049DA"/>
    <w:rsid w:val="4BA03960"/>
    <w:rsid w:val="4C510B66"/>
    <w:rsid w:val="4C8554B2"/>
    <w:rsid w:val="4D2253E0"/>
    <w:rsid w:val="4D51349B"/>
    <w:rsid w:val="4E6551CF"/>
    <w:rsid w:val="4EAF6407"/>
    <w:rsid w:val="4F10049B"/>
    <w:rsid w:val="4F3238DD"/>
    <w:rsid w:val="4F4F0D32"/>
    <w:rsid w:val="4FB520A2"/>
    <w:rsid w:val="4FDF43A0"/>
    <w:rsid w:val="50E1740F"/>
    <w:rsid w:val="51AB18C2"/>
    <w:rsid w:val="51C50C33"/>
    <w:rsid w:val="51E6045F"/>
    <w:rsid w:val="51EE190B"/>
    <w:rsid w:val="526F3633"/>
    <w:rsid w:val="52C371CD"/>
    <w:rsid w:val="534C2071"/>
    <w:rsid w:val="53713215"/>
    <w:rsid w:val="5417644C"/>
    <w:rsid w:val="5449584A"/>
    <w:rsid w:val="552F5B3B"/>
    <w:rsid w:val="559557B0"/>
    <w:rsid w:val="55AA6CFA"/>
    <w:rsid w:val="562E2EE6"/>
    <w:rsid w:val="563E7122"/>
    <w:rsid w:val="56575019"/>
    <w:rsid w:val="565E70AE"/>
    <w:rsid w:val="57116C03"/>
    <w:rsid w:val="587C23C8"/>
    <w:rsid w:val="59576D7E"/>
    <w:rsid w:val="599A7E5D"/>
    <w:rsid w:val="5A1479A3"/>
    <w:rsid w:val="5A201784"/>
    <w:rsid w:val="5A834F5B"/>
    <w:rsid w:val="5B6A1223"/>
    <w:rsid w:val="5BCC5A39"/>
    <w:rsid w:val="5C31489F"/>
    <w:rsid w:val="5C333D2C"/>
    <w:rsid w:val="5C89207C"/>
    <w:rsid w:val="5CE7574D"/>
    <w:rsid w:val="5D000EA8"/>
    <w:rsid w:val="5D3F0DB4"/>
    <w:rsid w:val="5DB8421A"/>
    <w:rsid w:val="5DE67414"/>
    <w:rsid w:val="5DF82542"/>
    <w:rsid w:val="5E71418D"/>
    <w:rsid w:val="5E9D1310"/>
    <w:rsid w:val="5EA42B30"/>
    <w:rsid w:val="5EBE2BE4"/>
    <w:rsid w:val="5EF90A10"/>
    <w:rsid w:val="601E5B74"/>
    <w:rsid w:val="60383250"/>
    <w:rsid w:val="61494905"/>
    <w:rsid w:val="61AE77EC"/>
    <w:rsid w:val="61E80454"/>
    <w:rsid w:val="62701B62"/>
    <w:rsid w:val="628208E7"/>
    <w:rsid w:val="62A1320C"/>
    <w:rsid w:val="62ED6116"/>
    <w:rsid w:val="63D504BD"/>
    <w:rsid w:val="64800D38"/>
    <w:rsid w:val="64D66046"/>
    <w:rsid w:val="655955A2"/>
    <w:rsid w:val="657E1B35"/>
    <w:rsid w:val="672D0625"/>
    <w:rsid w:val="67604603"/>
    <w:rsid w:val="686B0869"/>
    <w:rsid w:val="68C53B27"/>
    <w:rsid w:val="69CD606C"/>
    <w:rsid w:val="6A1C35C9"/>
    <w:rsid w:val="6A2E474C"/>
    <w:rsid w:val="6AF772E4"/>
    <w:rsid w:val="6AFB7942"/>
    <w:rsid w:val="6B0A08E6"/>
    <w:rsid w:val="6B27745F"/>
    <w:rsid w:val="6B3A6092"/>
    <w:rsid w:val="6BCB55B1"/>
    <w:rsid w:val="6C626F41"/>
    <w:rsid w:val="6CDC300D"/>
    <w:rsid w:val="6D47321D"/>
    <w:rsid w:val="6D7A66A4"/>
    <w:rsid w:val="6D935DAA"/>
    <w:rsid w:val="6DC212D4"/>
    <w:rsid w:val="6DC2797B"/>
    <w:rsid w:val="6E425C67"/>
    <w:rsid w:val="6ECE42F1"/>
    <w:rsid w:val="6F30175C"/>
    <w:rsid w:val="6F7836BA"/>
    <w:rsid w:val="6FB453F0"/>
    <w:rsid w:val="6FE10447"/>
    <w:rsid w:val="703B23D6"/>
    <w:rsid w:val="708015FF"/>
    <w:rsid w:val="70892CD9"/>
    <w:rsid w:val="712E4AA8"/>
    <w:rsid w:val="71F97279"/>
    <w:rsid w:val="72423204"/>
    <w:rsid w:val="725C08A3"/>
    <w:rsid w:val="72A67A6F"/>
    <w:rsid w:val="73016A04"/>
    <w:rsid w:val="730D2BEF"/>
    <w:rsid w:val="732B120F"/>
    <w:rsid w:val="74413164"/>
    <w:rsid w:val="74817751"/>
    <w:rsid w:val="74E426EC"/>
    <w:rsid w:val="750A2CD7"/>
    <w:rsid w:val="75CD4E67"/>
    <w:rsid w:val="76AB565D"/>
    <w:rsid w:val="77A57FFF"/>
    <w:rsid w:val="77D14840"/>
    <w:rsid w:val="7820387C"/>
    <w:rsid w:val="78881B42"/>
    <w:rsid w:val="78993925"/>
    <w:rsid w:val="78E05537"/>
    <w:rsid w:val="78ED34F7"/>
    <w:rsid w:val="79545BF0"/>
    <w:rsid w:val="79883281"/>
    <w:rsid w:val="79942CD6"/>
    <w:rsid w:val="79E46DE1"/>
    <w:rsid w:val="7B314A7E"/>
    <w:rsid w:val="7B3214EF"/>
    <w:rsid w:val="7C0D6473"/>
    <w:rsid w:val="7C300C8D"/>
    <w:rsid w:val="7D6E22AD"/>
    <w:rsid w:val="7DCF7ADB"/>
    <w:rsid w:val="7F00059D"/>
    <w:rsid w:val="7F645241"/>
    <w:rsid w:val="7FB67BBF"/>
    <w:rsid w:val="7FD41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eastAsia="仿宋_GB2312"/>
      <w:szCs w:val="21"/>
    </w:rPr>
  </w:style>
  <w:style w:type="paragraph" w:styleId="4">
    <w:name w:val="Body Text Indent"/>
    <w:basedOn w:val="1"/>
    <w:qFormat/>
    <w:uiPriority w:val="0"/>
    <w:pPr>
      <w:spacing w:after="120"/>
      <w:ind w:left="420" w:leftChars="200"/>
    </w:pPr>
    <w:rPr>
      <w:rFonts w:ascii="Times New Roman" w:hAnsi="Times New Roman"/>
    </w:rPr>
  </w:style>
  <w:style w:type="paragraph" w:styleId="5">
    <w:name w:val="Block Text"/>
    <w:basedOn w:val="1"/>
    <w:qFormat/>
    <w:uiPriority w:val="0"/>
    <w:pPr>
      <w:spacing w:after="120"/>
      <w:ind w:left="1440" w:leftChars="700" w:right="700" w:rightChars="700"/>
    </w:pPr>
  </w:style>
  <w:style w:type="paragraph" w:styleId="6">
    <w:name w:val="footer"/>
    <w:basedOn w:val="1"/>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Title"/>
    <w:basedOn w:val="1"/>
    <w:next w:val="1"/>
    <w:qFormat/>
    <w:uiPriority w:val="10"/>
    <w:pPr>
      <w:spacing w:before="240" w:beforeLines="0" w:beforeAutospacing="0" w:after="60" w:afterLines="0" w:afterAutospacing="0"/>
      <w:jc w:val="center"/>
      <w:outlineLvl w:val="0"/>
    </w:pPr>
    <w:rPr>
      <w:rFonts w:ascii="Arial" w:hAnsi="Arial"/>
      <w:sz w:val="32"/>
    </w:rPr>
  </w:style>
  <w:style w:type="paragraph" w:styleId="11">
    <w:name w:val="Body Text First Indent 2"/>
    <w:basedOn w:val="4"/>
    <w:next w:val="5"/>
    <w:qFormat/>
    <w:uiPriority w:val="0"/>
    <w:pPr>
      <w:spacing w:before="100" w:beforeAutospacing="1" w:after="0"/>
      <w:ind w:left="0" w:firstLine="420" w:firstLineChars="200"/>
    </w:pPr>
    <w:rPr>
      <w:rFonts w:ascii="Calibri" w:hAnsi="Calibri"/>
    </w:rPr>
  </w:style>
  <w:style w:type="character" w:styleId="14">
    <w:name w:val="Strong"/>
    <w:basedOn w:val="13"/>
    <w:qFormat/>
    <w:uiPriority w:val="0"/>
  </w:style>
  <w:style w:type="character" w:styleId="15">
    <w:name w:val="page number"/>
    <w:basedOn w:val="13"/>
    <w:qFormat/>
    <w:uiPriority w:val="0"/>
  </w:style>
  <w:style w:type="character" w:styleId="16">
    <w:name w:val="FollowedHyperlink"/>
    <w:basedOn w:val="13"/>
    <w:qFormat/>
    <w:uiPriority w:val="0"/>
    <w:rPr>
      <w:color w:val="444444"/>
      <w:u w:val="none"/>
    </w:rPr>
  </w:style>
  <w:style w:type="character" w:styleId="17">
    <w:name w:val="Emphasis"/>
    <w:basedOn w:val="13"/>
    <w:qFormat/>
    <w:uiPriority w:val="0"/>
  </w:style>
  <w:style w:type="character" w:styleId="18">
    <w:name w:val="HTML Definition"/>
    <w:basedOn w:val="13"/>
    <w:qFormat/>
    <w:uiPriority w:val="0"/>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444444"/>
      <w:u w:val="none"/>
    </w:rPr>
  </w:style>
  <w:style w:type="character" w:styleId="22">
    <w:name w:val="HTML Code"/>
    <w:basedOn w:val="13"/>
    <w:qFormat/>
    <w:uiPriority w:val="0"/>
    <w:rPr>
      <w:rFonts w:ascii="Courier New" w:hAnsi="Courier New"/>
      <w:color w:val="D72500"/>
      <w:sz w:val="20"/>
    </w:rPr>
  </w:style>
  <w:style w:type="character" w:styleId="23">
    <w:name w:val="HTML Cite"/>
    <w:basedOn w:val="13"/>
    <w:qFormat/>
    <w:uiPriority w:val="0"/>
  </w:style>
  <w:style w:type="paragraph" w:styleId="24">
    <w:name w:val="List Paragraph"/>
    <w:basedOn w:val="1"/>
    <w:qFormat/>
    <w:uiPriority w:val="99"/>
    <w:pPr>
      <w:ind w:firstLine="420" w:firstLineChars="200"/>
    </w:pPr>
    <w:rPr>
      <w:rFonts w:ascii="Calibri" w:hAnsi="Calibri" w:eastAsia="宋体" w:cs="Times New Roman"/>
      <w:szCs w:val="22"/>
    </w:rPr>
  </w:style>
  <w:style w:type="character" w:customStyle="1" w:styleId="25">
    <w:name w:val="wecome"/>
    <w:basedOn w:val="13"/>
    <w:qFormat/>
    <w:uiPriority w:val="0"/>
    <w:rPr>
      <w:color w:val="FFFFFF"/>
    </w:rPr>
  </w:style>
  <w:style w:type="character" w:customStyle="1" w:styleId="26">
    <w:name w:val="font11"/>
    <w:basedOn w:val="13"/>
    <w:qFormat/>
    <w:uiPriority w:val="0"/>
    <w:rPr>
      <w:rFonts w:hint="eastAsia" w:ascii="宋体" w:hAnsi="宋体" w:eastAsia="宋体" w:cs="宋体"/>
      <w:color w:val="000000"/>
      <w:sz w:val="22"/>
      <w:szCs w:val="22"/>
      <w:u w:val="none"/>
    </w:rPr>
  </w:style>
  <w:style w:type="character" w:customStyle="1" w:styleId="27">
    <w:name w:val="ca-12"/>
    <w:basedOn w:val="13"/>
    <w:qFormat/>
    <w:uiPriority w:val="0"/>
  </w:style>
  <w:style w:type="character" w:customStyle="1" w:styleId="28">
    <w:name w:val="font21"/>
    <w:basedOn w:val="13"/>
    <w:qFormat/>
    <w:uiPriority w:val="0"/>
    <w:rPr>
      <w:rFonts w:hint="eastAsia" w:ascii="宋体" w:hAnsi="宋体" w:eastAsia="宋体" w:cs="宋体"/>
      <w:color w:val="000000"/>
      <w:sz w:val="22"/>
      <w:szCs w:val="22"/>
      <w:u w:val="none"/>
    </w:rPr>
  </w:style>
  <w:style w:type="character" w:customStyle="1" w:styleId="29">
    <w:name w:val="font01"/>
    <w:basedOn w:val="13"/>
    <w:qFormat/>
    <w:uiPriority w:val="0"/>
    <w:rPr>
      <w:rFonts w:hint="default" w:ascii="Calibri" w:hAnsi="Calibri" w:cs="Calibri"/>
      <w:color w:val="000000"/>
      <w:sz w:val="22"/>
      <w:szCs w:val="22"/>
      <w:u w:val="none"/>
    </w:rPr>
  </w:style>
  <w:style w:type="paragraph" w:customStyle="1" w:styleId="30">
    <w:name w:val="Table Paragraph"/>
    <w:basedOn w:val="1"/>
    <w:qFormat/>
    <w:uiPriority w:val="0"/>
    <w:pPr>
      <w:autoSpaceDE w:val="0"/>
      <w:autoSpaceDN w:val="0"/>
      <w:jc w:val="left"/>
    </w:pPr>
    <w:rPr>
      <w:rFonts w:ascii="宋体" w:hAnsi="宋体" w:eastAsia="宋体" w:cs="宋体"/>
      <w:kern w:val="0"/>
      <w:sz w:val="22"/>
      <w:szCs w:val="22"/>
      <w:lang w:val="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21517</Words>
  <Characters>23697</Characters>
  <Lines>0</Lines>
  <Paragraphs>0</Paragraphs>
  <TotalTime>0</TotalTime>
  <ScaleCrop>false</ScaleCrop>
  <LinksUpToDate>false</LinksUpToDate>
  <CharactersWithSpaces>24996</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2020-06-03T01:06:00Z</dcterms:created>
  <dc:creator>Administrator</dc:creator>
  <cp:lastModifiedBy>蒋伟</cp:lastModifiedBy>
  <cp:lastPrinted>2022-05-30T10:31:00Z</cp:lastPrinted>
  <dcterms:modified xsi:type="dcterms:W3CDTF">2023-09-01T08:18:02Z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5EE86D25D63949CB8432C422A5430C27</vt:lpwstr>
  </property>
</Properties>
</file>