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1764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当预计连续 10 天内的平均气温低于+5℃时，砌筑工程应该采取冬期施工措施。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 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1765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当柱平放起吊抗弯强度不足时，柱的绑扎起吊方法应采用斜吊法。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 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拆模一般按照“先支后拆，先承重，后非承重”的原则进行。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 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1767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钢管抽芯法抽管时应控制在混凝土终凝前进行。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1768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玻璃幕墙以是否显示框格来分，可以分为明框玻璃幕墙、半隐框玻璃幕墙和隐框玻璃幕墙。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1769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浇筑有主次梁的肋形楼板时，混凝土施工缝宜留在主梁边跨 1/3范围。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按照土的开挖难易程度可以将土分为八类，其前四类为松软土、普通土、坚土、砂砾坚土。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外墙转角处严禁留直槎，其它临时调整间断处留槎的做法必须符合施工验收规范的规定。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01-03-0100-03-009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混凝土保护层厚度是指钢筋外边缘到混凝土外边缘的距离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1773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屋面防水等级分为四级，其中四级防水年限为8年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1774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同一类土的颗粒级配越均匀，越容易压实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1775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当预制桩的强度达到设计强度的70%后，可以对桩进行起吊和运输。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1776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当履带式起重机起重臂长度一定时，起重量增加，起重高度减小。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1777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砖砌体水平砂浆饱满度的检测工具是百格网。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1778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如梁或板的跨度等于或大于5米，应使底模板起拱。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1779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拉铲挖土机的挖土特点是“后退向下，强制切土”。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填土要分层分类进行，层间关系为透水率小的土在下。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1781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混凝土泵在输送混凝土前，管道应先用水泥浆或水润滑。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1782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在雨期砖的存放必须集中码放，不宜浇水，砌体砌筑高度不宜超过1.5米。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1783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混凝土取样与试块留置：每拌制100盘且不超过100m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的同配合比的混凝土，取样不得少于一次。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1784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钢筋的连接方法有多种，在钢筋焊接中，对于现浇钢筋混凝土框架结构中竖向钢筋的连接，最宜采用电渣压力焊。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1785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铺贴卷材采用搭接法，平行于屋脊的搭接应顺流水方向。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1786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建筑构件的耐火极限一般以小时计。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1787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钢筋按化学成分不同可以分为碳素钢与合金钢。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1788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为保证泵送混凝土有良好的可泵性，混凝土的坍落度控制在180mm。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1789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混凝土应覆盖浇水养护，其养护时间不应少于7天。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1790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01-03-0100-03-027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釉面砖应先在清水中浸泡2~3小时，取出晾干，表面无水迹后，方可使用。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1791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01-03-0100-03-028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混凝土产生“蜂窝”的主要原因之一是振捣不良。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1792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屋面的排水方式主要为有组织排水和无组织排水。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1793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先张法适用的构件为大型构件。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1794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01-03-0100-03-031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楼面砂浆面层起砂常见原因砂子太粗。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1795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01-03-0100-03-032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木模板在浇筑混凝土前要淋水。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1796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01-03-0100-03-033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混凝土投料顺序常用的方法有一次投料法和二次投料法。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1797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01-03-0100-03-034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抹灰用的石灰膏常温熟化期不少于10天。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1798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01-03-0100-03-035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设计要求用混合砂浆，因现场没有石灰膏，可用同标号水泥砂浆代替。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1799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砖基础正墙首层砖要用丁砖排砌，并保证与下部大放脚错缝搭砌。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1800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01-03-0100-03-037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卷材屋面在沥青卷材铺贴前一道工序是刷冷底子油。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1801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01-03-0100-03-038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配有多根预应力筋的预应力混凝土构件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可采用分批不对称张拉的张拉方法。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1802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01-03-0100-03-039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内部振动器宜于振捣断面小且钢筋密的构件。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1803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一般抹灰分为底层、中层和面层。中层主要起粘结作用。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</w:t>
            </w:r>
          </w:p>
        </w:tc>
      </w:tr>
    </w:tbl>
    <w:p>
      <w:pPr>
        <w:ind w:left="0" w:leftChars="0" w:firstLine="0" w:firstLineChars="0"/>
      </w:pPr>
    </w:p>
    <w:tbl>
      <w:tblPr>
        <w:tblStyle w:val="5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1804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判断题 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01-03-0100-03-041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钢筋混凝土屋架最后固定时，应由两名焊工在屋架两端的不同侧同时施焊，以防止因焊缝收缩使屋架倾斜。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rPr>
                <w:rStyle w:val="6"/>
                <w:rFonts w:hint="default"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正确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错误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 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Toman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Arial">
    <w:panose1 w:val="020B0604020202090204"/>
    <w:charset w:val="86"/>
    <w:family w:val="auto"/>
    <w:pitch w:val="default"/>
    <w:sig w:usb0="E0000AFF" w:usb1="00007843" w:usb2="00000001" w:usb3="00000000" w:csb0="400001BF" w:csb1="DFF7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华文中宋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Times New Roman'''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 Roman'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sz w:val="18"/>
        <w:szCs w:val="24"/>
        <w:lang w:val="en-US" w:eastAsia="zh-Hans"/>
      </w:rPr>
    </w:pPr>
    <w:r>
      <w:rPr>
        <w:rFonts w:hint="eastAsia"/>
        <w:sz w:val="18"/>
        <w:szCs w:val="24"/>
        <w:lang w:val="en-US" w:eastAsia="zh-Hans"/>
      </w:rPr>
      <w:t>实务</w:t>
    </w:r>
    <w:r>
      <w:rPr>
        <w:rFonts w:hint="default"/>
        <w:sz w:val="18"/>
        <w:szCs w:val="24"/>
        <w:lang w:eastAsia="zh-Hans"/>
      </w:rPr>
      <w:t>1764-1804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D750"/>
    <w:rsid w:val="17FF7134"/>
    <w:rsid w:val="2BF33E1E"/>
    <w:rsid w:val="3193C94A"/>
    <w:rsid w:val="4FF6B0CC"/>
    <w:rsid w:val="5FDFAD34"/>
    <w:rsid w:val="737C2530"/>
    <w:rsid w:val="7ABBC7A2"/>
    <w:rsid w:val="7FBFEA7C"/>
    <w:rsid w:val="E8E9A78B"/>
    <w:rsid w:val="EB7E33C7"/>
    <w:rsid w:val="F7F6BD1C"/>
    <w:rsid w:val="FBD3D52D"/>
    <w:rsid w:val="FBEE954D"/>
    <w:rsid w:val="FD7DAD32"/>
    <w:rsid w:val="FFFF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character" w:customStyle="1" w:styleId="6">
    <w:name w:val="样式 正文 +"/>
    <w:qFormat/>
    <w:uiPriority w:val="0"/>
    <w:rPr>
      <w:rFonts w:eastAsia="宋体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2022-01-19T07:36:00Z</dcterms:created>
  <dc:creator>mac</dc:creator>
  <cp:lastModifiedBy>mac</cp:lastModifiedBy>
  <dcterms:modified xsi:type="dcterms:W3CDTF">2022-02-23T00:17:07Z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