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施工现场负责审查批准一级动火作业的(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项目生产负责人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项目安全管理部门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企业安全管理部门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根据《建筑设计防火规范》，墙面装饰材料燃烧性能等级属于A级的场所是(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宾馆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办公楼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医院病房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住宅楼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为了保证砌体接槎部位的砂浆饱满，一般应留（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斜槎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直槎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马牙槎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直槎，但应加拉结筋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预制桩混凝土的强度应达到设计强度等级的（     ）后方可打桩。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90%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单根粗钢筋作预应力筋时，张拉端锚具应选用(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JM 12 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螺丝端杆锚具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单孔夹片锚具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帮条锚具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在普通气候环境中，优先选用的水泥是（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矿渣硅酸盐水泥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火山灰质硅酸盐水泥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普通硅酸盐水泥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粉煤灰硅酸盐水泥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为提高单桩承载力(       )施工中常用复打法施工</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泥浆护壁成孔灌注桩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套管成孔灌注桩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干作业成孔灌注桩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静力压桩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下列不属于影响钢筋与混凝土粘结强度的主要因素的是(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钢筋强度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混凝土的强度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保护层的厚度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钢筋之间的净距离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在预应力后张法施工中，钢管抽芯法的抽管顺序宜为（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先下后上，先曲后直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先下后上，先直后曲</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先上后下，先曲后直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先上后下，先直后曲</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打桩时，应按什么顺序沉设入土（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先大后小，先深后浅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先小后大，先深后浅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先大后小，先浅后深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先小后大，先浅后深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排水沟与集水坑应设置在（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基础范围以外；地下水走向的上游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基础范围以外；地下水走向的下游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基础范围以内；地下水走向的上游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基础范围以内；地下水走向的下游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量度差值是指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外包尺寸与内包尺寸间差值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外包尺寸与轴线间差值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轴线与内包尺寸间差值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下料长度与轴线间差值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屋面防水刷冷底子油的作用是（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增加一道防水层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加强沥青与找平层粘结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防止水分蒸发引起空鼓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保护找平层不受沥青侵蚀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地下铺设管沟开挖较窄的沟槽时，多采用（      ）进行土壁支护。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水泥土搅拌桩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重力式水泥土墙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地下连续墙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横撑式土壁支撑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采用重叠间隔方法现场预制桩时，制作上一层桩要求下层桩混凝土达到设计强度等级的多少？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8"/>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60%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现浇钢筋混凝土柱的主筋，采用焊接方法接长时，选择（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闪光对焊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搭接焊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坡口平焊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电渣压力焊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全玻幕墙面板与玻璃肋的连结用胶应用(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硅酮耐候密封胶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环氧胶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丁基热熔密封胶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硅酮结构密封胶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钢筋混凝土预制桩主筋的连接宜采用（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电弧焊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电阻点焊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埋弧压力焊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01-03-0100-01-019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常</w:t>
            </w:r>
            <w:r>
              <w:rPr>
                <w:rFonts w:hint="eastAsia" w:ascii="Times New Roman Regular" w:hAnsi="Times New Roman Regular" w:cs="Times New Roman Regular"/>
                <w:kern w:val="0"/>
                <w:sz w:val="18"/>
                <w:szCs w:val="18"/>
                <w:lang w:val="en-US" w:eastAsia="zh-Hans" w:bidi="ar-SA"/>
              </w:rPr>
              <w:t>用</w:t>
            </w:r>
            <w:r>
              <w:rPr>
                <w:rFonts w:hint="default" w:ascii="Times New Roman Regular" w:hAnsi="Times New Roman Regular" w:cs="Times New Roman Regular" w:eastAsiaTheme="minorEastAsia"/>
                <w:kern w:val="0"/>
                <w:sz w:val="18"/>
                <w:szCs w:val="18"/>
                <w:lang w:eastAsia="zh-Hans" w:bidi="ar-SA"/>
              </w:rPr>
              <w:t xml:space="preserve">于室内装修工程的天然大理石最主要的特性是(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属酸性石材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质地坚硬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吸水率高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碱性石材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b w:val="0"/>
                <w:sz w:val="18"/>
                <w:szCs w:val="18"/>
              </w:rPr>
              <w:t>改善混凝土耐久性的外加剂，不包括(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eastAsia="宋体" w:cs="Times New Roman Regular"/>
                <w:b w:val="0"/>
                <w:sz w:val="18"/>
                <w:szCs w:val="18"/>
              </w:rPr>
              <w:t>引气剂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eastAsia="宋体" w:cs="Times New Roman Regular"/>
                <w:b w:val="0"/>
                <w:sz w:val="18"/>
                <w:szCs w:val="18"/>
              </w:rPr>
              <w:t>防水剂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eastAsia="宋体" w:cs="Times New Roman Regular"/>
                <w:b w:val="0"/>
                <w:sz w:val="18"/>
                <w:szCs w:val="18"/>
              </w:rPr>
              <w:t>阻锈剂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eastAsia="宋体" w:cs="Times New Roman Regular"/>
                <w:b w:val="0"/>
                <w:sz w:val="18"/>
                <w:szCs w:val="18"/>
              </w:rPr>
              <w:t>着色剂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钢筋混凝土结构中，当采用绑扎搭接接头时，位于同一连接区段内受拉钢筋搭接接头面积的百分率，柱类构件不宜大于（</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不受限制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一组三个试件的强度分别为 30MPa、32MPa、25MPa，则该组试件的混凝土强度代表值为（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在浇筑</w:t>
            </w:r>
            <w:r>
              <w:rPr>
                <w:rFonts w:hint="default" w:ascii="Times New Roman Regular" w:hAnsi="Times New Roman Regular" w:cs="Times New Roman Regular"/>
                <w:kern w:val="0"/>
                <w:sz w:val="18"/>
                <w:szCs w:val="18"/>
                <w:lang w:eastAsia="zh-Hans" w:bidi="ar-SA"/>
              </w:rPr>
              <w:t>混凝土</w:t>
            </w:r>
            <w:r>
              <w:rPr>
                <w:rFonts w:hint="default" w:ascii="Times New Roman Regular" w:hAnsi="Times New Roman Regular" w:cs="Times New Roman Regular" w:eastAsiaTheme="minorEastAsia"/>
                <w:kern w:val="0"/>
                <w:sz w:val="18"/>
                <w:szCs w:val="18"/>
                <w:lang w:eastAsia="zh-Hans" w:bidi="ar-SA"/>
              </w:rPr>
              <w:t>结构时，因技术或组织上的原因不能连续浇筑，且停顿时间超过</w:t>
            </w:r>
            <w:r>
              <w:rPr>
                <w:rFonts w:hint="default" w:ascii="Times New Roman Regular" w:hAnsi="Times New Roman Regular" w:cs="Times New Roman Regular"/>
                <w:kern w:val="0"/>
                <w:sz w:val="18"/>
                <w:szCs w:val="18"/>
                <w:lang w:eastAsia="zh-Hans" w:bidi="ar-SA"/>
              </w:rPr>
              <w:t>混凝土</w:t>
            </w:r>
            <w:r>
              <w:rPr>
                <w:rFonts w:hint="default" w:ascii="Times New Roman Regular" w:hAnsi="Times New Roman Regular" w:cs="Times New Roman Regular" w:eastAsiaTheme="minorEastAsia"/>
                <w:kern w:val="0"/>
                <w:sz w:val="18"/>
                <w:szCs w:val="18"/>
                <w:lang w:eastAsia="zh-Hans" w:bidi="ar-SA"/>
              </w:rPr>
              <w:t>的初凝时间时，则应在适当位置留设施工缝。施工缝是结构的薄弱环节，宜留在结构（</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）较小部位，同时要方便施工。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弯矩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轴力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剪力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扭矩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焊接钢筋网片接头采用绑扎连接时，连接部分不宜位于（</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最大剪力处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最大弯矩处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最大扭矩处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最大拉力处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吸声材料表面用涂料装饰施工后，其吸声效果（</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减弱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增强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不变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bidi="ar-SA"/>
              </w:rPr>
              <w:t>略增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柱下条形基础梁的高度宜为柱距的（</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1/6～1/3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1/10～1/6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 xml:space="preserve">1/12～1/8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1/8～1/4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刚性防水屋面的防水层为细石混凝土时，水泥不得使用（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火山灰水泥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普通硅酸盐水泥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矿渣硅酸盐水泥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混凝土灌注桩的桩身混凝土强度等级不应低于（）。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eastAsia="宋体" w:cs="Times New Roman Regular"/>
                <w:kern w:val="0"/>
                <w:sz w:val="18"/>
                <w:szCs w:val="18"/>
                <w:lang w:eastAsia="zh-Hans" w:bidi="zh-CN"/>
              </w:rPr>
              <w:t>C15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eastAsia="zh-CN" w:bidi="ar-SA"/>
              </w:rPr>
              <w:t>C20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eastAsia="zh-CN" w:bidi="ar-SA"/>
              </w:rPr>
              <w:t>C25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CN" w:bidi="ar-SA"/>
              </w:rPr>
              <w:t>C30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01-03-0100-01-029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下列保温材料中，不属于无机保温隔热材料的是（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eastAsia="zh-Hans" w:bidi="ar-SA"/>
              </w:rPr>
              <w:t>石棉及其制品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膨胀蛭石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泡沫玻璃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泡沫塑料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无粘结预应力混凝土是指预应力筋靠 (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预应力筋与混凝土的粘结力传力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锚具和预应力筋与混凝土的粘结力传力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锚具传力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其它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砌筑砂浆保水性指标用（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）表示。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坍落度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维勃稠度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沉入度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分层度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预应力筋张拉的变形是（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弹性变形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塑性变形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弹塑变形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都不是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硅酸盐水泥运输和储存应按国家标准规定进行，超过（</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）时，水泥须重新试验。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一个月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二个月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三个月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六个月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硅酸盐水泥的特点是（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凝结硬化快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抗冻性差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水化热小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耐热性好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预计连续（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）天内的日平均气温稳定低于（</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℃时的砌体结构施工称为砌体结构冬季施工。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10，5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10，0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沉降观测宜采用（</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）方法。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三角高程测量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水准测量或三角高程测量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水准测量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等外水准测量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冬季在0℃以下做防水工程施工时适宜采用的防水卷材是（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PVC改性焦油沥青防水卷材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.SBS改性沥青防水卷材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APP改性沥青防水卷材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再生胶改性沥青防水卷材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从建筑施工的角度，根据土的（      ），可将土分为八类。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颗粒级配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沉积年代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坚硬程度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承载能力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kern w:val="0"/>
                <w:sz w:val="18"/>
                <w:szCs w:val="18"/>
                <w:lang w:eastAsia="zh-Hans"/>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01-03-0100-01-039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强度等级为42.5的普通水泥，若其体积安定性不合格，则应（</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按42.5强度等级应用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按实际强度应用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按32.5强度等级应用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按废品处理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CN"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某沟槽的宽度为4.0m，轻型井点的平面布置宜采用（      ）布置形式。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单排井点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U型井点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双排井点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环形井点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下列情况，不要求桩通长配筋的是（</w:t>
            </w:r>
            <w:r>
              <w:rPr>
                <w:rFonts w:hint="default" w:ascii="Times New Roman Regular" w:hAnsi="Times New Roman Regular" w:cs="Times New Roman Regular"/>
                <w:kern w:val="0"/>
                <w:sz w:val="18"/>
                <w:szCs w:val="18"/>
                <w:lang w:eastAsia="zh-Hans"/>
              </w:rPr>
              <w:t xml:space="preserve">     </w:t>
            </w:r>
            <w:r>
              <w:rPr>
                <w:rFonts w:hint="eastAsia" w:ascii="Times New Roman Regular" w:hAnsi="Times New Roman Regular" w:cs="Times New Roman Regular"/>
                <w:kern w:val="0"/>
                <w:sz w:val="18"/>
                <w:szCs w:val="18"/>
                <w:lang w:val="en-US"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eastAsia" w:ascii="Times New Roman Regular" w:hAnsi="Times New Roman Regular" w:cs="Times New Roman Regular"/>
                <w:kern w:val="0"/>
                <w:sz w:val="18"/>
                <w:szCs w:val="18"/>
                <w:lang w:val="en-US" w:eastAsia="zh-Hans"/>
              </w:rPr>
              <w:t>端承桩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kern w:val="0"/>
                <w:sz w:val="18"/>
                <w:szCs w:val="18"/>
                <w:lang w:val="en-US" w:eastAsia="zh-Hans"/>
              </w:rPr>
              <w:t>承受负摩阻力的桩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eastAsia" w:ascii="Times New Roman Regular" w:hAnsi="Times New Roman Regular" w:cs="Times New Roman Regular"/>
                <w:kern w:val="0"/>
                <w:sz w:val="18"/>
                <w:szCs w:val="18"/>
                <w:lang w:val="en-US" w:eastAsia="zh-Hans"/>
              </w:rPr>
              <w:t>抗拔桩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kern w:val="0"/>
                <w:sz w:val="18"/>
                <w:szCs w:val="18"/>
                <w:lang w:val="en-US" w:eastAsia="zh-Hans"/>
              </w:rPr>
              <w:t>桩径大于600mm的钻孔灌注桩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在寒冷地区不宜使用的玻璃是（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kern w:val="0"/>
                <w:sz w:val="18"/>
                <w:szCs w:val="18"/>
              </w:rPr>
              <w:t>防火玻璃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热反射玻璃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平板玻璃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吸热玻璃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土方的开挖顺序，方法必须与设计情况相一致，并遵循开槽支撑、（      ）严禁超挖的原则。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先撑后挖，分层开挖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先挖后撑，分层开挖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先撑后挖，分段开挖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先挖后撑，分段开挖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在河岸淤泥质土层中做直径为6</w:t>
            </w:r>
            <w:r>
              <w:rPr>
                <w:rFonts w:hint="default" w:ascii="Times New Roman Regular" w:hAnsi="Times New Roman Regular" w:cs="Times New Roman Regular" w:eastAsiaTheme="minorEastAsia"/>
                <w:kern w:val="0"/>
                <w:sz w:val="18"/>
                <w:szCs w:val="18"/>
                <w:lang w:val="en-US" w:eastAsia="zh-CN" w:bidi="ar-SA"/>
              </w:rPr>
              <w:t>00mm</w:t>
            </w:r>
            <w:r>
              <w:rPr>
                <w:rFonts w:hint="eastAsia" w:ascii="Times New Roman Regular" w:hAnsi="Times New Roman Regular" w:cs="Times New Roman Regular" w:eastAsiaTheme="minorEastAsia"/>
                <w:kern w:val="0"/>
                <w:sz w:val="18"/>
                <w:szCs w:val="18"/>
                <w:lang w:val="en-US" w:eastAsia="zh-CN" w:bidi="ar-SA"/>
              </w:rPr>
              <w:t>的灌注桩时，应采用（       ）成孔方法。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螺旋钻钻孔法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套管成孔法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爆扩法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人工挖孔法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当梁跨度≥（      ）时，梁底模应起拱。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kern w:val="0"/>
                <w:sz w:val="18"/>
                <w:szCs w:val="18"/>
              </w:rPr>
              <w:t>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4.5m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6m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浇注水下混凝土时，导管应始终埋入混凝土中不小于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3～4m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0.3～0.5m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0.8m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2</w:t>
            </w:r>
            <w:r>
              <w:rPr>
                <w:rFonts w:hint="eastAsia" w:ascii="Times New Roman Regular" w:hAnsi="Times New Roman Regular" w:cs="Times New Roman Regular"/>
                <w:kern w:val="0"/>
                <w:sz w:val="18"/>
                <w:szCs w:val="18"/>
                <w:lang w:val="en-US" w:eastAsia="zh-Hans" w:bidi="ar-SA"/>
              </w:rPr>
              <w:t>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某混凝土梁的跨度为9.0m，采用木模板、钢支柱支模时，如无设计要求，则该混凝土梁跨中的起拱高度为（</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w:t>
            </w:r>
            <w:r>
              <w:rPr>
                <w:rFonts w:hint="eastAsia" w:ascii="Times New Roman Regular" w:hAnsi="Times New Roman Regular" w:cs="Times New Roman Regular"/>
                <w:kern w:val="0"/>
                <w:sz w:val="18"/>
                <w:szCs w:val="18"/>
                <w:lang w:val="en-US" w:eastAsia="zh-Hans" w:bidi="ar-SA"/>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6mm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8mm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18mm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val="en-US" w:eastAsia="zh-Hans" w:bidi="ar-SA"/>
              </w:rPr>
              <w:t>28mm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钢筋进行冷拉加工时，常采用控制钢筋的冷拉率和（      ）两种方法。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强度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冷弯性能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应力</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val="en-US" w:eastAsia="zh-Hans" w:bidi="ar-SA"/>
              </w:rPr>
              <w:t>变形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01-03-0100-01-049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对厚度大而面积较小的大体积设备基础，浇筑混凝土时应采取（      ）方案。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en-US" w:eastAsia="zh-Hans" w:bidi="zh-CN"/>
              </w:rPr>
            </w:pPr>
            <w:r>
              <w:rPr>
                <w:rFonts w:hint="default" w:ascii="Times New Roman Regular" w:hAnsi="Times New Roman Regular" w:cs="Times New Roman Regular" w:eastAsiaTheme="minorEastAsia"/>
                <w:kern w:val="0"/>
                <w:sz w:val="18"/>
                <w:szCs w:val="18"/>
                <w:lang w:val="en-US" w:eastAsia="zh-Hans" w:bidi="ar-SA"/>
              </w:rPr>
              <w:t>全面分层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斜面分层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分段分层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val="en-US" w:eastAsia="zh-Hans" w:bidi="ar-SA"/>
              </w:rPr>
              <w:t>分期浇筑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首次使用的混凝土配合比应进行开盘鉴定，其工作性应满足设计配合比的要求。开始生产时，应至少留置（       ）组标准养护试件，作为验证配合比的依据。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eastAsia" w:ascii="Times New Roman Regular" w:hAnsi="Times New Roman Regular" w:cs="Times New Roman Regular"/>
                <w:kern w:val="0"/>
                <w:sz w:val="18"/>
                <w:szCs w:val="18"/>
              </w:rPr>
              <w:t>六</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混凝土的自由倾落高度不应超过（     ）m，否则应采用串筒或溜槽下料。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CN"/>
              </w:rPr>
            </w:pPr>
            <w:r>
              <w:rPr>
                <w:rFonts w:hint="default" w:ascii="Times New Roman Regular" w:hAnsi="Times New Roman Regular" w:cs="Times New Roman Regular"/>
                <w:kern w:val="0"/>
                <w:sz w:val="18"/>
                <w:szCs w:val="18"/>
                <w:lang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kern w:val="0"/>
                <w:sz w:val="18"/>
                <w:szCs w:val="18"/>
                <w:lang w:eastAsia="zh-Hans"/>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rPr>
              <w:t>单层工业厂房在横向伸缩缝处采用双柱时，其两侧柱中心线应自定位轴线内移（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450mm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500mm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550mm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600mm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eastAsiaTheme="minorEastAsia"/>
                <w:kern w:val="0"/>
                <w:sz w:val="18"/>
                <w:szCs w:val="18"/>
                <w:lang w:eastAsia="zh-Hans" w:bidi="ar-SA"/>
              </w:rPr>
              <w:t>钢筋等强代换公式为(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y2</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s2</w:t>
            </w: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y2</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y1</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s2</w:t>
            </w: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y1</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y2</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s2</w:t>
            </w: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y1</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y2</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s1</w:t>
            </w:r>
            <w:r>
              <w:rPr>
                <w:rFonts w:hint="default" w:ascii="Times New Roman Regular" w:hAnsi="Times New Roman Regular" w:cs="Times New Roman Regular" w:eastAsiaTheme="minorEastAsia"/>
                <w:kern w:val="0"/>
                <w:sz w:val="18"/>
                <w:szCs w:val="18"/>
                <w:lang w:eastAsia="zh-Hans" w:bidi="ar-SA"/>
              </w:rPr>
              <w:t>≥f</w:t>
            </w:r>
            <w:r>
              <w:rPr>
                <w:rFonts w:hint="default" w:ascii="Times New Roman Regular" w:hAnsi="Times New Roman Regular" w:cs="Times New Roman Regular" w:eastAsiaTheme="minorEastAsia"/>
                <w:kern w:val="0"/>
                <w:sz w:val="18"/>
                <w:szCs w:val="18"/>
                <w:vertAlign w:val="subscript"/>
                <w:lang w:eastAsia="zh-Hans" w:bidi="ar-SA"/>
              </w:rPr>
              <w:t>y2</w:t>
            </w:r>
            <w:r>
              <w:rPr>
                <w:rFonts w:hint="default" w:ascii="Times New Roman Regular" w:hAnsi="Times New Roman Regular" w:cs="Times New Roman Regular" w:eastAsiaTheme="minorEastAsia"/>
                <w:kern w:val="0"/>
                <w:sz w:val="18"/>
                <w:szCs w:val="18"/>
                <w:lang w:eastAsia="zh-Hans" w:bidi="ar-SA"/>
              </w:rPr>
              <w:t>A</w:t>
            </w:r>
            <w:r>
              <w:rPr>
                <w:rFonts w:hint="default" w:ascii="Times New Roman Regular" w:hAnsi="Times New Roman Regular" w:cs="Times New Roman Regular" w:eastAsiaTheme="minorEastAsia"/>
                <w:kern w:val="0"/>
                <w:sz w:val="18"/>
                <w:szCs w:val="18"/>
                <w:vertAlign w:val="subscript"/>
                <w:lang w:eastAsia="zh-Hans" w:bidi="ar-SA"/>
              </w:rPr>
              <w:t>s2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梁侧面构造钢筋锚入支座的长度为（）。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L</w:t>
            </w:r>
            <w:r>
              <w:rPr>
                <w:rFonts w:hint="default" w:ascii="Times New Roman Regular" w:hAnsi="Times New Roman Regular" w:cs="Times New Roman Regular"/>
                <w:kern w:val="0"/>
                <w:sz w:val="18"/>
                <w:szCs w:val="18"/>
                <w:vertAlign w:val="subscript"/>
              </w:rPr>
              <w:t>aE</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12d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150mm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15d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后张法施工相对于先张法的优点是（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eastAsia" w:ascii="Times New Roman Regular" w:hAnsi="Times New Roman Regular" w:cs="Times New Roman Regular" w:eastAsiaTheme="minorEastAsia"/>
                <w:kern w:val="0"/>
                <w:sz w:val="18"/>
                <w:szCs w:val="18"/>
                <w:lang w:val="en-US" w:eastAsia="zh-CN" w:bidi="ar-SA"/>
              </w:rPr>
              <w:t>不需要台座、不受地点限制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锚具可重复使用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工艺简单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经济方便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混凝土强度达到（       ）前，不得在其上踩踏或安装模板及支架。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1.2N/mm</w:t>
            </w:r>
            <w:r>
              <w:rPr>
                <w:rFonts w:hint="default" w:ascii="Times New Roman Regular" w:hAnsi="Times New Roman Regular" w:cs="Times New Roman Regular" w:eastAsiaTheme="minorEastAsia"/>
                <w:kern w:val="0"/>
                <w:sz w:val="18"/>
                <w:szCs w:val="18"/>
                <w:vertAlign w:val="superscript"/>
                <w:lang w:val="en-US" w:eastAsia="zh-Hans" w:bidi="ar-SA"/>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2.4N/mm</w:t>
            </w:r>
            <w:r>
              <w:rPr>
                <w:rFonts w:hint="default" w:ascii="Times New Roman Regular" w:hAnsi="Times New Roman Regular" w:cs="Times New Roman Regular" w:eastAsiaTheme="minorEastAsia"/>
                <w:kern w:val="0"/>
                <w:sz w:val="18"/>
                <w:szCs w:val="18"/>
                <w:vertAlign w:val="superscript"/>
                <w:lang w:val="en-US" w:eastAsia="zh-Hans" w:bidi="ar-SA"/>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3.6N/mm</w:t>
            </w:r>
            <w:r>
              <w:rPr>
                <w:rFonts w:hint="default" w:ascii="Times New Roman Regular" w:hAnsi="Times New Roman Regular" w:cs="Times New Roman Regular" w:eastAsiaTheme="minorEastAsia"/>
                <w:kern w:val="0"/>
                <w:sz w:val="18"/>
                <w:szCs w:val="18"/>
                <w:vertAlign w:val="superscript"/>
                <w:lang w:val="en-US" w:eastAsia="zh-Hans" w:bidi="ar-SA"/>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eastAsiaTheme="minorEastAsia"/>
                <w:kern w:val="0"/>
                <w:sz w:val="18"/>
                <w:szCs w:val="18"/>
                <w:lang w:val="en-US" w:eastAsia="zh-Hans" w:bidi="ar-SA"/>
              </w:rPr>
              <w:t>4.8N/mm</w:t>
            </w:r>
            <w:r>
              <w:rPr>
                <w:rFonts w:hint="default" w:ascii="Times New Roman Regular" w:hAnsi="Times New Roman Regular" w:cs="Times New Roman Regular" w:eastAsiaTheme="minorEastAsia"/>
                <w:kern w:val="0"/>
                <w:sz w:val="18"/>
                <w:szCs w:val="18"/>
                <w:vertAlign w:val="superscript"/>
                <w:lang w:val="en-US" w:eastAsia="zh-Hans" w:bidi="ar-SA"/>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砖墙水平灰缝的砂浆饱满度应不低于（      ）。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70%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default" w:ascii="Times New Roman Regular" w:hAnsi="Times New Roman Regular" w:cs="Times New Roman Regular" w:eastAsiaTheme="minorEastAsia"/>
                <w:kern w:val="0"/>
                <w:sz w:val="18"/>
                <w:szCs w:val="18"/>
                <w:lang w:val="en-US" w:eastAsia="zh-Hans" w:bidi="ar-SA"/>
              </w:rPr>
              <w:t>95%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CN" w:bidi="ar-SA"/>
              </w:rPr>
              <w:t>砖墙的灰缝厚度一般为（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eastAsia" w:ascii="Times New Roman Regular" w:hAnsi="Times New Roman Regular" w:cs="Times New Roman Regular" w:eastAsiaTheme="minorEastAsia"/>
                <w:kern w:val="0"/>
                <w:sz w:val="18"/>
                <w:szCs w:val="18"/>
                <w:lang w:val="en-US" w:eastAsia="zh-CN" w:bidi="ar-SA"/>
              </w:rPr>
              <w:t>6mm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10mm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rPr>
              <w:t xml:space="preserve">15mm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rPr>
            </w:pPr>
            <w:r>
              <w:rPr>
                <w:rFonts w:hint="eastAsia" w:ascii="Times New Roman Regular" w:hAnsi="Times New Roman Regular" w:cs="Times New Roman Regular"/>
                <w:kern w:val="0"/>
                <w:sz w:val="18"/>
                <w:szCs w:val="18"/>
              </w:rPr>
              <w:t>20mm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01-03-0100-01-059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当圈梁遇洞口中断，所设置的附加圈梁与原圈梁的搭接长度L应满足（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L≤2h且≤1000mm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L≤2h且≤1500mm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L≥2h且≥1500mm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L≥2h且≥1000mm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砖墙的一般日砌高度以不超过（      ）为宜。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3米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2.5米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2米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1.8米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eastAsia" w:ascii="Times New Roman Regular" w:hAnsi="Times New Roman Regular" w:cs="Times New Roman Regular" w:eastAsiaTheme="minorEastAsia"/>
                <w:kern w:val="0"/>
                <w:sz w:val="18"/>
                <w:szCs w:val="18"/>
                <w:lang w:val="en-US" w:eastAsia="zh-Hans" w:bidi="ar-SA"/>
              </w:rPr>
              <w:t>防水混凝土的结构的裂缝宽度不得大于（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eastAsia" w:ascii="Times New Roman Regular" w:hAnsi="Times New Roman Regular" w:cs="Times New Roman Regular" w:eastAsiaTheme="minorEastAsia"/>
                <w:kern w:val="0"/>
                <w:sz w:val="18"/>
                <w:szCs w:val="18"/>
                <w:lang w:val="en-US" w:eastAsia="zh-Hans" w:bidi="ar-SA"/>
              </w:rPr>
              <w:t>0.1mm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eastAsia" w:ascii="Times New Roman Regular" w:hAnsi="Times New Roman Regular" w:cs="Times New Roman Regular"/>
                <w:kern w:val="0"/>
                <w:sz w:val="18"/>
                <w:szCs w:val="18"/>
                <w:lang w:eastAsia="zh-Hans" w:bidi="ar-SA"/>
              </w:rPr>
              <w:t>0.3mm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eastAsia" w:ascii="Times New Roman Regular" w:hAnsi="Times New Roman Regular" w:cs="Times New Roman Regular"/>
                <w:kern w:val="0"/>
                <w:sz w:val="18"/>
                <w:szCs w:val="18"/>
                <w:lang w:eastAsia="zh-Hans" w:bidi="ar-SA"/>
              </w:rPr>
              <w:t>0.2 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eastAsia" w:ascii="Times New Roman Regular" w:hAnsi="Times New Roman Regular" w:cs="Times New Roman Regular"/>
                <w:kern w:val="0"/>
                <w:sz w:val="18"/>
                <w:szCs w:val="18"/>
                <w:lang w:eastAsia="zh-Hans" w:bidi="ar-SA"/>
              </w:rPr>
              <w:t>0.4mm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下列施工方法中那种方法不适宜合成高分子防水卷材的施工。（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热熔法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冷贴法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热风焊接法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自粘法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防水混凝土应覆盖浇水养护，其养护时间不应少于：（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7 d</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10d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14d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21d</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水磨石地面一般采用（      ）法施工。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 xml:space="preserve">一浆二磨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二浆三磨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二浆四磨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三浆四磨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墙或柱应沿高度方向每（      ）设2</w:t>
            </w:r>
            <w:r>
              <w:rPr>
                <w:rFonts w:hint="eastAsia" w:ascii="宋体" w:hAnsi="宋体" w:eastAsia="宋体" w:cs="宋体"/>
                <w:kern w:val="0"/>
                <w:sz w:val="18"/>
                <w:szCs w:val="18"/>
                <w:lang w:val="en-US" w:eastAsia="zh-Hans" w:bidi="ar-SA"/>
              </w:rPr>
              <w:t>φ</w:t>
            </w:r>
            <w:r>
              <w:rPr>
                <w:rFonts w:hint="default" w:ascii="Times New Roman Regular" w:hAnsi="Times New Roman Regular" w:cs="Times New Roman Regular" w:eastAsiaTheme="minorEastAsia"/>
                <w:kern w:val="0"/>
                <w:sz w:val="18"/>
                <w:szCs w:val="18"/>
                <w:lang w:val="en-US" w:eastAsia="zh-Hans" w:bidi="ar-SA"/>
              </w:rPr>
              <w:t>6钢筋（一砖墙），每边伸入墙不少于1m。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300mm</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600mm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地下室</w:t>
            </w:r>
            <w:bookmarkStart w:id="0" w:name="_GoBack"/>
            <w:r>
              <w:rPr>
                <w:rFonts w:hint="default" w:ascii="Times New Roman Regular" w:hAnsi="Times New Roman Regular" w:cs="Times New Roman Regular"/>
                <w:kern w:val="0"/>
                <w:sz w:val="18"/>
                <w:szCs w:val="18"/>
                <w:lang w:eastAsia="zh-Hans" w:bidi="ar-SA"/>
              </w:rPr>
              <w:t>混凝土</w:t>
            </w:r>
            <w:r>
              <w:rPr>
                <w:rFonts w:hint="default" w:ascii="Times New Roman Regular" w:hAnsi="Times New Roman Regular" w:cs="Times New Roman Regular" w:eastAsiaTheme="minorEastAsia"/>
                <w:kern w:val="0"/>
                <w:sz w:val="18"/>
                <w:szCs w:val="18"/>
                <w:lang w:val="en-US" w:eastAsia="zh-Hans" w:bidi="ar-SA"/>
              </w:rPr>
              <w:t>墙体一般只允许留设水平施工缝</w:t>
            </w:r>
            <w:bookmarkEnd w:id="0"/>
            <w:r>
              <w:rPr>
                <w:rFonts w:hint="default" w:ascii="Times New Roman Regular" w:hAnsi="Times New Roman Regular" w:cs="Times New Roman Regular" w:eastAsiaTheme="minorEastAsia"/>
                <w:kern w:val="0"/>
                <w:sz w:val="18"/>
                <w:szCs w:val="18"/>
                <w:lang w:val="en-US" w:eastAsia="zh-Hans" w:bidi="ar-SA"/>
              </w:rPr>
              <w:t>，其位置宜留在受（       ）处。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轴力较小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剪力较小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弯矩最大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剪力最大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小砌块和砂浆的强度等级必须符合设计要求。抽检数量的规定如下：每一生产厂家，每（      ）万吨小砌块至少应抽检一组。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Style w:val="8"/>
                <w:rFonts w:hint="default" w:ascii="Times New Roman Regular" w:hAnsi="Times New Roman Regular" w:eastAsia="宋体" w:cs="Times New Roman Regular"/>
                <w:sz w:val="18"/>
                <w:szCs w:val="18"/>
                <w:lang w:eastAsia="zh-Hans"/>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C</w:t>
            </w:r>
          </w:p>
        </w:tc>
      </w:tr>
    </w:tbl>
    <w:p>
      <w:pPr>
        <w:ind w:left="0" w:leftChars="0" w:firstLine="0" w:firstLineChars="0"/>
      </w:pPr>
    </w:p>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适用于降水深度为3~5米，土的渗透系数20~200m/d的井点是（</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轻型井点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喷射井点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管井井点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深井井点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kern w:val="0"/>
                <w:sz w:val="18"/>
                <w:szCs w:val="18"/>
                <w:lang w:eastAsia="zh-Hans"/>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01-03-0100-01-069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砖墙砌体的组砌的形式中，每层砖里既有顺砖又有丁砖，最可能是(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一顺一丁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三顺一丁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eastAsiaTheme="minorEastAsia"/>
                <w:kern w:val="0"/>
                <w:sz w:val="18"/>
                <w:szCs w:val="18"/>
                <w:lang w:val="en-US" w:eastAsia="zh-Hans" w:bidi="ar-SA"/>
              </w:rPr>
              <w:t>梅花丁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eastAsiaTheme="minorEastAsia"/>
                <w:kern w:val="0"/>
                <w:sz w:val="18"/>
                <w:szCs w:val="18"/>
                <w:lang w:val="en-US" w:eastAsia="zh-Hans" w:bidi="ar-SA"/>
              </w:rPr>
              <w:t>全丁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eastAsia="zh-Hans"/>
              </w:rPr>
            </w:pPr>
            <w:r>
              <w:rPr>
                <w:rFonts w:hint="default" w:ascii="Times New Roman Regular" w:hAnsi="Times New Roman Regular" w:cs="Times New Roman Regular"/>
                <w:kern w:val="0"/>
                <w:sz w:val="18"/>
                <w:szCs w:val="18"/>
                <w:lang w:eastAsia="zh-Hans"/>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当出现下列哪种情况时，水泥被定为废品？（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初凝时间不合规定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终凝时间不合规定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水泥稠度不合规定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龄期不合规定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在施工现场质量检查过程中，通常用“靠、吊、量、套”等方法进行实测检查。其中，对于地面平整度的检查通常采用的手段是（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kern w:val="0"/>
                <w:sz w:val="18"/>
                <w:szCs w:val="18"/>
              </w:rPr>
              <w:t>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rPr>
              <w:t>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有粘结预应力混凝土施工中，张拉、锚固后应及时进行(</w:t>
            </w:r>
            <w:r>
              <w:rPr>
                <w:rFonts w:hint="default" w:ascii="Times New Roman Regular" w:hAnsi="Times New Roman Regular" w:cs="Times New Roman Regular"/>
                <w:kern w:val="0"/>
                <w:sz w:val="18"/>
                <w:szCs w:val="18"/>
                <w:lang w:eastAsia="zh-Hans" w:bidi="ar-SA"/>
              </w:rPr>
              <w:t xml:space="preserve">  </w:t>
            </w:r>
            <w:r>
              <w:rPr>
                <w:rFonts w:hint="default" w:ascii="Times New Roman Regular" w:hAnsi="Times New Roman Regular" w:cs="Times New Roman Regular" w:eastAsiaTheme="minorEastAsia"/>
                <w:kern w:val="0"/>
                <w:sz w:val="18"/>
                <w:szCs w:val="18"/>
                <w:lang w:val="en-US" w:eastAsia="zh-Hans" w:bidi="ar-SA"/>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穿束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灌浆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下料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锚具封堵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当柱平放起吊抗弯强度不足时，柱的绑扎起吊方法应采用（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斜吊法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直吊法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旋转法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滑行法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B</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屋面坡度大于15%或屋面受震动时，卷材的铺贴方向应（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垂直于屋脊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平行于屋脊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垂直或平行于屋脊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不确定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现浇混凝土结构施工现场粗钢筋连接一般采用（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机械连接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电弧焊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绑扎连接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点焊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当履带式起重机起重臂长度一定时，随着仰角的增加，（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Regular" w:hAnsi="Times New Roman Regular" w:eastAsia="宋体" w:cs="Times New Roman Regular"/>
                <w:kern w:val="0"/>
                <w:sz w:val="18"/>
                <w:szCs w:val="18"/>
                <w:lang w:val="zh-CN" w:eastAsia="zh-Hans" w:bidi="zh-CN"/>
              </w:rPr>
            </w:pPr>
            <w:r>
              <w:rPr>
                <w:rFonts w:hint="default" w:ascii="Times New Roman Regular" w:hAnsi="Times New Roman Regular" w:cs="Times New Roman Regular" w:eastAsiaTheme="minorEastAsia"/>
                <w:kern w:val="0"/>
                <w:sz w:val="18"/>
                <w:szCs w:val="18"/>
                <w:lang w:val="en-US" w:eastAsia="zh-Hans" w:bidi="ar-SA"/>
              </w:rPr>
              <w:t>起重量和起重高度增加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起重量和起重高度减小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起重量增加，起重高度减小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起重量减小，起重高度增加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rPr>
              <w:t>以下关于电渣压力焊的说法不正确的是（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kern w:val="0"/>
                <w:sz w:val="18"/>
                <w:szCs w:val="18"/>
                <w:lang w:eastAsia="zh-Hans"/>
              </w:rPr>
              <w:t>可用于现浇钢筋混凝土结构中水平钢筋的接长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eastAsia="zh-Hans"/>
              </w:rPr>
              <w:t>电渣压力焊是利用电流通过渣池产生的电阻热将钢筋端部熔化，然后施加压力使钢筋焊接在一起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eastAsia="zh-Hans"/>
              </w:rPr>
              <w:t>电渣压力焊的操作简单、易掌握、工作效率高、成本较低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rPr>
              <w:t>主要用于现浇钢筋混凝土结构中竖向或斜向钢筋的接长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kern w:val="0"/>
                <w:sz w:val="18"/>
                <w:szCs w:val="18"/>
                <w:lang w:eastAsia="zh-Hans"/>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为防止大面积的刚性防水屋面不致由于温度变化等的影响而产生裂缝，对防水层必须设置分格缝，分格缝的纵横间距不宜大于（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3m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4m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5m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6m</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01-03-0100-01-079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对于板或墙的按双向受力设计的钢筋网，进行钢筋现场绑扎时（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最外围一行钢筋的交叉点必须全部扎牢，中间部分的交叉点可间隔扎牢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最外围两行钢筋的交叉点必须全部扎牢，中间部分的交叉点可间隔扎牢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最外围两行钢筋的交叉点必须全部扎牢，中间部分的交叉点可间隔扎牢，但必须保证钢筋不产生位置偏移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所有钢筋交叉点都必须全部扎牢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C</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1699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01-03-0100-01-080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按构造形式划分，脚手架的种类有（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扣件式脚手架、碗扣式脚手架、吊式脚手架等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外脚手架和里脚手架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金属脚手架、木脚手架、竹脚手架等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结构脚手架、装修脚手架、支撑脚手架等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A</w:t>
            </w:r>
          </w:p>
        </w:tc>
      </w:tr>
    </w:tbl>
    <w:p>
      <w:pPr>
        <w:ind w:left="0" w:leftChars="0" w:firstLine="0" w:firstLineChars="0"/>
      </w:pPr>
    </w:p>
    <w:tbl>
      <w:tblPr>
        <w:tblStyle w:val="7"/>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1700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01-03-0100-01-081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不属于柱子的校正内容的是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zh-CN" w:eastAsia="zh-Hans" w:bidi="ar-SA"/>
              </w:rPr>
            </w:pPr>
            <w:r>
              <w:rPr>
                <w:rFonts w:hint="default" w:ascii="Times New Roman Regular" w:hAnsi="Times New Roman Regular" w:cs="Times New Roman Regular" w:eastAsiaTheme="minorEastAsia"/>
                <w:kern w:val="0"/>
                <w:sz w:val="18"/>
                <w:szCs w:val="18"/>
                <w:lang w:val="en-US" w:eastAsia="zh-Hans" w:bidi="ar-SA"/>
              </w:rPr>
              <w:t>平面位置校正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垂直度校正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eastAsiaTheme="minorEastAsia"/>
                <w:kern w:val="0"/>
                <w:sz w:val="18"/>
                <w:szCs w:val="18"/>
                <w:lang w:val="en-US" w:eastAsia="zh-Hans" w:bidi="ar-SA"/>
              </w:rPr>
              <w:t>标高校正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Hans" w:bidi="ar-SA"/>
              </w:rPr>
            </w:pPr>
            <w:r>
              <w:rPr>
                <w:rFonts w:hint="default" w:ascii="Times New Roman Regular" w:hAnsi="Times New Roman Regular" w:cs="Times New Roman Regular" w:eastAsiaTheme="minorEastAsia"/>
                <w:kern w:val="0"/>
                <w:sz w:val="18"/>
                <w:szCs w:val="18"/>
                <w:lang w:val="en-US" w:eastAsia="zh-Hans" w:bidi="ar-SA"/>
              </w:rPr>
              <w:t>平整度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Hans" w:bidi="ar-SA"/>
              </w:rPr>
            </w:pPr>
            <w:r>
              <w:rPr>
                <w:rFonts w:hint="default" w:ascii="Times New Roman Regular" w:hAnsi="Times New Roman Regular" w:cs="Times New Roman Regular"/>
                <w:kern w:val="0"/>
                <w:sz w:val="18"/>
                <w:szCs w:val="18"/>
                <w:lang w:eastAsia="zh-Hans" w:bidi="ar-SA"/>
              </w:rPr>
              <w:t>D</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Toman">
    <w:altName w:val="苹方-简"/>
    <w:panose1 w:val="02020603050405020304"/>
    <w:charset w:val="00"/>
    <w:family w:val="roman"/>
    <w:pitch w:val="default"/>
    <w:sig w:usb0="00000000" w:usb1="00000000" w:usb2="00000008" w:usb3="00000000" w:csb0="000001FF" w:csb1="00000000"/>
  </w:font>
  <w:font w:name="Arial">
    <w:panose1 w:val="020B0604020202090204"/>
    <w:charset w:val="86"/>
    <w:family w:val="auto"/>
    <w:pitch w:val="default"/>
    <w:sig w:usb0="E0000AFF" w:usb1="00007843" w:usb2="00000001" w:usb3="00000000" w:csb0="400001BF" w:csb1="DFF70000"/>
  </w:font>
  <w:font w:name="Microsoft JhengHei">
    <w:altName w:val="汉仪中简黑简"/>
    <w:panose1 w:val="020B0604030504040204"/>
    <w:charset w:val="88"/>
    <w:family w:val="auto"/>
    <w:pitch w:val="default"/>
    <w:sig w:usb0="00000000" w:usb1="00000000" w:usb2="00000016" w:usb3="00000000" w:csb0="00100009" w:csb1="00000000"/>
  </w:font>
  <w:font w:name="Microsoft YaHei">
    <w:altName w:val="汉仪旗黑"/>
    <w:panose1 w:val="00000000000000000000"/>
    <w:charset w:val="00"/>
    <w:family w:val="auto"/>
    <w:pitch w:val="default"/>
    <w:sig w:usb0="00000000" w:usb1="00000000" w:usb2="00000000" w:usb3="00000000" w:csb0="00000000" w:csb1="00000000"/>
  </w:font>
  <w:font w:name="汉仪中简黑简">
    <w:panose1 w:val="00020600040101010101"/>
    <w:charset w:val="86"/>
    <w:family w:val="auto"/>
    <w:pitch w:val="default"/>
    <w:sig w:usb0="A00002BF" w:usb1="18EF7CFA" w:usb2="00000016" w:usb3="00000000" w:csb0="00040000" w:csb1="00000000"/>
  </w:font>
  <w:font w:name="Calibri">
    <w:altName w:val="Helvetica Neue"/>
    <w:panose1 w:val="020F0502020204030204"/>
    <w:charset w:val="86"/>
    <w:family w:val="swiss"/>
    <w:pitch w:val="default"/>
    <w:sig w:usb0="00000000" w:usb1="00000000" w:usb2="00000001" w:usb3="00000000" w:csb0="0000019F" w:csb1="00000000"/>
  </w:font>
  <w:font w:name="楷体">
    <w:altName w:val="汉仪楷体KW"/>
    <w:panose1 w:val="00000000000000000000"/>
    <w:charset w:val="86"/>
    <w:family w:val="moder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Times New Roman Italic">
    <w:panose1 w:val="02020503050405090304"/>
    <w:charset w:val="00"/>
    <w:family w:val="auto"/>
    <w:pitch w:val="default"/>
    <w:sig w:usb0="E0000AFF" w:usb1="00007843" w:usb2="00000001" w:usb3="00000000" w:csb0="400001BF" w:csb1="DFF70000"/>
  </w:font>
  <w:font w:name="Open Sans">
    <w:altName w:val="苹方-简"/>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Cambria Math">
    <w:altName w:val="Kingsoft Math"/>
    <w:panose1 w:val="02040503050406030204"/>
    <w:charset w:val="00"/>
    <w:family w:val="roman"/>
    <w:pitch w:val="default"/>
    <w:sig w:usb0="00000000" w:usb1="00000000" w:usb2="02000000" w:usb3="00000000" w:csb0="0000019F" w:csb1="00000000"/>
  </w:font>
  <w:font w:name="华文中宋">
    <w:altName w:val="苹方-简"/>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 w:name="Times New Roman'''">
    <w:altName w:val="苹方-简"/>
    <w:panose1 w:val="00000000000000000000"/>
    <w:charset w:val="00"/>
    <w:family w:val="auto"/>
    <w:pitch w:val="default"/>
    <w:sig w:usb0="00000000" w:usb1="00000000" w:usb2="00000000" w:usb3="00000000" w:csb0="00040001" w:csb1="00000000"/>
  </w:font>
  <w:font w:name="Times New Roman'">
    <w:altName w:val="苹方-简"/>
    <w:panose1 w:val="00000000000000000000"/>
    <w:charset w:val="00"/>
    <w:family w:val="auto"/>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1"/>
        <w:szCs w:val="32"/>
        <w:lang w:val="en-US" w:eastAsia="zh-Hans"/>
      </w:rPr>
    </w:pPr>
    <w:r>
      <w:rPr>
        <w:rFonts w:hint="eastAsia"/>
        <w:sz w:val="21"/>
        <w:szCs w:val="32"/>
        <w:lang w:val="en-US" w:eastAsia="zh-Hans"/>
      </w:rPr>
      <w:t>实务</w:t>
    </w:r>
    <w:r>
      <w:rPr>
        <w:rFonts w:hint="default"/>
        <w:sz w:val="21"/>
        <w:szCs w:val="32"/>
        <w:lang w:eastAsia="zh-Hans"/>
      </w:rPr>
      <w:t>1620-1700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3BFE63AA"/>
    <w:rsid w:val="3FF9E5DD"/>
    <w:rsid w:val="57FD00D2"/>
    <w:rsid w:val="7F734B2C"/>
    <w:rsid w:val="7FBFEA7C"/>
    <w:rsid w:val="7FF92DED"/>
    <w:rsid w:val="95BF2D37"/>
    <w:rsid w:val="96D7EE9D"/>
    <w:rsid w:val="AD5F6E93"/>
    <w:rsid w:val="C1EC62E0"/>
    <w:rsid w:val="C77D5FDD"/>
    <w:rsid w:val="EB7E33C7"/>
    <w:rsid w:val="F0EF1236"/>
    <w:rsid w:val="F677B146"/>
    <w:rsid w:val="F7BFBF4B"/>
    <w:rsid w:val="F7EF330E"/>
    <w:rsid w:val="F9F54CE5"/>
    <w:rsid w:val="FEF5A9F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2022-01-19T07:36:00Z</dcterms:created>
  <dc:creator>mac</dc:creator>
  <cp:lastModifiedBy>mac</cp:lastModifiedBy>
  <dcterms:modified xsi:type="dcterms:W3CDTF">2022-02-23T00:04:10Z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