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0" w:name="_Hlk124431730"/>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《建筑法》规定，提倡对建筑工程实行总承包，禁止将建筑工程</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肢解发包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平行发包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再分包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主体分包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劳务分包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ACD</w:t>
            </w:r>
          </w:p>
        </w:tc>
      </w:tr>
      <w:bookmarkEnd w:id="0"/>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-00</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《建筑法》规定，从事建筑活动的建筑施工企业、勘察单位、设计单位和工程监理单位，应当具备下列条件</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有符合国家规定的注册资本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有与其从事的建筑活动相适应的具有法定执业资格的专业技术人员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有从事相关建筑活动所应有的技术装备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已完成的建筑工程业绩等资质条件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法律、行政法规规定的其他条件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-00</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w:t>
            </w:r>
            <w:r>
              <w:rPr>
                <w:rFonts w:hint="eastAsia"/>
                <w:color w:val="000000"/>
                <w:sz w:val="18"/>
                <w:szCs w:val="18"/>
              </w:rPr>
              <w:t>中华人民共和国建筑法</w:t>
            </w:r>
            <w:r>
              <w:rPr>
                <w:rFonts w:hint="eastAsia" w:ascii="宋体" w:hAnsi="宋体" w:cs="宋体"/>
                <w:color w:val="000000"/>
                <w:sz w:val="18"/>
                <w:szCs w:val="18"/>
              </w:rPr>
              <w:t xml:space="preserve">》，建设单位应当按照国家有关规定办理申请批准手续的情形包括（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需要临时占用规划批准范围以外场地的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可能损坏道路、管线、电力、邮电通讯等公共设施的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需要临时停水、停电、中断道路交通的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需要进行爆破作业的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需要白天加班进行施工的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ABC</w:t>
            </w:r>
            <w:r>
              <w:rPr>
                <w:rFonts w:hint="eastAsia" w:ascii="宋体" w:hAnsi="宋体" w:cs="宋体"/>
                <w:kern w:val="0"/>
                <w:sz w:val="18"/>
                <w:szCs w:val="18"/>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-00</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w:t>
            </w:r>
            <w:r>
              <w:rPr>
                <w:rFonts w:hint="eastAsia"/>
                <w:color w:val="000000"/>
                <w:sz w:val="18"/>
                <w:szCs w:val="18"/>
              </w:rPr>
              <w:t>中华人民共和国建筑法</w:t>
            </w:r>
            <w:r>
              <w:rPr>
                <w:rFonts w:hint="eastAsia" w:ascii="宋体" w:hAnsi="宋体" w:cs="宋体"/>
                <w:color w:val="000000"/>
                <w:sz w:val="18"/>
                <w:szCs w:val="18"/>
              </w:rPr>
              <w:t>》，建筑工程监理应当依照法律、行政法规及有关的技术标准、设计文件和建筑工程承包合同，对承包单位在以下哪些方面进行监督（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施工质量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建设工期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施工人员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建设资金使用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合同签订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ABD</w:t>
            </w:r>
          </w:p>
        </w:tc>
      </w:tr>
    </w:tbl>
    <w:p/>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导致中标无效的情形有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投标截止日期以前投标人撤回已提交的招标文件进行修改的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招标人要求投标人提交投标保证金的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依法必须进行招标项目的招标人向他人泄露标底，影响中标结果的</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依法必须进行招标的项目在所有投标被评标委员会否决后自行确定中标人的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投标人向招标人展示工程业绩、企业实力，谋取中标的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根据《招标投标法实施条例》,招标人的下列行为中属于以不合理条件限制、排斥投标人的有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明示或暗示投标人为特定投标人中标提供方便的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授意投票人撤换、修改投标文件的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限定或者指定特定的专利、商标、品牌的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向特定投标人泄露标底的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就同一招标项目向投标人提供有差别的项目信息的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根据《必须招标的工程项目规定》,下列项目属于必须进行招标的有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使用有限公司资金的项目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使用国有企业资金并且该资金占控股或者主导地位的项目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使用外国政府及其机构贷款、援助资金的项目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使用财政预算资金200万元以上并且该资金占投资额10%以上的项目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使用世界银行、亚洲开发银行等国际组织贷款、援助资金的项目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BCDE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下列情形中依法可以不招标的项目有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只有少量潜在投标人可供选择的项目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采购人的全资子公司能够自行建设的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需要向原中标人采购工程，否则将影响施工或者功能配套要求的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已通过招标方式选定的特许经营项目投资人依法能够自行建设的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需要使用不可替代的施工专有技术的项目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-00</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依法必须进行施工招标的工程建设项目,可以采用邀请招标的情形有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涉及国家安全、国家秘密或者抢险救灾，适宜招标但不宜公开招标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项目受自然地域环境限制，只有少数潜在投标人可供选择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采用公开招标方式的费用占项目合同金额的比例过大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在建工程追加附属小型工程或者主体加层工作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施工主要技术采用不可替代的专利或者专有技术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ABC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关于投标人资格审查的说法正确的有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资格后审在开标后由招标人按照招标文件的标准和方法对投标人资格进行审査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国有资金占控股或主导地位的依法必须招标的项目，招标人应当组建资格审查委员会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招标人采用资格预审的应当发布资格预审公告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资格预审结束后，评标委员会应当及时向资格预审申请人发出资格预审结果通知书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资格审查分为资格预审、资格中审和资格后审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我国《招标投标法》规定,开标时由(</w:t>
            </w:r>
            <w:r>
              <w:rPr>
                <w:rFonts w:ascii="宋体" w:hAnsi="宋体" w:cs="宋体"/>
                <w:kern w:val="0"/>
                <w:sz w:val="18"/>
                <w:szCs w:val="18"/>
              </w:rPr>
              <w:t xml:space="preserve">   </w:t>
            </w:r>
            <w:r>
              <w:rPr>
                <w:rFonts w:hint="eastAsia" w:ascii="宋体" w:hAnsi="宋体" w:cs="宋体"/>
                <w:kern w:val="0"/>
                <w:sz w:val="18"/>
                <w:szCs w:val="18"/>
              </w:rPr>
              <w:t xml:space="preserve"> )检查投标文件密封情况,确认无误后当众拆封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投标人或投标人推选的代表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公证机构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地方政府相关行政主管部门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根据《招标投标实施条例》,评标委员会应当否决投标的情形有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投标报价高于企业成本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投标文件未经投标单位负责人签字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投标报价低于招标控制价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投标联合体没有提交共同投标协议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投标人不符合招标文件规定的资格条件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下列可以做投标保证金的有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担保单位的信用担保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银行汇票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银行保函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现金支票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保兑支票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债务人或者第三人有权处分的下列权利中，可以质押的是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bookmarkStart w:id="5" w:name="_GoBack"/>
            <w:bookmarkEnd w:id="5"/>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建设用地使用权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支票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可以转让的专利权中的财产权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现有的以及将有的应收账款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根据《招标投标实施条例》,招标人和中标人应当依照招标投标法和本条例的规定签订书面合同，合同的（    ）等主要条款应当与招标文件和中标人的投标文件的内容一致。招标人和中标人不得再行订立背离合同实质性内容的其他协议</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标的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价款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履行期限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招标人应当拒收的情形包括（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没有提交投标保证金的投标文件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未通过资格预审的申请人提交的投标文件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逾期送达的投标文件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不按照招标文件要求密封的投标文件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没有单位盖章的投标文件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根据《中华人民共和国招标投标法》规定，以下属于不需要追究责任的重新招标情形有（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依法必须招标的项目的所有投标被否决的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投标人少于3个的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投标人以他人名义投标或者以其他方式弄虚作假,骗取中标的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依法必须进行招标的项目的招标人泄露标底的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投标人与招标人串通投标的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w:t>
            </w:r>
            <w:r>
              <w:rPr>
                <w:rFonts w:ascii="宋体" w:hAnsi="宋体" w:cs="宋体"/>
                <w:kern w:val="0"/>
                <w:sz w:val="18"/>
                <w:szCs w:val="18"/>
              </w:rPr>
              <w:t>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Arial"/>
                <w:color w:val="000000"/>
                <w:sz w:val="18"/>
                <w:szCs w:val="18"/>
              </w:rPr>
              <w:t>根据</w:t>
            </w:r>
            <w:r>
              <w:rPr>
                <w:rFonts w:hint="eastAsia" w:ascii="宋体" w:hAnsi="宋体" w:cs="Arial"/>
                <w:bCs/>
                <w:color w:val="000000"/>
                <w:sz w:val="18"/>
                <w:szCs w:val="18"/>
              </w:rPr>
              <w:t>《中华人民共和国招标投标法实施条例》，</w:t>
            </w:r>
            <w:r>
              <w:rPr>
                <w:rFonts w:hint="eastAsia" w:ascii="宋体" w:hAnsi="宋体" w:cs="宋体"/>
                <w:color w:val="000000"/>
                <w:sz w:val="18"/>
                <w:szCs w:val="18"/>
              </w:rPr>
              <w:t>评标委员会成员有下列(</w:t>
            </w:r>
            <w:r>
              <w:rPr>
                <w:rFonts w:ascii="宋体" w:hAnsi="宋体" w:cs="宋体"/>
                <w:color w:val="000000"/>
                <w:sz w:val="18"/>
                <w:szCs w:val="18"/>
              </w:rPr>
              <w:t xml:space="preserve">  )</w:t>
            </w:r>
            <w:r>
              <w:rPr>
                <w:rFonts w:hint="eastAsia" w:ascii="宋体" w:hAnsi="宋体" w:cs="宋体"/>
                <w:color w:val="000000"/>
                <w:sz w:val="18"/>
                <w:szCs w:val="18"/>
              </w:rPr>
              <w:t>情形，由有关行政监督部门责令改正；情节特别严重的，取消其担任评标委员会成员的资格。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应当回避而不回避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私下接触投标人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接受投标人主动提出的澄清、说明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擅离职守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对依法应当否决的投标提出否决意见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w:t>
            </w:r>
            <w:r>
              <w:rPr>
                <w:rFonts w:ascii="宋体" w:hAnsi="宋体" w:cs="宋体"/>
                <w:kern w:val="0"/>
                <w:sz w:val="18"/>
                <w:szCs w:val="18"/>
              </w:rPr>
              <w:t>BCD</w:t>
            </w:r>
          </w:p>
        </w:tc>
      </w:tr>
    </w:tbl>
    <w:p/>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下列选项中，属于转包的是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分包单位将其承包的工程再分包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合同未约定，又未经建设单位认可，总承包单位将部分建设工程交由其他单位完成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施工总承包单位将建设工程主体结构的施工分包给他人完成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总承包单位将全部工程交由其他单位完成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施工总承包单位将全部建设工程拆分成若干部分工作分包给其他企业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关于不可抗力后果承担的说法，正确的有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承包人在施工现场的人员伤亡损失由承包人承担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永久工程损失由发包人承担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承包人在停工期间按照发包人要求照管工程的费用由发包人承担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仓库中毁损的水泥由发包人承担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监理人在施工现场的人员伤亡损失由承包人承担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ABC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建设工程施工合同素赔成立的前提条件有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与合同对照，事件已经造成了承包人工程项目成本的额外支出或直接工程损失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造成工程费用的增加，已经超出承包人所能承受的范围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造成费用增加或工期损失的原因，按合同约定不属于承包人的行为责任或风险责任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造成工期损失的事件总时差不为零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承包人按合同规定的程序和时间提交索赔意向通知和素赔报告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ACE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根据《中华人民共和国民法典》，下列合同中属于建设工程合同的有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勘察合同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施工承包合同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工程监理合同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造价咨询合同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ABC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运输合同的法律特征有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货运合同是双务、有偿合同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货运合同的标的是获取货物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货运合同的标的是运输行为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货运合同的收货人和托运人可以是同一人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货运合同是诺成合同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ACDE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某项目业主委托某招标代理机构进行监理招标。在招标过程中，招标代理机构的主要义务有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按项目业主的指示处理招标事务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任意变更解除权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按时提交委托事务处理报告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因自身过错给项目业主造成损失的，应承担赔偿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可超越业主授权处理委托事务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1" w:name="_Hlk124432976"/>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有下列情形之一的，要约失效</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要约被拒绝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要约被撤销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承诺期限届满，受要约人未作出承诺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受要约人对要约的内容作出实质性变更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受要约人做出承诺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ACD</w:t>
            </w:r>
          </w:p>
        </w:tc>
      </w:tr>
      <w:bookmarkEnd w:id="1"/>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bookmarkStart w:id="2" w:name="_Hlk124433536"/>
            <w:r>
              <w:rPr>
                <w:rFonts w:ascii="宋体" w:hAnsi="宋体" w:cs="宋体"/>
                <w:kern w:val="0"/>
                <w:sz w:val="18"/>
                <w:szCs w:val="18"/>
                <w:highlight w:val="none"/>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多</w:t>
            </w:r>
            <w:r>
              <w:rPr>
                <w:rFonts w:ascii="宋体" w:hAnsi="宋体" w:cs="宋体"/>
                <w:kern w:val="0"/>
                <w:sz w:val="18"/>
                <w:szCs w:val="18"/>
                <w:highlight w:val="none"/>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kern w:val="0"/>
                <w:sz w:val="18"/>
                <w:szCs w:val="18"/>
                <w:highlight w:val="none"/>
              </w:rPr>
              <w:t>1</w:t>
            </w:r>
            <w:r>
              <w:rPr>
                <w:rFonts w:hint="eastAsia"/>
                <w:kern w:val="0"/>
                <w:sz w:val="18"/>
                <w:szCs w:val="18"/>
                <w:highlight w:val="none"/>
                <w:lang w:val="en-US" w:eastAsia="zh-CN"/>
              </w:rPr>
              <w:t>2</w:t>
            </w:r>
            <w:r>
              <w:rPr>
                <w:kern w:val="0"/>
                <w:sz w:val="18"/>
                <w:szCs w:val="18"/>
                <w:highlight w:val="none"/>
              </w:rPr>
              <w:t>-0</w:t>
            </w:r>
            <w:r>
              <w:rPr>
                <w:rFonts w:hint="eastAsia"/>
                <w:kern w:val="0"/>
                <w:sz w:val="18"/>
                <w:szCs w:val="18"/>
                <w:highlight w:val="none"/>
                <w:lang w:val="en-US" w:eastAsia="zh-CN"/>
              </w:rPr>
              <w:t>2</w:t>
            </w:r>
            <w:r>
              <w:rPr>
                <w:kern w:val="0"/>
                <w:sz w:val="18"/>
                <w:szCs w:val="18"/>
                <w:highlight w:val="none"/>
              </w:rPr>
              <w:t>-0</w:t>
            </w:r>
            <w:r>
              <w:rPr>
                <w:rFonts w:hint="eastAsia"/>
                <w:kern w:val="0"/>
                <w:sz w:val="18"/>
                <w:szCs w:val="18"/>
                <w:highlight w:val="none"/>
                <w:lang w:val="en-US" w:eastAsia="zh-CN"/>
              </w:rPr>
              <w:t>0</w:t>
            </w:r>
            <w:r>
              <w:rPr>
                <w:kern w:val="0"/>
                <w:sz w:val="18"/>
                <w:szCs w:val="18"/>
                <w:highlight w:val="none"/>
              </w:rPr>
              <w:t>01-0</w:t>
            </w:r>
            <w:r>
              <w:rPr>
                <w:rFonts w:hint="eastAsia"/>
                <w:kern w:val="0"/>
                <w:sz w:val="18"/>
                <w:szCs w:val="18"/>
                <w:highlight w:val="none"/>
                <w:lang w:val="en-US" w:eastAsia="zh-CN"/>
              </w:rPr>
              <w:t>2</w:t>
            </w:r>
            <w:r>
              <w:rPr>
                <w:kern w:val="0"/>
                <w:sz w:val="18"/>
                <w:szCs w:val="18"/>
                <w:highlight w:val="none"/>
              </w:rPr>
              <w:t>-0</w:t>
            </w:r>
            <w:r>
              <w:rPr>
                <w:rFonts w:hint="eastAsia"/>
                <w:kern w:val="0"/>
                <w:sz w:val="18"/>
                <w:szCs w:val="18"/>
                <w:highlight w:val="none"/>
                <w:lang w:val="en-US" w:eastAsia="zh-CN"/>
              </w:rPr>
              <w:t>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有下列情形之一的，该格式条款无效</w:t>
            </w:r>
            <w:r>
              <w:rPr>
                <w:rFonts w:ascii="宋体" w:hAnsi="宋体" w:cs="宋体"/>
                <w:kern w:val="0"/>
                <w:sz w:val="18"/>
                <w:szCs w:val="18"/>
                <w:highlight w:val="none"/>
              </w:rPr>
              <w:t>（</w:t>
            </w:r>
            <w:r>
              <w:rPr>
                <w:rFonts w:hint="eastAsia" w:ascii="宋体" w:hAnsi="宋体" w:cs="宋体"/>
                <w:kern w:val="0"/>
                <w:sz w:val="18"/>
                <w:szCs w:val="18"/>
                <w:highlight w:val="none"/>
              </w:rPr>
              <w:t xml:space="preserve">   </w:t>
            </w:r>
            <w:r>
              <w:rPr>
                <w:rFonts w:ascii="宋体" w:hAnsi="宋体" w:cs="宋体"/>
                <w:kern w:val="0"/>
                <w:sz w:val="18"/>
                <w:szCs w:val="18"/>
                <w:highlight w:val="none"/>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在订立合同时未与对方协商的条款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提供格式条款一方不合理地免除或者减轻其责任、加重对方责任、限制对方主要权利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提供格式条款一方排除对方主要权利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明显不公平的条款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因故意或者重大过失造成对方财产损失的免责条款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highlight w:val="none"/>
                <w:lang w:eastAsia="zh-CN"/>
              </w:rPr>
            </w:pPr>
            <w:r>
              <w:rPr>
                <w:rFonts w:ascii="宋体" w:hAnsi="宋体" w:cs="宋体"/>
                <w:kern w:val="0"/>
                <w:sz w:val="18"/>
                <w:szCs w:val="18"/>
                <w:highlight w:val="none"/>
              </w:rPr>
              <w:t>BC</w:t>
            </w:r>
            <w:r>
              <w:rPr>
                <w:rFonts w:hint="eastAsia" w:ascii="宋体" w:hAnsi="宋体" w:cs="宋体"/>
                <w:kern w:val="0"/>
                <w:sz w:val="18"/>
                <w:szCs w:val="18"/>
                <w:highlight w:val="none"/>
                <w:lang w:val="en-US" w:eastAsia="zh-CN"/>
              </w:rPr>
              <w:t>E</w:t>
            </w:r>
          </w:p>
        </w:tc>
      </w:tr>
      <w:bookmarkEnd w:id="2"/>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3" w:name="_Hlk124437427"/>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当事人在订立合同过程中有下列情形之一，造成对方损失的，应当承担赔偿责任</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假借订立合同，恶意进行磋商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故意隐瞒与订立合同有关的重要事实或者提供虚假情况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有其他违背诚信原则的行为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重大违约行为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不接受对方的条件导致合同谈判失败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ABC</w:t>
            </w:r>
          </w:p>
        </w:tc>
      </w:tr>
      <w:bookmarkEnd w:id="3"/>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多</w:t>
            </w:r>
            <w:r>
              <w:rPr>
                <w:rFonts w:ascii="宋体" w:hAnsi="宋体" w:cs="宋体"/>
                <w:kern w:val="0"/>
                <w:sz w:val="18"/>
                <w:szCs w:val="18"/>
                <w:highlight w:val="none"/>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kern w:val="0"/>
                <w:sz w:val="18"/>
                <w:szCs w:val="18"/>
                <w:highlight w:val="none"/>
              </w:rPr>
              <w:t>1</w:t>
            </w:r>
            <w:r>
              <w:rPr>
                <w:rFonts w:hint="eastAsia"/>
                <w:kern w:val="0"/>
                <w:sz w:val="18"/>
                <w:szCs w:val="18"/>
                <w:highlight w:val="none"/>
                <w:lang w:val="en-US" w:eastAsia="zh-CN"/>
              </w:rPr>
              <w:t>2</w:t>
            </w:r>
            <w:r>
              <w:rPr>
                <w:kern w:val="0"/>
                <w:sz w:val="18"/>
                <w:szCs w:val="18"/>
                <w:highlight w:val="none"/>
              </w:rPr>
              <w:t>-0</w:t>
            </w:r>
            <w:r>
              <w:rPr>
                <w:rFonts w:hint="eastAsia"/>
                <w:kern w:val="0"/>
                <w:sz w:val="18"/>
                <w:szCs w:val="18"/>
                <w:highlight w:val="none"/>
                <w:lang w:val="en-US" w:eastAsia="zh-CN"/>
              </w:rPr>
              <w:t>2</w:t>
            </w:r>
            <w:r>
              <w:rPr>
                <w:kern w:val="0"/>
                <w:sz w:val="18"/>
                <w:szCs w:val="18"/>
                <w:highlight w:val="none"/>
              </w:rPr>
              <w:t>-0</w:t>
            </w:r>
            <w:r>
              <w:rPr>
                <w:rFonts w:hint="eastAsia"/>
                <w:kern w:val="0"/>
                <w:sz w:val="18"/>
                <w:szCs w:val="18"/>
                <w:highlight w:val="none"/>
                <w:lang w:val="en-US" w:eastAsia="zh-CN"/>
              </w:rPr>
              <w:t>0</w:t>
            </w:r>
            <w:r>
              <w:rPr>
                <w:kern w:val="0"/>
                <w:sz w:val="18"/>
                <w:szCs w:val="18"/>
                <w:highlight w:val="none"/>
              </w:rPr>
              <w:t>01-0</w:t>
            </w:r>
            <w:r>
              <w:rPr>
                <w:rFonts w:hint="eastAsia"/>
                <w:kern w:val="0"/>
                <w:sz w:val="18"/>
                <w:szCs w:val="18"/>
                <w:highlight w:val="none"/>
                <w:lang w:val="en-US" w:eastAsia="zh-CN"/>
              </w:rPr>
              <w:t>2</w:t>
            </w:r>
            <w:r>
              <w:rPr>
                <w:kern w:val="0"/>
                <w:sz w:val="18"/>
                <w:szCs w:val="18"/>
                <w:highlight w:val="none"/>
              </w:rPr>
              <w:t>-0</w:t>
            </w:r>
            <w:r>
              <w:rPr>
                <w:rFonts w:hint="eastAsia"/>
                <w:kern w:val="0"/>
                <w:sz w:val="18"/>
                <w:szCs w:val="18"/>
                <w:highlight w:val="none"/>
                <w:lang w:val="en-US"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根据《民法典》，国家重大建设工程合同，应当按照（    ）等文件订立</w:t>
            </w:r>
            <w:r>
              <w:rPr>
                <w:rFonts w:ascii="宋体" w:hAnsi="宋体" w:cs="宋体"/>
                <w:kern w:val="0"/>
                <w:sz w:val="18"/>
                <w:szCs w:val="18"/>
                <w:highlight w:val="none"/>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国家规定的程序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项目建议书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国家批准的投资计划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相关法律法规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可行性研究报告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ascii="宋体" w:hAnsi="宋体" w:cs="宋体"/>
                <w:kern w:val="0"/>
                <w:sz w:val="18"/>
                <w:szCs w:val="18"/>
                <w:highlight w:val="none"/>
              </w:rPr>
              <w:t>ACE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w:t>
            </w:r>
            <w:r>
              <w:rPr>
                <w:rFonts w:hint="eastAsia" w:ascii="宋体" w:hAnsi="宋体" w:cs="宋体"/>
                <w:kern w:val="0"/>
                <w:sz w:val="18"/>
                <w:szCs w:val="18"/>
              </w:rPr>
              <w:t>建设工程施工合同无效，且建设工程经验收不合格的，按照以下情形处理（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可以参照合同关于工程价款的约定折价补偿承包人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修复后的建设工程经验收合格的，发包人可以请求承包人承担修复费用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修复后的建设工程经验收不合格的，承包人无权请求参照合同关于工程价款的约定折价补偿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发包人对因建设工程不合格造成的损失有过错的，应当承担相应的责任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发包人应当按照约定支付价款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w:t>
            </w:r>
            <w:r>
              <w:rPr>
                <w:rFonts w:hint="eastAsia" w:ascii="宋体" w:hAnsi="宋体" w:cs="宋体"/>
                <w:kern w:val="0"/>
                <w:sz w:val="18"/>
                <w:szCs w:val="18"/>
              </w:rPr>
              <w:t>融资租赁合同无效，（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当事人就该情形下租赁物的归属有约定的，按照其约定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当事人就该情形下租赁物的归属有约定的，其约定也无效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没有约定或者约定不明确的，租赁物应当返还出租人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没有约定或者约定不明确的，租赁物应当返还承租人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因承租人原因致使合同无效，出租人不请求返还或者返还后会显著降低租赁物效用的，租赁物的所有权归承租人，由承租人给予出租人合理补偿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多</w:t>
            </w:r>
            <w:r>
              <w:rPr>
                <w:rFonts w:ascii="宋体" w:hAnsi="宋体" w:cs="宋体"/>
                <w:kern w:val="0"/>
                <w:sz w:val="18"/>
                <w:szCs w:val="18"/>
                <w:highlight w:val="none"/>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kern w:val="0"/>
                <w:sz w:val="18"/>
                <w:szCs w:val="18"/>
                <w:highlight w:val="none"/>
              </w:rPr>
              <w:t>1</w:t>
            </w:r>
            <w:r>
              <w:rPr>
                <w:rFonts w:hint="eastAsia"/>
                <w:kern w:val="0"/>
                <w:sz w:val="18"/>
                <w:szCs w:val="18"/>
                <w:highlight w:val="none"/>
                <w:lang w:val="en-US" w:eastAsia="zh-CN"/>
              </w:rPr>
              <w:t>2</w:t>
            </w:r>
            <w:r>
              <w:rPr>
                <w:kern w:val="0"/>
                <w:sz w:val="18"/>
                <w:szCs w:val="18"/>
                <w:highlight w:val="none"/>
              </w:rPr>
              <w:t>-0</w:t>
            </w:r>
            <w:r>
              <w:rPr>
                <w:rFonts w:hint="eastAsia"/>
                <w:kern w:val="0"/>
                <w:sz w:val="18"/>
                <w:szCs w:val="18"/>
                <w:highlight w:val="none"/>
                <w:lang w:val="en-US" w:eastAsia="zh-CN"/>
              </w:rPr>
              <w:t>2</w:t>
            </w:r>
            <w:r>
              <w:rPr>
                <w:kern w:val="0"/>
                <w:sz w:val="18"/>
                <w:szCs w:val="18"/>
                <w:highlight w:val="none"/>
              </w:rPr>
              <w:t>-0</w:t>
            </w:r>
            <w:r>
              <w:rPr>
                <w:rFonts w:hint="eastAsia"/>
                <w:kern w:val="0"/>
                <w:sz w:val="18"/>
                <w:szCs w:val="18"/>
                <w:highlight w:val="none"/>
                <w:lang w:val="en-US" w:eastAsia="zh-CN"/>
              </w:rPr>
              <w:t>0</w:t>
            </w:r>
            <w:r>
              <w:rPr>
                <w:kern w:val="0"/>
                <w:sz w:val="18"/>
                <w:szCs w:val="18"/>
                <w:highlight w:val="none"/>
              </w:rPr>
              <w:t>01-0</w:t>
            </w:r>
            <w:r>
              <w:rPr>
                <w:rFonts w:hint="eastAsia"/>
                <w:kern w:val="0"/>
                <w:sz w:val="18"/>
                <w:szCs w:val="18"/>
                <w:highlight w:val="none"/>
                <w:lang w:val="en-US" w:eastAsia="zh-CN"/>
              </w:rPr>
              <w:t>2</w:t>
            </w:r>
            <w:r>
              <w:rPr>
                <w:kern w:val="0"/>
                <w:sz w:val="18"/>
                <w:szCs w:val="18"/>
                <w:highlight w:val="none"/>
              </w:rPr>
              <w:t>-0</w:t>
            </w:r>
            <w:r>
              <w:rPr>
                <w:rFonts w:hint="eastAsia"/>
                <w:kern w:val="0"/>
                <w:sz w:val="18"/>
                <w:szCs w:val="18"/>
                <w:highlight w:val="none"/>
                <w:lang w:val="en-US" w:eastAsia="zh-CN"/>
              </w:rPr>
              <w:t>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ascii="宋体" w:hAnsi="宋体" w:cs="宋体"/>
                <w:kern w:val="0"/>
                <w:sz w:val="18"/>
                <w:szCs w:val="18"/>
                <w:highlight w:val="none"/>
              </w:rPr>
              <w:t> </w:t>
            </w:r>
            <w:r>
              <w:rPr>
                <w:rFonts w:hint="eastAsia" w:ascii="宋体" w:hAnsi="宋体" w:cs="宋体"/>
                <w:kern w:val="0"/>
                <w:sz w:val="18"/>
                <w:szCs w:val="18"/>
                <w:highlight w:val="none"/>
              </w:rPr>
              <w:t>有下列（    ）情形之一的，当事人可以解除合同</w:t>
            </w:r>
            <w:r>
              <w:rPr>
                <w:rFonts w:ascii="宋体" w:hAnsi="宋体" w:cs="宋体"/>
                <w:kern w:val="0"/>
                <w:sz w:val="18"/>
                <w:szCs w:val="18"/>
                <w:highlight w:val="none"/>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因不可抗力致使不能实现合同目的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在履行期限届满前，当事人一方明确表示或者以自己的行为表明不履行主要债务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当事人一方迟延履行主要债务，经催告后在合理期限内仍未履行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当事人一方迟延履行债务或者有其他违约行为致使不能实现合同目的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当事人一方</w:t>
            </w:r>
            <w:r>
              <w:rPr>
                <w:rFonts w:hint="eastAsia" w:ascii="宋体" w:hAnsi="宋体" w:cs="宋体"/>
                <w:kern w:val="0"/>
                <w:sz w:val="18"/>
                <w:szCs w:val="18"/>
                <w:highlight w:val="none"/>
                <w:lang w:eastAsia="zh-CN"/>
              </w:rPr>
              <w:t>可能</w:t>
            </w:r>
            <w:r>
              <w:rPr>
                <w:rFonts w:hint="eastAsia" w:ascii="宋体" w:hAnsi="宋体" w:cs="宋体"/>
                <w:kern w:val="0"/>
                <w:sz w:val="18"/>
                <w:szCs w:val="18"/>
                <w:highlight w:val="none"/>
              </w:rPr>
              <w:t>违约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ascii="宋体" w:hAnsi="宋体" w:cs="宋体"/>
                <w:kern w:val="0"/>
                <w:sz w:val="18"/>
                <w:szCs w:val="18"/>
                <w:highlight w:val="none"/>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4" w:name="_Hlk124495405"/>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债权人转让债权，（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未通知债务人的，该转让对债务人不发生效力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债务人接到债权转让通知后，债务人对让与人的抗辩，不可以向受让人主张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从权利专属于债权人自身的不得转让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债权转让的通知不得撤销，但是经受让人同意的除外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受让人取得与债权有关的从权利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ACDE</w:t>
            </w:r>
          </w:p>
        </w:tc>
      </w:tr>
      <w:bookmarkEnd w:id="4"/>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关于定金合同，（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自实际交付定金时成立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自签订合同时成立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不得超过主合同标的额的百分之二十，超过部分不产生定金的效力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实际交付的定金数额多于或者少于约定数额的，视为违约，当事人一方可以主张权利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债务人履行债务的，定金应当抵作价款或者收回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 xml:space="preserve">根据《中华人民共和国民法典》，法人解散的，应当由（ </w:t>
            </w:r>
            <w:r>
              <w:rPr>
                <w:rFonts w:ascii="宋体" w:hAnsi="宋体" w:cs="宋体"/>
                <w:color w:val="000000"/>
                <w:sz w:val="18"/>
                <w:szCs w:val="18"/>
              </w:rPr>
              <w:t xml:space="preserve">   </w:t>
            </w:r>
            <w:r>
              <w:rPr>
                <w:rFonts w:hint="eastAsia" w:ascii="宋体" w:hAnsi="宋体" w:cs="宋体"/>
                <w:color w:val="000000"/>
                <w:sz w:val="18"/>
                <w:szCs w:val="18"/>
              </w:rPr>
              <w:t>）及时组成清算组进行清算。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color w:val="000000"/>
                <w:kern w:val="0"/>
                <w:sz w:val="18"/>
                <w:szCs w:val="18"/>
              </w:rPr>
              <w:t>法人</w:t>
            </w:r>
            <w:r>
              <w:rPr>
                <w:rFonts w:hint="eastAsia" w:ascii="宋体" w:hAnsi="宋体" w:cs="宋体"/>
                <w:color w:val="000000"/>
                <w:kern w:val="0"/>
                <w:sz w:val="18"/>
                <w:szCs w:val="18"/>
              </w:rPr>
              <w:t>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决策机构的成员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法人的董事、理事等执行机构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设立人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债权人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 xml:space="preserve">根据《中华人民共和国民法典》，以下属于营利法人的是（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有限责任公司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股份有限公司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社会服务机构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事业单位法人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社会团体法人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 xml:space="preserve">根据《中华人民共和国民法典》，以下属于非营利法人的是（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事业单位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社会团体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社会服务机构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基金会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有限责任公司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 xml:space="preserve">根据《中华人民共和国民法典》，具备下列条件的民事法律行为有效（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行为人具有相应的民事行为能力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意思表示真实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不违反法律、行政法规的强制性规定，不违背公序良俗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无民事行为能力人实施的民事法律行为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行为人与相对人以虚假的意思表示实施的民事法律行为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ABC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 xml:space="preserve">根据《中华人民共和国民法典》，以下情形属于民事法律行为无效的是（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基于重大误解实施的民事法律行为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违背公序良俗的民事法律行为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行为人与相对人恶意串通，损害他人合法权益的民事法律行为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一方或者第三人以胁迫手段，使对方在违背真实意思的情况下实施的民事法律行为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一方以欺诈手段，使对方在违背真实意思的情况下实施的民事法律行为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BC</w:t>
            </w:r>
          </w:p>
        </w:tc>
      </w:tr>
    </w:tbl>
    <w:p/>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安全生产工作方针</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以人为本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安全第一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预防为主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综合治理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生命至上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生产经营单位的主要负责人对本单位安全生产工作的职责包括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组织开展危险源辨识和评估，督促落实本单位重大危险源的安全管理措施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组织制定并实施本单位安全生产教育和培训计划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组织制定并实施本单位的生产安全事故应急救援预案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及时、如实报告生产安全事故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督促落实本单位安全生产整改措施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生产经营单位应当具备的安全生产条件所必需的资金投入，由生产经营单位的（    ）或者个人经营的投资人予以保证，并对由于安全生产所必需的资金投入不足导致的后果承担责任</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决策机构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主要负责人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权利机构</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大股东</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《安全生产法》规定，安全生产中从业人员的义务包括（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拒绝违章指挥和强令冒险作业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了解其作业场所和工作岗位存在的危险因素、防范措施及事故应急措施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对本单位的安全生产工作提出建议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掌握本职工作所需的安全生产知识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向现场安全生产管理人员报告发现的事故隐患或者其他不安全因素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生产经营单位的全员安全生产责任制应当明确各岗位的（    ）等内容</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责任人员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责任范围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奖罚制度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考核标准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关于工程质量检测的说法，不正确的是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检测人员不得同时受聘于两个或两个以上检测机构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检测报告必须由检测机构法定代表人签署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检测机构是不具有独立法人资格的非营利性中介机构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检测数据和检测报告仅供施工企业参考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任何单位和个人不得明示或者暗示检测机构出具虚假检测报告，不得篡改或者伪造检测报告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必须实行监理建设工程的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国家重点建设工程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大中型公用事业工程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成片开发建设的住宅小区工程</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利用外国政府或者国际组织贷款、援助资金的工程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使用国有资金投资的工程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《建设工程质量管理条例》规定，国家机关工作人员在建设工程质量监督管理工作中(    )，构成犯罪的，依法追究刑事责任；尚不构成犯罪的，依法给予行政处分</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公报私仇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滥用职权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玩忽职守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索要回扣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徇私舞弊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01-02-01-05－02－0006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《建设工程质量管理条例》规定，施工人员对涉及结构安全的试块、试件以及有关材料，应当在工程(    )等单位的监督下现场取样并送检</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施工单位的（    ）应当经建设行政主管部门或者其他有关部门考核合格后方可任职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主要负责人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技术负责人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专职安全生产管理人员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《建设工程安全生产管理条例》规定，出租的机械设备和施工机具及配件，应当具有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生产(制造)许可证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产品合格证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质量保证书</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质量认证书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施工单位的项目负责人应当由取得相应执业资格的人员担任，并对建设工程项目的安全施工负责，其安全责任主要包括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对所承担的建设工程进行定期和专项安全检查，并做好安全检查记录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落实安全生产责任制度、安全生产规章制度和操作规程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确保安全生产费用的有效使用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根据工程的特点组织制定安全施工措施，消除安全事故隐患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及时、如实报告生产安全事故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施工单位主要负责人依法对本单位的安全生产工作全面负责。施工单位主要负责人的生产安全工作职责包括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确保安全生产费用的有效使用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对本单位的安全生产工作全面负责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制定安全生产规章制度和操作规程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对所承担的建设工程进行定期和专项安全检查，并做好安全检查记录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建立健全安全生产责任制度和安全生产教育培训制度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题干</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sz w:val="18"/>
                <w:szCs w:val="18"/>
              </w:rPr>
              <w:t>根据《建设工程安全生产管理条例》，以下属于专职安全生产管理人员职责的是（</w:t>
            </w:r>
            <w:r>
              <w:rPr>
                <w:rFonts w:hint="eastAsia"/>
                <w:color w:val="000000"/>
                <w:sz w:val="18"/>
                <w:szCs w:val="18"/>
              </w:rPr>
              <w:t xml:space="preserve">    </w:t>
            </w:r>
            <w:r>
              <w:rPr>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A、</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kern w:val="0"/>
                <w:sz w:val="18"/>
                <w:szCs w:val="18"/>
              </w:rPr>
              <w:t>负责对安全生产进行现场监督检查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B、</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kern w:val="0"/>
                <w:sz w:val="18"/>
                <w:szCs w:val="18"/>
              </w:rPr>
              <w:t>发现安全事故隐患，应当及时向项目负责人和安全生产管理机构报告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C、</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kern w:val="0"/>
                <w:sz w:val="18"/>
                <w:szCs w:val="18"/>
              </w:rPr>
              <w:t>对违章指挥、违章操作的，应当立即制止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D、</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kern w:val="0"/>
                <w:sz w:val="18"/>
                <w:szCs w:val="18"/>
              </w:rPr>
              <w:t>对施工现场的安全生产负总责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E、</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kern w:val="0"/>
                <w:sz w:val="18"/>
                <w:szCs w:val="18"/>
              </w:rPr>
              <w:t>负责安全生产条件的改善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w:t>
            </w:r>
            <w:r>
              <w:rPr>
                <w:rFonts w:ascii="宋体" w:hAnsi="宋体" w:cs="宋体"/>
                <w:kern w:val="0"/>
                <w:sz w:val="18"/>
                <w:szCs w:val="18"/>
              </w:rPr>
              <w:t>BC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根据《生产安全事故报告和调查处理条例》的规定，事故调查报告应包括的内容有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事故发生单位概况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事故发生经过和事故救援情况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事故造成的人员伤亡和直接经济损失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事故发生的原因和事故性质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事故发生单位的经营状况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建设工程勘察、设计方案评标，应当以（    ）为依据，进行综合评定</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投标人的业绩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信誉</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荣誉</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勘察、设计人员的能力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勘察、设计方案的优劣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ABDE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专项方案编制包括以下内容</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环境保护措施</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施工工艺技术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施工安全保证措施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计算书及相关图纸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超过一定规模的危险性较大的分部分项工程专项方案，专家论证的主要内容包括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专项方案内容是否完整、可行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监测方案是否完整、可行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专项方案计算书和验算依据是否符合有关标准规范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专项巡视检查是否符合有关标准规范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安全施工的基本条件是否满足现场实际情况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对于按规定需要验收的危险性较大的分部分项工程，（    ）应当组织有关人员进行验收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质量监督站</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建设行政主管部门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根据《水利水电建设工程验收规程》，政府验收主要包括（</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单位工程验收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阶段验收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水电站中间机组启动验收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A</w:t>
            </w:r>
            <w:r>
              <w:rPr>
                <w:rFonts w:hint="eastAsia" w:ascii="宋体" w:hAnsi="宋体" w:cs="宋体"/>
                <w:kern w:val="0"/>
                <w:sz w:val="18"/>
                <w:szCs w:val="18"/>
                <w:lang w:val="en-US" w:eastAsia="zh-CN"/>
              </w:rPr>
              <w:t>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eastAsia="zh-CN"/>
              </w:rPr>
              <w:t>根据《水法》，关于水工程保护与建设许可的说法，正确的有(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对生产建设活动有禁止性规定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对生产建设项目有限制性规定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水工程系指水利部门管理建设的工程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水工程的保护范围为水工程设施的组成部分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流域范围内的区域规划应当服从流域规划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A</w:t>
            </w:r>
            <w:r>
              <w:rPr>
                <w:rFonts w:hint="eastAsia" w:ascii="宋体" w:hAnsi="宋体" w:cs="宋体"/>
                <w:kern w:val="0"/>
                <w:sz w:val="18"/>
                <w:szCs w:val="18"/>
                <w:lang w:val="en-US" w:eastAsia="zh-CN"/>
              </w:rPr>
              <w:t>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水资源规划按层次划分为(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全国战略规划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供水规划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流域规划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区域规划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调水规划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ascii="宋体" w:hAnsi="宋体" w:cs="宋体"/>
                <w:kern w:val="0"/>
                <w:sz w:val="18"/>
                <w:szCs w:val="18"/>
              </w:rPr>
              <w:t>A</w:t>
            </w:r>
            <w:r>
              <w:rPr>
                <w:rFonts w:hint="eastAsia" w:ascii="宋体" w:hAnsi="宋体" w:cs="宋体"/>
                <w:kern w:val="0"/>
                <w:sz w:val="18"/>
                <w:szCs w:val="18"/>
                <w:lang w:val="en-US" w:eastAsia="zh-CN"/>
              </w:rPr>
              <w:t>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根据《水电水利工程施工监理规范》(DLVT511)，工程变更分为(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特别重大工程变更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重大工程变更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较大工程变更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一般工程变更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常规设计变更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根据《水利工程建设项目管理规定》(水建[1995]128号),水利工程可行性研究报告重点解决项目的(</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)等有关问题。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建设必要性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费用经济性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技术可行性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环境影响可控性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社会影响可控性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根据《水利工程施工转包违法分包等违法行为认定查处管理暂行办法》水建管[2016]420号)，下列情形中,属于违法分包的有(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承包人将工程分包给不具备相应资质的单位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将工程分包给不具备相应资质的个人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承包人将工程分包给不具备安全生产许可的单位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承包人将工程分包给不具备安全生产许可的个人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承包人未设立现场管理机构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w:t>
            </w:r>
            <w:r>
              <w:rPr>
                <w:rFonts w:hint="eastAsia" w:ascii="宋体" w:hAnsi="宋体" w:eastAsia="宋体" w:cs="宋体"/>
                <w:kern w:val="0"/>
                <w:sz w:val="18"/>
                <w:szCs w:val="18"/>
                <w:lang w:val="en-US" w:eastAsia="zh-CN"/>
              </w:rPr>
              <w:t>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根据《关于印发水利建设市场主体信用评价管理暂行办法的通知》，下列行为中，属于严重失信行为的有(</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未取得资质证书承揽工程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串标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转包所承揽工程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有行贿违法记录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eastAsia="宋体" w:cs="宋体"/>
                <w:kern w:val="0"/>
                <w:sz w:val="18"/>
                <w:szCs w:val="18"/>
                <w:lang w:val="en-US" w:eastAsia="zh-CN"/>
              </w:rPr>
              <w:t>超越本单位资质承揽工程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r>
              <w:rPr>
                <w:rFonts w:hint="eastAsia" w:ascii="宋体" w:hAnsi="宋体" w:eastAsia="宋体" w:cs="宋体"/>
                <w:kern w:val="0"/>
                <w:sz w:val="18"/>
                <w:szCs w:val="18"/>
                <w:lang w:val="en-US" w:eastAsia="zh-CN"/>
              </w:rPr>
              <w:t>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根据《小型水电站建设工程验收规程》(SL 168-2012)，水电站单位工程完工验收后，在项目法人颁发合同工程完工证书前，施工验收工作包括(</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工程移交运行管理单位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验收遗留问题处理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提交工程质量保修书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提交竣工资料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施工场地清理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根据《水利安全生产标准化评审管理暂行办法》，水利生产经营单位包括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管理单位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根据《防洪法》，防洪区是指洪水泛滥可能淹及的地区，分为(</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泄洪区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洪泛区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蓄滞洪区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防洪保护区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行洪区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在施工合同实施中，(</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)的关系不是合同的法律关系。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发包人和分包人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发包人和监理人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承包人和分包人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监理人和承包人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发包人和设计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水利工程建立管理三项制度改革是指(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工程法人责任制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合同管理制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招标投标制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建立监理制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责任终身制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照索赔目的不同，可将索赔分为(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费用索赔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工期索赔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质量索赔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道义索赔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信用索赔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以下属于合同价款支付的有(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进度款支付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完工结算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最终结算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最终决算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质保金退回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AB</w:t>
            </w:r>
            <w:r>
              <w:rPr>
                <w:rFonts w:hint="eastAsia" w:ascii="宋体" w:hAnsi="宋体" w:cs="宋体"/>
                <w:kern w:val="0"/>
                <w:sz w:val="18"/>
                <w:szCs w:val="18"/>
                <w:lang w:val="en-US" w:eastAsia="zh-CN"/>
              </w:rPr>
              <w:t>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承包人向发包人索赔时，所提交索赔文件的主要容包括〔</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索赔证据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索赔事件的总述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索赔合理性论述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索赔要求计算书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索赔意向通知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安全</w:t>
            </w:r>
            <w:r>
              <w:rPr>
                <w:rFonts w:hint="default" w:ascii="宋体" w:hAnsi="宋体" w:eastAsia="宋体" w:cs="宋体"/>
                <w:kern w:val="0"/>
                <w:sz w:val="18"/>
                <w:szCs w:val="18"/>
                <w:lang w:val="en-US" w:eastAsia="zh-CN"/>
              </w:rPr>
              <w:t>事故按照事故造成的人员伤亡或者直接经济损失，将事故划分为〔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一般事故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较大事故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特别重大事故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普通事故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质量事故处理的原</w:t>
            </w:r>
            <w:r>
              <w:rPr>
                <w:rFonts w:hint="eastAsia" w:ascii="宋体" w:hAnsi="宋体" w:cs="宋体"/>
                <w:kern w:val="0"/>
                <w:sz w:val="18"/>
                <w:szCs w:val="18"/>
                <w:lang w:val="en-US" w:eastAsia="zh-CN"/>
              </w:rPr>
              <w:t>则是</w:t>
            </w:r>
            <w:r>
              <w:rPr>
                <w:rFonts w:hint="default" w:ascii="宋体" w:hAnsi="宋体" w:eastAsia="宋体" w:cs="宋体"/>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事故原因不查清楚不放过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主要事故责任人和职工未受教育不放过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补救和防措施不落实不放过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主要事故责任人未受处理不放过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未采用补救和防措施不放过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水利工程质量事故，依据事故造成的(</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)进</w:t>
            </w:r>
            <w:r>
              <w:rPr>
                <w:rFonts w:hint="eastAsia" w:ascii="宋体" w:hAnsi="宋体" w:cs="宋体"/>
                <w:kern w:val="0"/>
                <w:sz w:val="18"/>
                <w:szCs w:val="18"/>
                <w:lang w:val="en-US" w:eastAsia="zh-CN"/>
              </w:rPr>
              <w:t>行</w:t>
            </w:r>
            <w:r>
              <w:rPr>
                <w:rFonts w:hint="default" w:ascii="宋体" w:hAnsi="宋体" w:eastAsia="宋体" w:cs="宋体"/>
                <w:kern w:val="0"/>
                <w:sz w:val="18"/>
                <w:szCs w:val="18"/>
                <w:lang w:val="en-US" w:eastAsia="zh-CN"/>
              </w:rPr>
              <w:t>分类。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直接经济损失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间接经济损失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处理所需时间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处理后对工程的寿命和功能的影响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处理所需设备种类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根据《建设工程质量管理条例)，关于施工单位质量责任的说法，正确的有(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未经教育培训或考试不合格人员，不得上岗作业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发现设计文件有差</w:t>
            </w:r>
            <w:r>
              <w:rPr>
                <w:rFonts w:hint="eastAsia" w:ascii="宋体" w:hAnsi="宋体" w:cs="宋体"/>
                <w:kern w:val="0"/>
                <w:sz w:val="18"/>
                <w:szCs w:val="18"/>
                <w:lang w:val="en-US" w:eastAsia="zh-CN"/>
              </w:rPr>
              <w:t>错</w:t>
            </w:r>
            <w:r>
              <w:rPr>
                <w:rFonts w:hint="default" w:ascii="宋体" w:hAnsi="宋体" w:eastAsia="宋体" w:cs="宋体"/>
                <w:kern w:val="0"/>
                <w:sz w:val="18"/>
                <w:szCs w:val="18"/>
                <w:lang w:val="en-US" w:eastAsia="zh-CN"/>
              </w:rPr>
              <w:t>应及时要求设计单位修改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按有关要求对建筑材料、 构配件进行检验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涉及结构安全的试块直接取样送检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隐蔽工程在隐蔽前，应通知建设单位和质量监督机构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AC</w:t>
            </w:r>
            <w:r>
              <w:rPr>
                <w:rFonts w:hint="eastAsia" w:ascii="宋体" w:hAnsi="宋体" w:cs="宋体"/>
                <w:kern w:val="0"/>
                <w:sz w:val="18"/>
                <w:szCs w:val="18"/>
                <w:lang w:val="en-US" w:eastAsia="zh-CN"/>
              </w:rPr>
              <w:t>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根据《安全生产法》，生产经营单位的从业人员有权了解其作业场所和工作岗位存在的(</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危险因素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防范措施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安全通病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事故应急措施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r>
              <w:rPr>
                <w:rFonts w:hint="default" w:ascii="宋体" w:hAnsi="宋体" w:eastAsia="宋体" w:cs="宋体"/>
                <w:kern w:val="0"/>
                <w:sz w:val="18"/>
                <w:szCs w:val="18"/>
                <w:lang w:val="en-US" w:eastAsia="zh-CN"/>
              </w:rPr>
              <w:t>C</w:t>
            </w:r>
            <w:r>
              <w:rPr>
                <w:rFonts w:hint="eastAsia" w:ascii="宋体" w:hAnsi="宋体" w:cs="宋体"/>
                <w:kern w:val="0"/>
                <w:sz w:val="18"/>
                <w:szCs w:val="18"/>
                <w:lang w:val="en-US" w:eastAsia="zh-CN"/>
              </w:rPr>
              <w:t>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民事诉讼的基本特征有(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自愿性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保密性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公权性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程序性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强制性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C</w:t>
            </w:r>
            <w:r>
              <w:rPr>
                <w:rFonts w:hint="eastAsia" w:ascii="宋体" w:hAnsi="宋体" w:cs="宋体"/>
                <w:kern w:val="0"/>
                <w:sz w:val="18"/>
                <w:szCs w:val="18"/>
                <w:lang w:val="en-US" w:eastAsia="zh-CN"/>
              </w:rPr>
              <w:t>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关于所有权的说法，正确的有( </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财产所有权的权能包括占有权，使用权，收益权，处分权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收益因使用而产生，因此要享有收益权，必须享有使用权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占有权只能由所有人享有的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处分权是所有权最基本的权利，是所有权内容的核心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使用权是所有人所享有的一项独立全能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水利水电工程常用标准级别分为(</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)、地方标准。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国家标准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行业标准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技术标准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企业</w:t>
            </w:r>
            <w:r>
              <w:rPr>
                <w:rFonts w:hint="default" w:ascii="宋体" w:hAnsi="宋体" w:eastAsia="宋体" w:cs="宋体"/>
                <w:kern w:val="0"/>
                <w:sz w:val="18"/>
                <w:szCs w:val="18"/>
                <w:lang w:val="en-US" w:eastAsia="zh-CN"/>
              </w:rPr>
              <w:t>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项目标准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根据《建设工程质量管理条例》，建设工程竣工验收应具备的条件有（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完成建设工程设计和合同约定的各项内容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有完整的技术档案和施工管理资料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有勘察、设计单位分别签署的质量合格文件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有完整的监理文件资料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工程竣工预验收合格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根据《生产安全事故报告和调查处理条例》，事故报告应包含的内容有（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事故发生单位概况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事故发生的时间、地点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事故发生的原因和性质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事故已造成的伤亡人数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已经采取的措施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ABDE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根据《招标投标法》，关于招标的说法，正确的有（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行政机关可以与其他单位合作，共同依法设立招标代理机构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招标人具有编制招标文件和组织评标能力的，可以自行办理招标事宜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招标代理机构应当在招标人委托的范围内办理招标事宜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招标人应当根据招标项目的特点和需要编制招标文件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招标人不得对已发出的招标文件进行修改和补充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根据《民法典》，关于建设工程合同的说法，正确的有（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建设工程合同包括工程勘察、设计、施工、监理合同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建设工程合同是承包人进行工程建设，发包人支付价款的合同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建设工程施工合同无效，但工程验收合格的，可参照合同关于工程价款的约定折价补偿承包人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承包人将建设工程转包的，发包人可解除合同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在不妨碍承包人正常作业的情况下，发包人可随时检查作业进度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BCDE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根据《安全生产法》，关于生产经营单位安全生产保障的说法，正确的有（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生产经营单位必须依法参加工伤保险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生产经营单位必须设置安全生产管理机构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生产经营单位的主要负责人应保证本单位安全生产投入的有效实施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生产经营单位的主要负责人应组织本单位应急救援演练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生产经营单位应建立安全风险分级管控制度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根据《民法典》，关于要约和承诺的说法，正确的有（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承诺是受要约人同意要约的意思表示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要约以信件作出且未载明日期的，承诺期限自投寄该信件的日期开始计算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承诺不需要通知的，在根据要约的要求作出承诺的行为时生效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承诺的内容应当与要约的内容一致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要约生效的地点为合同成立的地点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AC</w:t>
            </w: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根据《建设工程监理规范》，项目监理机构处理施工单位费用索赔的主要依据有（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勘察设计文件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施工合同文件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监理合同文件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索赔事件的证据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w:t>
            </w:r>
            <w:r>
              <w:rPr>
                <w:rFonts w:hint="eastAsia" w:ascii="宋体" w:hAnsi="宋体" w:cs="宋体"/>
                <w:kern w:val="0"/>
                <w:sz w:val="18"/>
                <w:szCs w:val="18"/>
                <w:lang w:val="en-US" w:eastAsia="zh-CN"/>
              </w:rPr>
              <w:t>BE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根据《建设工程监理规范》，总监理工程师在第一次工地会议上应介绍的内容有（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监理工作内容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监理工作目标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监理人员职责分工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监理工作程序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监理工作制度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w:t>
            </w:r>
            <w:r>
              <w:rPr>
                <w:rFonts w:hint="eastAsia" w:ascii="宋体" w:hAnsi="宋体" w:cs="宋体"/>
                <w:kern w:val="0"/>
                <w:sz w:val="18"/>
                <w:szCs w:val="18"/>
                <w:lang w:val="en-US" w:eastAsia="zh-CN"/>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根据《建设工程监理规范》，应由总监理工程师签字并加盖执业印章的监理文件有（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工程款支付证书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隐蔽工程报验表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费用索赔报审表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分部工程报验表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工程复工令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w:t>
            </w:r>
            <w:r>
              <w:rPr>
                <w:rFonts w:hint="eastAsia" w:ascii="宋体" w:hAnsi="宋体" w:cs="宋体"/>
                <w:kern w:val="0"/>
                <w:sz w:val="18"/>
                <w:szCs w:val="18"/>
                <w:lang w:val="en-US" w:eastAsia="zh-CN"/>
              </w:rPr>
              <w:t>CE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为应对工程风险，采用非保险转移策略的优点有（</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转移风险一方不需要为风险转移付出任何代价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双方当事人不会因对合同条款理解发生分歧而导致风险转移失效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可以转移某些在保险公司不能投保的潜在损失风险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风险被转移者往往能较好地进行损失控制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风险被转移者不会因为无力承担实际重大损失而导致风险转移失效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《水利水电工程验收规程》规定，水利水电工程的阶段验收包括（　）</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单位工程投入使用验收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初步验收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截流前验收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蓄引水验收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机组启动验收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水电工程监理的职业标准：（</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守法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诚信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公正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科学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廉洁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ABCD　</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项目法人应履行的质量职责包括（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开工前办理工程质量监督手续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审批施工单位的施工组织设计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保证合同规定的工程款到</w:t>
            </w:r>
            <w:r>
              <w:rPr>
                <w:rFonts w:hint="eastAsia" w:ascii="宋体" w:hAnsi="宋体" w:cs="宋体"/>
                <w:kern w:val="0"/>
                <w:sz w:val="18"/>
                <w:szCs w:val="18"/>
                <w:lang w:val="en-US" w:eastAsia="zh-CN"/>
              </w:rPr>
              <w:t>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建立健全工程质量管理与工程质量事故档案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审查施工单位投标资格与业绩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AC</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根据《建设工程安全生产管理条例》的规定，（  ）等特种作业人员，必须按照国家有关规定经过专门的安全作业培训，并取得特种作业操作资格证书后，方可上岗作业。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垂直运输机械作业人员、安装拆卸工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爆破作业人员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起重信号工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 xml:space="preserve">登高架设作业人员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混凝土工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w:t>
            </w:r>
            <w:r>
              <w:rPr>
                <w:rFonts w:hint="eastAsia" w:ascii="宋体" w:hAnsi="宋体" w:cs="宋体"/>
                <w:kern w:val="0"/>
                <w:sz w:val="18"/>
                <w:szCs w:val="18"/>
                <w:lang w:val="en-US" w:eastAsia="zh-CN"/>
              </w:rPr>
              <w:t>B</w:t>
            </w:r>
            <w:r>
              <w:rPr>
                <w:rFonts w:hint="default" w:ascii="宋体" w:hAnsi="宋体" w:eastAsia="宋体" w:cs="宋体"/>
                <w:kern w:val="0"/>
                <w:sz w:val="18"/>
                <w:szCs w:val="18"/>
                <w:lang w:val="en-US" w:eastAsia="zh-CN"/>
              </w:rPr>
              <w:t>C</w:t>
            </w:r>
            <w:r>
              <w:rPr>
                <w:rFonts w:hint="eastAsia" w:ascii="宋体" w:hAnsi="宋体" w:cs="宋体"/>
                <w:kern w:val="0"/>
                <w:sz w:val="18"/>
                <w:szCs w:val="18"/>
                <w:lang w:val="en-US" w:eastAsia="zh-CN"/>
              </w:rPr>
              <w:t>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新建、扩建、改建建设项目，应当制订节水措施方案，配套建设节水设施。节水设施应当与主体工程（</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同时设计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同时施工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同时完工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同时投产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同时验收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A</w:t>
            </w:r>
            <w:r>
              <w:rPr>
                <w:rFonts w:hint="eastAsia" w:ascii="宋体" w:hAnsi="宋体" w:cs="宋体"/>
                <w:kern w:val="0"/>
                <w:sz w:val="18"/>
                <w:szCs w:val="18"/>
                <w:lang w:val="en-US" w:eastAsia="zh-CN"/>
              </w:rPr>
              <w:t>BD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水中长期供求规划应当依据水的供求现状、国民经济和社会发展规划、流域规划、区域规划，按照水资源供需协调、（  ）、合理开源的原则制定。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总量控制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综合平衡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保护生态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厉行节约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综合治理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BCD</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根据《水电建设工程安全鉴定规定》，工程安全鉴定分为（）。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截流安全鉴定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蓄水安全鉴定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机组安全鉴定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专项安全鉴定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竣工安全鉴定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-0</w:t>
            </w:r>
            <w:r>
              <w:rPr>
                <w:rFonts w:hint="eastAsia"/>
                <w:kern w:val="0"/>
                <w:sz w:val="18"/>
                <w:szCs w:val="18"/>
                <w:lang w:val="en-US" w:eastAsia="zh-CN"/>
              </w:rPr>
              <w:t>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监理人员要按规定采取(</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)等形式，按作业程序即时跟班到位进行监督检查，对达不到质量要求的工程不得签字，并有权责令返工，有权向有关主管部门报告”。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调试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旁站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巡视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平行检验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CDE</w:t>
            </w:r>
          </w:p>
        </w:tc>
      </w:tr>
    </w:tbl>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多</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w:t>
            </w:r>
            <w:r>
              <w:rPr>
                <w:rFonts w:hint="eastAsia"/>
                <w:kern w:val="0"/>
                <w:sz w:val="18"/>
                <w:szCs w:val="18"/>
                <w:lang w:val="en-US" w:eastAsia="zh-CN"/>
              </w:rPr>
              <w:t>2</w:t>
            </w:r>
            <w:r>
              <w:rPr>
                <w:kern w:val="0"/>
                <w:sz w:val="18"/>
                <w:szCs w:val="18"/>
              </w:rPr>
              <w:t>-</w:t>
            </w:r>
            <w:r>
              <w:rPr>
                <w:rFonts w:hint="eastAsia"/>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工程建设强制性条文具备（</w:t>
            </w:r>
            <w:r>
              <w:rPr>
                <w:rFonts w:hint="eastAsia" w:ascii="宋体" w:hAnsi="宋体" w:cs="宋体"/>
                <w:kern w:val="0"/>
                <w:sz w:val="18"/>
                <w:szCs w:val="18"/>
                <w:lang w:val="en-US" w:eastAsia="zh-CN"/>
              </w:rPr>
              <w:t xml:space="preserve">  </w:t>
            </w:r>
            <w:r>
              <w:rPr>
                <w:rFonts w:hint="default"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法律性质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可操作性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施工指导性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default" w:ascii="宋体" w:hAnsi="宋体" w:eastAsia="宋体" w:cs="宋体"/>
                <w:kern w:val="0"/>
                <w:sz w:val="18"/>
                <w:szCs w:val="18"/>
                <w:lang w:val="en-US" w:eastAsia="zh-CN"/>
              </w:rPr>
              <w:t>重大影响性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E、</w:t>
            </w:r>
            <w:r>
              <w:rPr>
                <w:rFonts w:ascii="宋体" w:hAnsi="宋体" w:cs="宋体"/>
                <w:kern w:val="0"/>
                <w:sz w:val="18"/>
                <w:szCs w:val="18"/>
              </w:rPr>
              <w:t xml:space="preserve">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验收依据性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ABD</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lkYTVjN2QwYTIxZjY4NWI1ODVhODBkMmRlZDFkNDMifQ=="/>
  </w:docVars>
  <w:rsids>
    <w:rsidRoot w:val="00013FBB"/>
    <w:rsid w:val="00013FBB"/>
    <w:rsid w:val="0002106B"/>
    <w:rsid w:val="00021DB9"/>
    <w:rsid w:val="000272AB"/>
    <w:rsid w:val="0003774C"/>
    <w:rsid w:val="00075C0A"/>
    <w:rsid w:val="00094448"/>
    <w:rsid w:val="000A56A8"/>
    <w:rsid w:val="000A7D9C"/>
    <w:rsid w:val="000B0531"/>
    <w:rsid w:val="000F4EC0"/>
    <w:rsid w:val="001011C3"/>
    <w:rsid w:val="001354EB"/>
    <w:rsid w:val="00167A8F"/>
    <w:rsid w:val="00181EBC"/>
    <w:rsid w:val="0018214C"/>
    <w:rsid w:val="001C7B6D"/>
    <w:rsid w:val="001D26F4"/>
    <w:rsid w:val="0021748C"/>
    <w:rsid w:val="002912C0"/>
    <w:rsid w:val="002A35CB"/>
    <w:rsid w:val="002D10D2"/>
    <w:rsid w:val="002F0731"/>
    <w:rsid w:val="00360914"/>
    <w:rsid w:val="00362EF0"/>
    <w:rsid w:val="00372F3D"/>
    <w:rsid w:val="00392355"/>
    <w:rsid w:val="003B7D12"/>
    <w:rsid w:val="003D514A"/>
    <w:rsid w:val="003E1946"/>
    <w:rsid w:val="0044093C"/>
    <w:rsid w:val="00470FAB"/>
    <w:rsid w:val="004851DE"/>
    <w:rsid w:val="004904D9"/>
    <w:rsid w:val="004A236E"/>
    <w:rsid w:val="004D1BF5"/>
    <w:rsid w:val="0050740D"/>
    <w:rsid w:val="00514962"/>
    <w:rsid w:val="005464D4"/>
    <w:rsid w:val="00557002"/>
    <w:rsid w:val="00571517"/>
    <w:rsid w:val="00571C15"/>
    <w:rsid w:val="00583A96"/>
    <w:rsid w:val="00587CF4"/>
    <w:rsid w:val="005A6EA0"/>
    <w:rsid w:val="005B6EAE"/>
    <w:rsid w:val="005E7BB8"/>
    <w:rsid w:val="005F7956"/>
    <w:rsid w:val="0060437A"/>
    <w:rsid w:val="00612C54"/>
    <w:rsid w:val="0066631D"/>
    <w:rsid w:val="00677A0B"/>
    <w:rsid w:val="00697EA5"/>
    <w:rsid w:val="006C4D52"/>
    <w:rsid w:val="006D3D69"/>
    <w:rsid w:val="006E55C4"/>
    <w:rsid w:val="006E66E1"/>
    <w:rsid w:val="006F2289"/>
    <w:rsid w:val="006F3402"/>
    <w:rsid w:val="00761CE4"/>
    <w:rsid w:val="007C0FFB"/>
    <w:rsid w:val="00812ADE"/>
    <w:rsid w:val="00840F49"/>
    <w:rsid w:val="008453FC"/>
    <w:rsid w:val="0084644B"/>
    <w:rsid w:val="0085049E"/>
    <w:rsid w:val="00850E7F"/>
    <w:rsid w:val="0085614E"/>
    <w:rsid w:val="00877783"/>
    <w:rsid w:val="00890A25"/>
    <w:rsid w:val="00894E25"/>
    <w:rsid w:val="008A7E5B"/>
    <w:rsid w:val="008B716B"/>
    <w:rsid w:val="008D048C"/>
    <w:rsid w:val="008E3E28"/>
    <w:rsid w:val="008E6067"/>
    <w:rsid w:val="008F532C"/>
    <w:rsid w:val="00906084"/>
    <w:rsid w:val="0092295E"/>
    <w:rsid w:val="00965A88"/>
    <w:rsid w:val="00982715"/>
    <w:rsid w:val="009A1BD7"/>
    <w:rsid w:val="00A32D88"/>
    <w:rsid w:val="00A337A7"/>
    <w:rsid w:val="00B378A9"/>
    <w:rsid w:val="00BA54FF"/>
    <w:rsid w:val="00BA7512"/>
    <w:rsid w:val="00BB0523"/>
    <w:rsid w:val="00BD1BD8"/>
    <w:rsid w:val="00C005F2"/>
    <w:rsid w:val="00C54C40"/>
    <w:rsid w:val="00C57E62"/>
    <w:rsid w:val="00CC7185"/>
    <w:rsid w:val="00CF5548"/>
    <w:rsid w:val="00D032E9"/>
    <w:rsid w:val="00D505E4"/>
    <w:rsid w:val="00D974B1"/>
    <w:rsid w:val="00DA1824"/>
    <w:rsid w:val="00DE3D50"/>
    <w:rsid w:val="00E27224"/>
    <w:rsid w:val="00E277DD"/>
    <w:rsid w:val="00E50076"/>
    <w:rsid w:val="00E63942"/>
    <w:rsid w:val="00EE184F"/>
    <w:rsid w:val="00F61378"/>
    <w:rsid w:val="00F6365D"/>
    <w:rsid w:val="00F6468D"/>
    <w:rsid w:val="00F723D7"/>
    <w:rsid w:val="00FC05AA"/>
    <w:rsid w:val="00FC1FF5"/>
    <w:rsid w:val="00FE46C1"/>
    <w:rsid w:val="0FEA17A5"/>
    <w:rsid w:val="118B31FC"/>
    <w:rsid w:val="1B3C7587"/>
    <w:rsid w:val="263F0093"/>
    <w:rsid w:val="35B55DC3"/>
    <w:rsid w:val="35C90532"/>
    <w:rsid w:val="36B87EEB"/>
    <w:rsid w:val="41975CA3"/>
    <w:rsid w:val="4CC379C8"/>
    <w:rsid w:val="5681086B"/>
    <w:rsid w:val="5D5178D0"/>
    <w:rsid w:val="5EC35A67"/>
    <w:rsid w:val="61651F0C"/>
    <w:rsid w:val="6A7F502E"/>
    <w:rsid w:val="769F4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8">
    <w:name w:val="Strong"/>
    <w:basedOn w:val="7"/>
    <w:qFormat/>
    <w:uiPriority w:val="22"/>
    <w:rPr>
      <w:b/>
    </w:rPr>
  </w:style>
  <w:style w:type="character" w:styleId="9">
    <w:name w:val="Hyperlink"/>
    <w:basedOn w:val="7"/>
    <w:semiHidden/>
    <w:unhideWhenUsed/>
    <w:uiPriority w:val="99"/>
    <w:rPr>
      <w:color w:val="0000FF"/>
      <w:u w:val="single"/>
    </w:rPr>
  </w:style>
  <w:style w:type="character" w:customStyle="1" w:styleId="10">
    <w:name w:val="页眉 字符"/>
    <w:basedOn w:val="7"/>
    <w:link w:val="4"/>
    <w:qFormat/>
    <w:uiPriority w:val="99"/>
    <w:rPr>
      <w:rFonts w:ascii="Times New Roman" w:hAnsi="Times New Roman" w:eastAsia="宋体" w:cs="Times New Roman"/>
      <w:sz w:val="18"/>
      <w:szCs w:val="18"/>
    </w:rPr>
  </w:style>
  <w:style w:type="character" w:customStyle="1" w:styleId="11">
    <w:name w:val="页脚 字符"/>
    <w:basedOn w:val="7"/>
    <w:link w:val="3"/>
    <w:qFormat/>
    <w:uiPriority w:val="99"/>
    <w:rPr>
      <w:rFonts w:ascii="Times New Roman" w:hAnsi="Times New Roman" w:eastAsia="宋体" w:cs="Times New Roman"/>
      <w:sz w:val="18"/>
      <w:szCs w:val="18"/>
    </w:rPr>
  </w:style>
  <w:style w:type="paragraph" w:styleId="12">
    <w:name w:val="No Spacing"/>
    <w:qFormat/>
    <w:uiPriority w:val="0"/>
    <w:pPr>
      <w:widowControl w:val="0"/>
    </w:pPr>
    <w:rPr>
      <w:rFonts w:ascii="Arial Unicode MS" w:hAnsi="Arial Unicode MS" w:eastAsia="Arial Unicode MS" w:cs="Arial Unicode MS"/>
      <w:color w:val="000000"/>
      <w:sz w:val="24"/>
      <w:szCs w:val="24"/>
      <w:lang w:val="zh-TW" w:eastAsia="zh-TW" w:bidi="zh-TW"/>
    </w:rPr>
  </w:style>
  <w:style w:type="character" w:customStyle="1" w:styleId="13">
    <w:name w:val="Body text (36) + Arial Unicode MS"/>
    <w:basedOn w:val="14"/>
    <w:qFormat/>
    <w:uiPriority w:val="0"/>
    <w:rPr>
      <w:rFonts w:ascii="Arial Unicode MS" w:hAnsi="Arial Unicode MS" w:eastAsia="Arial Unicode MS" w:cs="Arial Unicode MS"/>
      <w:color w:val="000000"/>
      <w:spacing w:val="0"/>
      <w:w w:val="100"/>
      <w:position w:val="0"/>
      <w:sz w:val="13"/>
      <w:szCs w:val="13"/>
      <w:lang w:val="en-US" w:eastAsia="en-US" w:bidi="en-US"/>
    </w:rPr>
  </w:style>
  <w:style w:type="character" w:customStyle="1" w:styleId="14">
    <w:name w:val="Body text (36)_"/>
    <w:basedOn w:val="7"/>
    <w:qFormat/>
    <w:uiPriority w:val="0"/>
    <w:rPr>
      <w:rFonts w:ascii="宋体" w:hAnsi="宋体" w:eastAsia="宋体" w:cs="宋体"/>
      <w:sz w:val="14"/>
      <w:szCs w:val="14"/>
      <w:u w:val="none"/>
    </w:rPr>
  </w:style>
  <w:style w:type="character" w:customStyle="1" w:styleId="15">
    <w:name w:val="Body text (36)"/>
    <w:basedOn w:val="14"/>
    <w:uiPriority w:val="0"/>
    <w:rPr>
      <w:color w:val="000000"/>
      <w:spacing w:val="0"/>
      <w:w w:val="100"/>
      <w:position w:val="0"/>
      <w:lang w:val="zh-TW" w:eastAsia="zh-TW" w:bidi="zh-TW"/>
    </w:rPr>
  </w:style>
  <w:style w:type="character" w:customStyle="1" w:styleId="16">
    <w:name w:val="Body text (36) + 7.5 pt"/>
    <w:basedOn w:val="14"/>
    <w:qFormat/>
    <w:uiPriority w:val="0"/>
    <w:rPr>
      <w:color w:val="000000"/>
      <w:spacing w:val="0"/>
      <w:w w:val="100"/>
      <w:position w:val="0"/>
      <w:sz w:val="15"/>
      <w:szCs w:val="15"/>
      <w:lang w:val="en-US" w:eastAsia="en-US" w:bidi="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34</Pages>
  <Words>12269</Words>
  <Characters>14272</Characters>
  <Lines>118</Lines>
  <Paragraphs>33</Paragraphs>
  <TotalTime>0</TotalTime>
  <ScaleCrop>false</ScaleCrop>
  <LinksUpToDate>false</LinksUpToDate>
  <CharactersWithSpaces>15703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2022-12-29T01:55:00Z</dcterms:created>
  <dc:creator>青 师</dc:creator>
  <cp:lastModifiedBy>Administrator</cp:lastModifiedBy>
  <dcterms:modified xsi:type="dcterms:W3CDTF">2023-07-24T02:57:10Z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B8B70E7C58F34F408886BB03CC3CDDEC</vt:lpwstr>
  </property>
</Properties>
</file>