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4431730"/>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《建筑法》规定，提倡对建筑工程实行总承包，禁止将建筑工程</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主体分包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劳务分包</w:t>
            </w:r>
            <w:bookmarkStart w:id="5" w:name="_GoBack"/>
            <w:bookmarkEnd w:id="5"/>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bookmarkEnd w:id="0"/>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《建筑法》规定，从事建筑活动的建筑施工企业、勘察单位、设计单位和工程监理单位，应当具备下列条件</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有符合国家规定的注册资本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有与其从事的建筑活动相适应的具有法定执业资格的专业技术人员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有从事相关建筑活动所应有的技术装备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已完成的建筑工程业绩等资质条件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法律、行政法规规定的其他条件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》，建设单位应当按照国家有关规定办理申请批准手续的情形包括（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需要临时占用规划批准范围以外场地的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可能损坏道路、管线、电力、邮电通讯等公共设施的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需要临时停水、停电、中断道路交通的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需要进行爆破作业的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需要白天加班进行施工的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w:t>
            </w: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》，建筑工程监理应当依照法律、行政法规及有关的技术标准、设计文件和建筑工程承包合同，对承包单位在以下哪些方面进行监督（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施工人员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建设资金使用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合同签订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导致中标无效的情形有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投标截止日期以前投标人撤回已提交的招标文件进行修改的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招标人要求投标人提交投标保证金的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依法必须进行招标项目的招标人向他人泄露标底，影响中标结果的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依法必须进行招标的项目在所有投标被评标委员会否决后自行确定中标人的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投标人向招标人展示工程业绩、企业实力，谋取中标的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根据《招标投标法实施条例》,招标人的下列行为中属于以不合理条件限制、排斥投标人的有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明示或暗示投标人为特定投标人中标提供方便的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授意投票人撤换、修改投标文件的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限定或者指定特定的专利、商标、品牌的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向特定投标人泄露标底的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就同一招标项目向投标人提供有差别的项目信息的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根据《必须招标的工程项目规定》,下列项目属于必须进行招标的有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使用有限公司资金的项目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使用国有企业资金并且该资金占控股或者主导地位的项目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使用外国政府及其机构贷款、援助资金的项目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使用财政预算资金200万元以上并且该资金占投资额10%以上的项目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使用世界银行、亚洲开发银行等国际组织贷款、援助资金的项目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BCDE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下列情形中依法可以不招标的项目有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只有少量潜在投标人可供选择的项目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采购人的全资子公司能够自行建设的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需要向原中标人采购工程，否则将影响施工或者功能配套要求的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已通过招标方式选定的特许经营项目投资人依法能够自行建设的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需要使用不可替代的施工专有技术的项目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依法必须进行施工招标的工程建设项目,可以采用邀请招标的情形有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涉及国家安全、国家秘密或者抢险救灾，适宜招标但不宜公开招标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项目受自然地域环境限制，只有少数潜在投标人可供选择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采用公开招标方式的费用占项目合同金额的比例过大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在建工程追加附属小型工程或者主体加层工作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施工主要技术采用不可替代的专利或者专有技术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关于投标人资格审查的说法正确的有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资格后审在开标后由招标人按照招标文件的标准和方法对投标人资格进行审査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国有资金占控股或主导地位的依法必须招标的项目，招标人应当组建资格审查委员会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招标人采用资格预审的应当发布资格预审公告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资格预审结束后，评标委员会应当及时向资格预审申请人发出资格预审结果通知书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资格审查分为资格预审、资格中审和资格后审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我国《招标投标法》规定,开标时由(</w:t>
            </w:r>
            <w:r>
              <w:rPr>
                <w:rFonts w:ascii="宋体" w:hAnsi="宋体" w:cs="宋体"/>
                <w:kern w:val="0"/>
                <w:sz w:val="18"/>
                <w:szCs w:val="18"/>
              </w:rPr>
              <w:t xml:space="preserve">   </w:t>
            </w:r>
            <w:r>
              <w:rPr>
                <w:rFonts w:hint="eastAsia" w:ascii="宋体" w:hAnsi="宋体" w:cs="宋体"/>
                <w:kern w:val="0"/>
                <w:sz w:val="18"/>
                <w:szCs w:val="18"/>
              </w:rPr>
              <w:t xml:space="preserve"> )检查投标文件密封情况,确认无误后当众拆封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投标人或投标人推选的代表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公证机构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地方政府相关行政主管部门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根据《招标投标实施条例》,评标委员会应当否决投标的情形有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投标报价高于企业成本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投标文件未经投标单位负责人签字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投标报价低于招标控制价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投标联合体没有提交共同投标协议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投标人不符合招标文件规定的资格条件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下列可以做投标保证金的有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担保单位的信用担保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银行汇票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银行保函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现金支票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保兑支票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债务人或者第三人有权处分的下列权利中，可以质押的是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可以转让的专利权中的财产权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现有的以及将有的应收账款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根据《招标投标实施条例》,招标人和中标人应当依照招标投标法和本条例的规定签订书面合同，合同的（    ）等主要条款应当与招标文件和中标人的投标文件的内容一致。招标人和中标人不得再行订立背离合同实质性内容的其他协议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招标人应当拒收的情形包括（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没有提交投标保证金的投标文件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未通过资格预审的申请人提交的投标文件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逾期送达的投标文件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不按照招标文件要求密封的投标文件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没有单位盖章的投标文件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根据《中华人民共和国招标投标法》规定，以下属于不需要追究责任的重新招标情形有（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依法必须招标的项目的所有投标被否决的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投标人少于3个的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投标人以他人名义投标或者以其他方式弄虚作假,骗取中标的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依法必须进行招标的项目的招标人泄露标底的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投标人与招标人串通投标的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根据</w:t>
            </w:r>
            <w:r>
              <w:rPr>
                <w:rFonts w:hint="eastAsia" w:ascii="宋体" w:hAnsi="宋体" w:cs="Arial"/>
                <w:bCs/>
                <w:color w:val="000000"/>
                <w:sz w:val="18"/>
                <w:szCs w:val="18"/>
              </w:rPr>
              <w:t>《中华人民共和国招标投标法实施条例》，</w:t>
            </w:r>
            <w:r>
              <w:rPr>
                <w:rFonts w:hint="eastAsia" w:ascii="宋体" w:hAnsi="宋体" w:cs="宋体"/>
                <w:color w:val="000000"/>
                <w:sz w:val="18"/>
                <w:szCs w:val="18"/>
              </w:rPr>
              <w:t>评标委员会成员有下列(</w:t>
            </w:r>
            <w:r>
              <w:rPr>
                <w:rFonts w:ascii="宋体" w:hAnsi="宋体" w:cs="宋体"/>
                <w:color w:val="000000"/>
                <w:sz w:val="18"/>
                <w:szCs w:val="18"/>
              </w:rPr>
              <w:t xml:space="preserve">  )</w:t>
            </w:r>
            <w:r>
              <w:rPr>
                <w:rFonts w:hint="eastAsia" w:ascii="宋体" w:hAnsi="宋体" w:cs="宋体"/>
                <w:color w:val="000000"/>
                <w:sz w:val="18"/>
                <w:szCs w:val="18"/>
              </w:rPr>
              <w:t>情形，由有关行政监督部门责令改正；情节特别严重的，取消其担任评标委员会成员的资格。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应当回避而不回避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私下接触投标人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接受投标人主动提出的澄清、说明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擅离职守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对依法应当否决的投标提出否决意见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r>
              <w:rPr>
                <w:rFonts w:ascii="宋体" w:hAnsi="宋体" w:cs="宋体"/>
                <w:kern w:val="0"/>
                <w:sz w:val="18"/>
                <w:szCs w:val="18"/>
              </w:rPr>
              <w:t>BCD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下列选项中，属于转包的是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分包单位将其承包的工程再分包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合同未约定，又未经建设单位认可，总承包单位将部分建设工程交由其他单位完成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施工总承包单位将建设工程主体结构的施工分包给他人完成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总承包单位将全部工程交由其他单位完成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施工总承包单位将全部建设工程拆分成若干部分工作分包给其他企业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关于不可抗力后果承担的说法，正确的有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承包人在施工现场的人员伤亡损失由承包人承担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永久工程损失由发包人承担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承包人在停工期间按照发包人要求照管工程的费用由发包人承担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仓库中毁损的水泥由发包人承担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监理人在施工现场的人员伤亡损失由承包人承担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建设工程施工合同素赔成立的前提条件有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与合同对照，事件已经造成了承包人工程项目成本的额外支出或直接工程损失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造成工程费用的增加，已经超出承包人所能承受的范围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造成费用增加或工期损失的原因，按合同约定不属于承包人的行为责任或风险责任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造成工期损失的事件总时差不为零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承包人按合同规定的程序和时间提交索赔意向通知和素赔报告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ACE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根据《中华人民共和国民法典》，下列合同中属于建设工程合同的有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造价咨询合同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运输合同的法律特征有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货运合同是双务、有偿合同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货运合同的标的是获取货物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货运合同的标的是运输行为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货运合同的收货人和托运人可以是同一人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货运合同是诺成合同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ACDE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某项目业主委托某招标代理机构进行监理招标。在招标过程中，招标代理机构的主要义务有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按项目业主的指示处理招标事务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任意变更解除权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按时提交委托事务处理报告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因自身过错给项目业主造成损失的，应承担赔偿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可超越业主授权处理委托事务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432976"/>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有下列情形之一的，要约失效</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要约被拒绝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要约被撤销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承诺期限届满，受要约人未作出承诺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受要约人对要约的内容作出实质性变更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受要约人做出承诺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bookmarkEnd w:id="1"/>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bookmarkStart w:id="2" w:name="_Hlk124433536"/>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13-02-0001</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有下列情形之一的，该格式条款无效</w:t>
            </w:r>
            <w:r>
              <w:rPr>
                <w:rFonts w:ascii="宋体" w:hAnsi="宋体" w:cs="宋体"/>
                <w:kern w:val="0"/>
                <w:sz w:val="18"/>
                <w:szCs w:val="18"/>
                <w:highlight w:val="none"/>
              </w:rPr>
              <w:t>（</w:t>
            </w:r>
            <w:r>
              <w:rPr>
                <w:rFonts w:hint="eastAsia" w:ascii="宋体" w:hAnsi="宋体" w:cs="宋体"/>
                <w:kern w:val="0"/>
                <w:sz w:val="18"/>
                <w:szCs w:val="18"/>
                <w:highlight w:val="none"/>
              </w:rPr>
              <w:t xml:space="preserve">   </w:t>
            </w:r>
            <w:r>
              <w:rPr>
                <w:rFonts w:ascii="宋体" w:hAnsi="宋体" w:cs="宋体"/>
                <w:kern w:val="0"/>
                <w:sz w:val="18"/>
                <w:szCs w:val="18"/>
                <w:highlight w:val="none"/>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在订立合同时未与对方协商的条款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提供格式条款一方不合理地免除或者减轻其责任、加重对方责任、限制对方主要权利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提供格式条款一方排除对方主要权利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明显不公平的条款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因故意或者重大过失造成对方财产损失的免责条款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ascii="宋体" w:hAnsi="宋体" w:cs="宋体"/>
                <w:kern w:val="0"/>
                <w:sz w:val="18"/>
                <w:szCs w:val="18"/>
                <w:highlight w:val="none"/>
              </w:rPr>
              <w:t>BC</w:t>
            </w:r>
            <w:r>
              <w:rPr>
                <w:rFonts w:hint="eastAsia" w:ascii="宋体" w:hAnsi="宋体" w:cs="宋体"/>
                <w:kern w:val="0"/>
                <w:sz w:val="18"/>
                <w:szCs w:val="18"/>
                <w:highlight w:val="none"/>
                <w:lang w:val="en-US" w:eastAsia="zh-CN"/>
              </w:rPr>
              <w:t>E</w:t>
            </w:r>
          </w:p>
        </w:tc>
      </w:tr>
      <w:bookmarkEnd w:id="2"/>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4437427"/>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当事人在订立合同过程中有下列情形之一，造成对方损失的，应当承担赔偿责任</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假借订立合同，恶意进行磋商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故意隐瞒与订立合同有关的重要事实或者提供虚假情况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有其他违背诚信原则的行为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重大违约行为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不接受对方的条件导致合同谈判失败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w:t>
            </w:r>
          </w:p>
        </w:tc>
      </w:tr>
      <w:bookmarkEnd w:id="3"/>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13-02-0001</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根据《民法典》，国家重大建设工程合同，应当按照（    ）等文件订立</w:t>
            </w:r>
            <w:r>
              <w:rPr>
                <w:rFonts w:ascii="宋体" w:hAnsi="宋体" w:cs="宋体"/>
                <w:kern w:val="0"/>
                <w:sz w:val="18"/>
                <w:szCs w:val="18"/>
                <w:highlight w:val="none"/>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国家规定的程序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国家批准的投资计划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相关法律法规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w:t>
            </w:r>
            <w:r>
              <w:rPr>
                <w:rFonts w:hint="eastAsia" w:ascii="宋体" w:hAnsi="宋体" w:cs="宋体"/>
                <w:kern w:val="0"/>
                <w:sz w:val="18"/>
                <w:szCs w:val="18"/>
              </w:rPr>
              <w:t>建设工程施工合同无效，且建设工程经验收不合格的，按照以下情形处理（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修复后的建设工程经验收合格的，发包人可以请求承包人承担修复费用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修复后的建设工程经验收不合格的，承包人无权请求参照合同关于工程价款的约定折价补偿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发包人对因建设工程不合格造成的损失有过错的，应当承担相应的责任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发包人应当按照约定支付价款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w:t>
            </w:r>
            <w:r>
              <w:rPr>
                <w:rFonts w:hint="eastAsia" w:ascii="宋体" w:hAnsi="宋体" w:cs="宋体"/>
                <w:kern w:val="0"/>
                <w:sz w:val="18"/>
                <w:szCs w:val="18"/>
              </w:rPr>
              <w:t>融资租赁合同无效，（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当事人就该情形下租赁物的归属有约定的，按照其约定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当事人就该情形下租赁物的归属有约定的，其约定也无效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没有约定或者约定不明确的，租赁物应当返还出租人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没有约定或者约定不明确的，租赁物应当返还承租人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因承租人原因致使合同无效，出租人不请求返还或者返还后会显著降低租赁物效用的，租赁物的所有权归承租人，由承租人给予出租人合理补偿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13-02-0001</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 </w:t>
            </w:r>
            <w:r>
              <w:rPr>
                <w:rFonts w:hint="eastAsia" w:ascii="宋体" w:hAnsi="宋体" w:cs="宋体"/>
                <w:kern w:val="0"/>
                <w:sz w:val="18"/>
                <w:szCs w:val="18"/>
                <w:highlight w:val="none"/>
              </w:rPr>
              <w:t>有下列（    ）情形之一的，当事人可以解除合同</w:t>
            </w:r>
            <w:r>
              <w:rPr>
                <w:rFonts w:ascii="宋体" w:hAnsi="宋体" w:cs="宋体"/>
                <w:kern w:val="0"/>
                <w:sz w:val="18"/>
                <w:szCs w:val="18"/>
                <w:highlight w:val="none"/>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因不可抗力致使不能实现合同目的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在履行期限届满前，当事人一方明确表示或者以自己的行为表明不履行主要债务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当事人一方迟延履行主要债务，经催告后在合理期限内仍未履行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当事人一方迟延履行债务或者有其他违约行为致使不能实现合同目的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当事人一方</w:t>
            </w:r>
            <w:r>
              <w:rPr>
                <w:rFonts w:hint="eastAsia" w:ascii="宋体" w:hAnsi="宋体" w:cs="宋体"/>
                <w:kern w:val="0"/>
                <w:sz w:val="18"/>
                <w:szCs w:val="18"/>
                <w:highlight w:val="none"/>
                <w:lang w:eastAsia="zh-CN"/>
              </w:rPr>
              <w:t>可能</w:t>
            </w:r>
            <w:r>
              <w:rPr>
                <w:rFonts w:hint="eastAsia" w:ascii="宋体" w:hAnsi="宋体" w:cs="宋体"/>
                <w:kern w:val="0"/>
                <w:sz w:val="18"/>
                <w:szCs w:val="18"/>
                <w:highlight w:val="none"/>
              </w:rPr>
              <w:t>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9540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债权人转让债权，（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未通知债务人的，该转让对债务人不发生效力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债务人接到债权转让通知后，债务人对让与人的抗辩，不可以向受让人主张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从权利专属于债权人自身的不得转让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债权转让的通知不得撤销，但是经受让人同意的除外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受让人取得与债权有关的从权利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ACDE</w:t>
            </w:r>
          </w:p>
        </w:tc>
      </w:tr>
      <w:bookmarkEnd w:id="4"/>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关于定金合同，（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自实际交付定金时成立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自签订合同时成立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不得超过主合同标的额的百分之二十，超过部分不产生定金的效力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实际交付的定金数额多于或者少于约定数额的，视为违约，当事人一方可以主张权利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债务人履行债务的，定金应当抵作价款或者收回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根据《中华人民共和国民法典》，法人解散的，应当由（ </w:t>
            </w:r>
            <w:r>
              <w:rPr>
                <w:rFonts w:ascii="宋体" w:hAnsi="宋体" w:cs="宋体"/>
                <w:color w:val="000000"/>
                <w:sz w:val="18"/>
                <w:szCs w:val="18"/>
              </w:rPr>
              <w:t xml:space="preserve">   </w:t>
            </w:r>
            <w:r>
              <w:rPr>
                <w:rFonts w:hint="eastAsia" w:ascii="宋体" w:hAnsi="宋体" w:cs="宋体"/>
                <w:color w:val="000000"/>
                <w:sz w:val="18"/>
                <w:szCs w:val="18"/>
              </w:rPr>
              <w:t>）及时组成清算组进行清算。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kern w:val="0"/>
                <w:sz w:val="18"/>
                <w:szCs w:val="18"/>
              </w:rPr>
              <w:t>法人</w:t>
            </w:r>
            <w:r>
              <w:rPr>
                <w:rFonts w:hint="eastAsia" w:ascii="宋体" w:hAnsi="宋体" w:cs="宋体"/>
                <w:color w:val="000000"/>
                <w:kern w:val="0"/>
                <w:sz w:val="18"/>
                <w:szCs w:val="18"/>
              </w:rPr>
              <w:t>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决策机构的成员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法人的董事、理事等执行机构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设立人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债权人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根据《中华人民共和国民法典》，以下属于营利法人的是（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有限责任公司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股份有限公司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社会服务机构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事业单位法人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社会团体法人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根据《中华人民共和国民法典》，以下属于非营利法人的是（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事业单位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社会服务机构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基金会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有限责任公司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根据《中华人民共和国民法典》，具备下列条件的民事法律行为有效（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行为人具有相应的民事行为能力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意思表示真实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不违反法律、行政法规的强制性规定，不违背公序良俗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无民事行为能力人实施的民事法律行为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行为人与相对人以虚假的意思表示实施的民事法律行为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根据《中华人民共和国民法典》，以下情形属于民事法律行为无效的是（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基于重大误解实施的民事法律行为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违背公序良俗的民事法律行为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行为人与相对人恶意串通，损害他人合法权益的民事法律行为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一方或者第三人以胁迫手段，使对方在违背真实意思的情况下实施的民事法律行为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一方以欺诈手段，使对方在违背真实意思的情况下实施的民事法律行为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安全生产工作方针</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以人为本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安全第一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预防为主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生命至上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生产经营单位的主要负责人对本单位安全生产工作的职责包括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组织开展危险源辨识和评估，督促落实本单位重大危险源的安全管理措施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组织制定并实施本单位安全生产教育和培训计划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组织制定并实施本单位的生产安全事故应急救援预案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及时、如实报告生产安全事故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督促落实本单位安全生产整改措施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生产经营单位应当具备的安全生产条件所必需的资金投入，由生产经营单位的（    ）或者个人经营的投资人予以保证，并对由于安全生产所必需的资金投入不足导致的后果承担责任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决策机构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权利机构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大股东</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《安全生产法》规定，安全生产中从业人员的义务包括（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拒绝违章指挥和强令冒险作业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了解其作业场所和工作岗位存在的危险因素、防范措施及事故应急措施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对本单位的安全生产工作提出建议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掌握本职工作所需的安全生产知识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向现场安全生产管理人员报告发现的事故隐患或者其他不安全因素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生产经营单位的全员安全生产责任制应当明确各岗位的（    ）等内容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责任人员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责任范围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奖罚制度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考核标准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关于工程质量检测的说法，不正确的是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检测人员不得同时受聘于两个或两个以上检测机构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检测报告必须由检测机构法定代表人签署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检测机构是不具有独立法人资格的非营利性中介机构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检测数据和检测报告仅供施工企业参考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任何单位和个人不得明示或者暗示检测机构出具虚假检测报告，不得篡改或者伪造检测报告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必须实行监理建设工程的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国家重点建设工程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大中型公用事业工程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成片开发建设的住宅小区工程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利用外国政府或者国际组织贷款、援助资金的工程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使用国有资金投资的工程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《建设工程质量管理条例》规定，国家机关工作人员在建设工程质量监督管理工作中(    )，构成犯罪的，依法追究刑事责任；尚不构成犯罪的，依法给予行政处分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公报私仇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滥用职权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玩忽职守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索要回扣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徇私舞弊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01-02-01-05－02－0006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《建设工程质量管理条例》规定，施工人员对涉及结构安全的试块、试件以及有关材料，应当在工程(    )等单位的监督下现场取样并送检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    ）应当经建设行政主管部门或者其他有关部门考核合格后方可任职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《建设工程安全生产管理条例》规定，出租的机械设备和施工机具及配件，应当具有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生产(制造)许可证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质量保证书</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质量认证书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施工单位的项目负责人应当由取得相应执业资格的人员担任，并对建设工程项目的安全施工负责，其安全责任主要包括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对所承担的建设工程进行定期和专项安全检查，并做好安全检查记录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落实安全生产责任制度、安全生产规章制度和操作规程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根据工程的特点组织制定安全施工措施，消除安全事故隐患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及时、如实报告生产安全事故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施工单位主要负责人依法对本单位的安全生产工作全面负责。施工单位主要负责人的生产安全工作职责包括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对本单位的安全生产工作全面负责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制定安全生产规章制度和操作规程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对所承担的建设工程进行定期和专项安全检查，并做好安全检查记录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建立健全安全生产责任制度和安全生产教育培训制度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题干</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sz w:val="18"/>
                <w:szCs w:val="18"/>
              </w:rPr>
              <w:t>根据《建设工程安全生产管理条例》，以下属于专职安全生产管理人员职责的是（</w:t>
            </w:r>
            <w:r>
              <w:rPr>
                <w:rFonts w:hint="eastAsia"/>
                <w:color w:val="000000"/>
                <w:sz w:val="18"/>
                <w:szCs w:val="18"/>
              </w:rPr>
              <w:t xml:space="preserve">    </w:t>
            </w:r>
            <w:r>
              <w:rPr>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A、</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负责对安全生产进行现场监督检查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B、</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发现安全事故隐患，应当及时向项目负责人和安全生产管理机构报告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C、</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对违章指挥、违章操作的，应当立即制止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D、</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对施工现场的安全生产负总责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负责安全生产条件的改善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r>
              <w:rPr>
                <w:rFonts w:ascii="宋体" w:hAnsi="宋体" w:cs="宋体"/>
                <w:kern w:val="0"/>
                <w:sz w:val="18"/>
                <w:szCs w:val="18"/>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根据《生产安全事故报告和调查处理条例》的规定，事故调查报告应包括的内容有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事故发生经过和事故救援情况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事故造成的人员伤亡和直接经济损失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事故发生的原因和事故性质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事故发生单位的经营状况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建设工程勘察、设计方案评标，应当以（    ）为依据，进行综合评定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投标人的业绩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荣誉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勘察、设计人员的能力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勘察、设计方案的优劣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专项方案编制包括以下内容</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环境保护措施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施工工艺技术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施工安全保证措施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计算书及相关图纸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超过一定规模的危险性较大的分部分项工程专项方案，专家论证的主要内容包括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专项方案内容是否完整、可行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监测方案是否完整、可行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专项方案计算书和验算依据是否符合有关标准规范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专项巡视检查是否符合有关标准规范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安全施工的基本条件是否满足现场实际情况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对于按规定需要验收的危险性较大的分部分项工程，（    ）应当组织有关人员进行验收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质量监督站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根据《水利水电建设工程验收规程》，政府验收主要包括（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阶段验收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水电站中间机组启动验收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根据《水法》，关于水工程保护与建设许可的说法，正确的有(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对生产建设活动有禁止性规定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对生产建设项目有限制性规定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水工程系指水利部门管理建设的工程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水工程的保护范围为水工程设施的组成部分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流域范围内的区域规划应当服从流域规划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水资源规划按层次划分为(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全国战略规划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供水规划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区域规划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调水规划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根据《水电水利工程施工监理规范》(DLVT511)，工程变更分为(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特别重大工程变更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重大工程变更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较大工程变更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一般工程变更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常规设计变更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根据《水利工程建设项目管理规定》(水建[1995]128号),水利工程可行性研究报告重点解决项目的(</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)等有关问题。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建设必要性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费用经济性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技术可行性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环境影响可控性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社会影响可控性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根据《水利工程施工转包违法分包等违法行为认定查处管理暂行办法》水建管[2016]420号)，下列情形中,属于违法分包的有(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承包人将工程分包给不具备相应资质的单位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将工程分包给不具备相应资质的个人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承包人将工程分包给不具备安全生产许可的单位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承包人将工程分包给不具备安全生产许可的个人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承包人未设立现场管理机构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w:t>
            </w:r>
            <w:r>
              <w:rPr>
                <w:rFonts w:hint="eastAsia" w:ascii="宋体" w:hAnsi="宋体" w:eastAsia="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根据《关于印发水利建设市场主体信用评价管理暂行办法的通知》，下列行为中，属于严重失信行为的有(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未取得资质证书承揽工程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串标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转包所承揽工程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有行贿违法记录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超越本单位资质承揽工程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r>
              <w:rPr>
                <w:rFonts w:hint="eastAsia" w:ascii="宋体" w:hAnsi="宋体" w:eastAsia="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根据《小型水电站建设工程验收规程》(SL 168-2012)，水电站单位工程完工验收后，在项目法人颁发合同工程完工证书前，施工验收工作包括(</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工程移交运行管理单位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验收遗留问题处理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提交工程质量保修书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提交竣工资料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施工场地清理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根据《水利安全生产标准化评审管理暂行办法》，水利生产经营单位包括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根据《防洪法》，防洪区是指洪水泛滥可能淹及的地区，分为(</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泄洪区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洪泛区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蓄滞洪区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防洪保护区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行洪区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在施工合同实施中，(</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)的关系不是合同的法律关系。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发包人和分包人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发包人和监理人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承包人和分包人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监理人和承包人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发包人和设计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水利工程建立管理三项制度改革是指(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工程法人责任制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合同管理制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招标投标制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建立监理制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责任终身制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照索赔目的不同，可将索赔分为(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费用索赔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道义索赔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信用索赔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以下属于合同价款支付的有(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进度款支付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完工结算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最终结算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最终决算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质保金退回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w:t>
            </w: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承包人向发包人索赔时，所提交索赔文件的主要容包括〔</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索赔事件的总述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索赔合理性论述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索赔要求计算书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索赔意向通知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安全</w:t>
            </w:r>
            <w:r>
              <w:rPr>
                <w:rFonts w:hint="default" w:ascii="宋体" w:hAnsi="宋体" w:eastAsia="宋体" w:cs="宋体"/>
                <w:kern w:val="0"/>
                <w:sz w:val="18"/>
                <w:szCs w:val="18"/>
                <w:lang w:val="en-US" w:eastAsia="zh-CN"/>
              </w:rPr>
              <w:t>事故按照事故造成的人员伤亡或者直接经济损失，将事故划分为〔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普通事故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质量事故处理的原</w:t>
            </w:r>
            <w:r>
              <w:rPr>
                <w:rFonts w:hint="eastAsia" w:ascii="宋体" w:hAnsi="宋体" w:cs="宋体"/>
                <w:kern w:val="0"/>
                <w:sz w:val="18"/>
                <w:szCs w:val="18"/>
                <w:lang w:val="en-US" w:eastAsia="zh-CN"/>
              </w:rPr>
              <w:t>则是</w:t>
            </w:r>
            <w:r>
              <w:rPr>
                <w:rFonts w:hint="default" w:ascii="宋体" w:hAnsi="宋体" w:eastAsia="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事故原因不查清楚不放过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主要事故责任人和职工未受教育不放过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补救和防措施不落实不放过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主要事故责任人未受处理不放过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未采用补救和防措施不放过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水利工程质量事故，依据事故造成的(</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)进</w:t>
            </w:r>
            <w:r>
              <w:rPr>
                <w:rFonts w:hint="eastAsia" w:ascii="宋体" w:hAnsi="宋体" w:cs="宋体"/>
                <w:kern w:val="0"/>
                <w:sz w:val="18"/>
                <w:szCs w:val="18"/>
                <w:lang w:val="en-US" w:eastAsia="zh-CN"/>
              </w:rPr>
              <w:t>行</w:t>
            </w:r>
            <w:r>
              <w:rPr>
                <w:rFonts w:hint="default" w:ascii="宋体" w:hAnsi="宋体" w:eastAsia="宋体" w:cs="宋体"/>
                <w:kern w:val="0"/>
                <w:sz w:val="18"/>
                <w:szCs w:val="18"/>
                <w:lang w:val="en-US" w:eastAsia="zh-CN"/>
              </w:rPr>
              <w:t>分类。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处理所需时间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处理后对工程的寿命和功能的影响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处理所需设备种类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根据《建设工程质量管理条例)，关于施工单位质量责任的说法，正确的有(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未经教育培训或考试不合格人员，不得上岗作业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发现设计文件有差</w:t>
            </w:r>
            <w:r>
              <w:rPr>
                <w:rFonts w:hint="eastAsia" w:ascii="宋体" w:hAnsi="宋体" w:cs="宋体"/>
                <w:kern w:val="0"/>
                <w:sz w:val="18"/>
                <w:szCs w:val="18"/>
                <w:lang w:val="en-US" w:eastAsia="zh-CN"/>
              </w:rPr>
              <w:t>错</w:t>
            </w:r>
            <w:r>
              <w:rPr>
                <w:rFonts w:hint="default" w:ascii="宋体" w:hAnsi="宋体" w:eastAsia="宋体" w:cs="宋体"/>
                <w:kern w:val="0"/>
                <w:sz w:val="18"/>
                <w:szCs w:val="18"/>
                <w:lang w:val="en-US" w:eastAsia="zh-CN"/>
              </w:rPr>
              <w:t>应及时要求设计单位修改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按有关要求对建筑材料、 构配件进行检验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涉及结构安全的试块直接取样送检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隐蔽工程在隐蔽前，应通知建设单位和质量监督机构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根据《安全生产法》，生产经营单位的从业人员有权了解其作业场所和工作岗位存在的(</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危险因素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防范措施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安全通病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事故应急措施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r>
              <w:rPr>
                <w:rFonts w:hint="default" w:ascii="宋体" w:hAnsi="宋体" w:eastAsia="宋体" w:cs="宋体"/>
                <w:kern w:val="0"/>
                <w:sz w:val="18"/>
                <w:szCs w:val="18"/>
                <w:lang w:val="en-US" w:eastAsia="zh-CN"/>
              </w:rPr>
              <w:t>C</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民事诉讼的基本特征有(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自愿性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保密性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公权性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程序性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C</w:t>
            </w:r>
            <w:r>
              <w:rPr>
                <w:rFonts w:hint="eastAsia" w:ascii="宋体" w:hAnsi="宋体" w:cs="宋体"/>
                <w:kern w:val="0"/>
                <w:sz w:val="18"/>
                <w:szCs w:val="18"/>
                <w:lang w:val="en-US" w:eastAsia="zh-CN"/>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关于所有权的说法，正确的有(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财产所有权的权能包括占有权，使用权，收益权，处分权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收益因使用而产生，因此要享有收益权，必须享有使用权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占有权只能由所有人享有的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处分权是所有权最基本的权利，是所有权内容的核心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使用权是所有人所享有的一项独立全能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水利水电工程常用标准级别分为(</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)、地方标准。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国家标准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行业标准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技术标准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企业</w:t>
            </w:r>
            <w:r>
              <w:rPr>
                <w:rFonts w:hint="default" w:ascii="宋体" w:hAnsi="宋体" w:eastAsia="宋体" w:cs="宋体"/>
                <w:kern w:val="0"/>
                <w:sz w:val="18"/>
                <w:szCs w:val="18"/>
                <w:lang w:val="en-US" w:eastAsia="zh-CN"/>
              </w:rPr>
              <w:t>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项目标准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根据《建设工程质量管理条例》，建设工程竣工验收应具备的条件有（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有完整的技术档案和施工管理资料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有勘察、设计单位分别签署的质量合格文件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有完整的监理文件资料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工程竣工预验收合格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根据《生产安全事故报告和调查处理条例》，事故报告应包含的内容有（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事故发生单位概况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事故发生的时间、地点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事故发生的原因和性质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事故已造成的伤亡人数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已经采取的措施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根据《招标投标法》，关于招标的说法，正确的有（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行政机关可以与其他单位合作，共同依法设立招标代理机构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招标人具有编制招标文件和组织评标能力的，可以自行办理招标事宜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招标代理机构应当在招标人委托的范围内办理招标事宜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招标人应当根据招标项目的特点和需要编制招标文件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招标人不得对已发出的招标文件进行修改和补充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根据《民法典》，关于建设工程合同的说法，正确的有（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建设工程合同包括工程勘察、设计、施工、监理合同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建设工程合同是承包人进行工程建设，发包人支付价款的合同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建设工程施工合同无效，但工程验收合格的，可参照合同关于工程价款的约定折价补偿承包人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承包人将建设工程转包的，发包人可解除合同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在不妨碍承包人正常作业的情况下，发包人可随时检查作业进度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根据《安全生产法》，关于生产经营单位安全生产保障的说法，正确的有（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生产经营单位必须依法参加工伤保险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生产经营单位必须设置安全生产管理机构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生产经营单位的主要负责人应保证本单位安全生产投入的有效实施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生产经营单位的主要负责人应组织本单位应急救援演练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生产经营单位应建立安全风险分级管控制度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根据《民法典》，关于要约和承诺的说法，正确的有（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承诺是受要约人同意要约的意思表示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要约以信件作出且未载明日期的，承诺期限自投寄该信件的日期开始计算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承诺不需要通知的，在根据要约的要求作出承诺的行为时生效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承诺的内容应当与要约的内容一致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要约生效的地点为合同成立的地点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w:t>
            </w: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根据《建设工程监理规范》，项目监理机构处理施工单位费用索赔的主要依据有（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勘察设计文件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索赔事件的证据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根据《建设工程监理规范》，总监理工程师在第一次工地会议上应介绍的内容有（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监理工作内容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监理工作目标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监理人员职责分工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监理工作程序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监理工作制度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根据《建设工程监理规范》，应由总监理工程师签字并加盖执业印章的监理文件有（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工程款支付证书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隐蔽工程报验表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费用索赔报审表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分部工程报验表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工程复工令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为应对工程风险，采用非保险转移策略的优点有（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转移风险一方不需要为风险转移付出任何代价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双方当事人不会因对合同条款理解发生分歧而导致风险转移失效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可以转移某些在保险公司不能投保的潜在损失风险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风险被转移者往往能较好地进行损失控制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风险被转移者不会因为无力承担实际重大损失而导致风险转移失效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《水利水电工程验收规程》规定，水利水电工程的阶段验收包括（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单位工程投入使用验收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初步验收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截流前验收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蓄引水验收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机组启动验收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水电工程监理的职业标准：（</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诚信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公正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科学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廉洁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项目法人应履行的质量职责包括（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开工前办理工程质量监督手续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审批施工单位的施工组织设计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保证合同规定的工程款到</w:t>
            </w:r>
            <w:r>
              <w:rPr>
                <w:rFonts w:hint="eastAsia" w:ascii="宋体" w:hAnsi="宋体" w:cs="宋体"/>
                <w:kern w:val="0"/>
                <w:sz w:val="18"/>
                <w:szCs w:val="18"/>
                <w:lang w:val="en-US" w:eastAsia="zh-CN"/>
              </w:rPr>
              <w:t>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建立健全工程质量管理与工程质量事故档案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审查施工单位投标资格与业绩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根据《建设工程安全生产管理条例》的规定，（  ）等特种作业人员，必须按照国家有关规定经过专门的安全作业培训，并取得特种作业操作资格证书后，方可上岗作业。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垂直运输机械作业人员、安装拆卸工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起重信号工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登高架设作业人员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混凝土工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w:t>
            </w:r>
            <w:r>
              <w:rPr>
                <w:rFonts w:hint="default" w:ascii="宋体" w:hAnsi="宋体" w:eastAsia="宋体" w:cs="宋体"/>
                <w:kern w:val="0"/>
                <w:sz w:val="18"/>
                <w:szCs w:val="18"/>
                <w:lang w:val="en-US" w:eastAsia="zh-CN"/>
              </w:rPr>
              <w:t>C</w:t>
            </w: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新建、扩建、改建建设项目，应当制订节水措施方案，配套建设节水设施。节水设施应当与主体工程（</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同时设计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同时施工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同时完工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同时投产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同时验收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水中长期供求规划应当依据水的供求现状、国民经济和社会发展规划、流域规划、区域规划，按照水资源供需协调、（  ）、合理开源的原则制定。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总量控制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综合平衡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保护生态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厉行节约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根据《水电建设工程安全鉴定规定》，工程安全鉴定分为（）。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截流安全鉴定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蓄水安全鉴定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机组安全鉴定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竣工安全鉴定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监理人员要按规定采取(</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)等形式，按作业程序即时跟班到位进行监督检查，对达不到质量要求的工程不得签字，并有权责令返工，有权向有关主管部门报告”。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调试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巡视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w:t>
            </w:r>
            <w:r>
              <w:rPr>
                <w:kern w:val="0"/>
                <w:sz w:val="18"/>
                <w:szCs w:val="18"/>
              </w:rPr>
              <w:t>-0</w:t>
            </w:r>
            <w:r>
              <w:rPr>
                <w:rFonts w:hint="eastAsia"/>
                <w:kern w:val="0"/>
                <w:sz w:val="18"/>
                <w:szCs w:val="18"/>
                <w:lang w:val="en-US" w:eastAsia="zh-CN"/>
              </w:rPr>
              <w:t>2</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工程建设强制性条文具备（</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法律性质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可操作性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施工指导性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重大影响性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验收依据性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xNTdkY2RlNDRmOWY2NDcyY2E0N2JiMmM0OTA5MzkifQ=="/>
  </w:docVars>
  <w:rsids>
    <w:rsidRoot w:val="00013FBB"/>
    <w:rsid w:val="00013FBB"/>
    <w:rsid w:val="0002106B"/>
    <w:rsid w:val="00021DB9"/>
    <w:rsid w:val="000272AB"/>
    <w:rsid w:val="0003774C"/>
    <w:rsid w:val="00075C0A"/>
    <w:rsid w:val="00094448"/>
    <w:rsid w:val="000A56A8"/>
    <w:rsid w:val="000A7D9C"/>
    <w:rsid w:val="000B0531"/>
    <w:rsid w:val="000F4EC0"/>
    <w:rsid w:val="001011C3"/>
    <w:rsid w:val="001354EB"/>
    <w:rsid w:val="00167A8F"/>
    <w:rsid w:val="00181EBC"/>
    <w:rsid w:val="0018214C"/>
    <w:rsid w:val="001C7B6D"/>
    <w:rsid w:val="001D26F4"/>
    <w:rsid w:val="0021748C"/>
    <w:rsid w:val="002912C0"/>
    <w:rsid w:val="002A35CB"/>
    <w:rsid w:val="002D10D2"/>
    <w:rsid w:val="002F0731"/>
    <w:rsid w:val="00360914"/>
    <w:rsid w:val="00362EF0"/>
    <w:rsid w:val="00372F3D"/>
    <w:rsid w:val="00392355"/>
    <w:rsid w:val="003B7D12"/>
    <w:rsid w:val="003D514A"/>
    <w:rsid w:val="003E1946"/>
    <w:rsid w:val="0044093C"/>
    <w:rsid w:val="00470FAB"/>
    <w:rsid w:val="004851DE"/>
    <w:rsid w:val="004904D9"/>
    <w:rsid w:val="004A236E"/>
    <w:rsid w:val="004D1BF5"/>
    <w:rsid w:val="0050740D"/>
    <w:rsid w:val="00514962"/>
    <w:rsid w:val="005464D4"/>
    <w:rsid w:val="00557002"/>
    <w:rsid w:val="00571517"/>
    <w:rsid w:val="00571C15"/>
    <w:rsid w:val="00583A96"/>
    <w:rsid w:val="00587CF4"/>
    <w:rsid w:val="005A6EA0"/>
    <w:rsid w:val="005B6EAE"/>
    <w:rsid w:val="005E7BB8"/>
    <w:rsid w:val="005F7956"/>
    <w:rsid w:val="0060437A"/>
    <w:rsid w:val="00612C54"/>
    <w:rsid w:val="0066631D"/>
    <w:rsid w:val="00677A0B"/>
    <w:rsid w:val="00697EA5"/>
    <w:rsid w:val="006C4D52"/>
    <w:rsid w:val="006D3D69"/>
    <w:rsid w:val="006E55C4"/>
    <w:rsid w:val="006E66E1"/>
    <w:rsid w:val="006F2289"/>
    <w:rsid w:val="006F3402"/>
    <w:rsid w:val="00761CE4"/>
    <w:rsid w:val="007C0FFB"/>
    <w:rsid w:val="00812ADE"/>
    <w:rsid w:val="00840F49"/>
    <w:rsid w:val="008453FC"/>
    <w:rsid w:val="0084644B"/>
    <w:rsid w:val="0085049E"/>
    <w:rsid w:val="00850E7F"/>
    <w:rsid w:val="0085614E"/>
    <w:rsid w:val="00877783"/>
    <w:rsid w:val="00890A25"/>
    <w:rsid w:val="00894E25"/>
    <w:rsid w:val="008A7E5B"/>
    <w:rsid w:val="008B716B"/>
    <w:rsid w:val="008D048C"/>
    <w:rsid w:val="008E3E28"/>
    <w:rsid w:val="008E6067"/>
    <w:rsid w:val="008F532C"/>
    <w:rsid w:val="00906084"/>
    <w:rsid w:val="0092295E"/>
    <w:rsid w:val="00965A88"/>
    <w:rsid w:val="00982715"/>
    <w:rsid w:val="009A1BD7"/>
    <w:rsid w:val="00A32D88"/>
    <w:rsid w:val="00A337A7"/>
    <w:rsid w:val="00B378A9"/>
    <w:rsid w:val="00BA54FF"/>
    <w:rsid w:val="00BA7512"/>
    <w:rsid w:val="00BB0523"/>
    <w:rsid w:val="00BD1BD8"/>
    <w:rsid w:val="00C005F2"/>
    <w:rsid w:val="00C54C40"/>
    <w:rsid w:val="00C57E62"/>
    <w:rsid w:val="00CC7185"/>
    <w:rsid w:val="00CF5548"/>
    <w:rsid w:val="00D032E9"/>
    <w:rsid w:val="00D505E4"/>
    <w:rsid w:val="00D974B1"/>
    <w:rsid w:val="00DA1824"/>
    <w:rsid w:val="00DE3D50"/>
    <w:rsid w:val="00E27224"/>
    <w:rsid w:val="00E277DD"/>
    <w:rsid w:val="00E50076"/>
    <w:rsid w:val="00E63942"/>
    <w:rsid w:val="00EE184F"/>
    <w:rsid w:val="00F61378"/>
    <w:rsid w:val="00F6365D"/>
    <w:rsid w:val="00F6468D"/>
    <w:rsid w:val="00F723D7"/>
    <w:rsid w:val="00FC05AA"/>
    <w:rsid w:val="00FC1FF5"/>
    <w:rsid w:val="00FE46C1"/>
    <w:rsid w:val="0FEA17A5"/>
    <w:rsid w:val="118B31FC"/>
    <w:rsid w:val="1B3C7587"/>
    <w:rsid w:val="263F0093"/>
    <w:rsid w:val="27255B07"/>
    <w:rsid w:val="35B55DC3"/>
    <w:rsid w:val="35C90532"/>
    <w:rsid w:val="36B87EEB"/>
    <w:rsid w:val="41975CA3"/>
    <w:rsid w:val="4CC379C8"/>
    <w:rsid w:val="5681086B"/>
    <w:rsid w:val="5D5178D0"/>
    <w:rsid w:val="5EC35A67"/>
    <w:rsid w:val="61651F0C"/>
    <w:rsid w:val="6A7F502E"/>
    <w:rsid w:val="769F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rFonts w:ascii="Times New Roman" w:hAnsi="Times New Roman" w:eastAsia="宋体" w:cs="Times New Roman"/>
      <w:sz w:val="18"/>
      <w:szCs w:val="18"/>
    </w:rPr>
  </w:style>
  <w:style w:type="character" w:customStyle="1" w:styleId="11">
    <w:name w:val="页脚 字符"/>
    <w:basedOn w:val="7"/>
    <w:link w:val="3"/>
    <w:qFormat/>
    <w:uiPriority w:val="99"/>
    <w:rPr>
      <w:rFonts w:ascii="Times New Roman" w:hAnsi="Times New Roman" w:eastAsia="宋体" w:cs="Times New Roman"/>
      <w:sz w:val="18"/>
      <w:szCs w:val="18"/>
    </w:rPr>
  </w:style>
  <w:style w:type="paragraph" w:styleId="12">
    <w:name w:val="No Spacing"/>
    <w:qFormat/>
    <w:uiPriority w:val="0"/>
    <w:pPr>
      <w:widowControl w:val="0"/>
    </w:pPr>
    <w:rPr>
      <w:rFonts w:ascii="Arial Unicode MS" w:hAnsi="Arial Unicode MS" w:eastAsia="Arial Unicode MS" w:cs="Arial Unicode MS"/>
      <w:color w:val="000000"/>
      <w:sz w:val="24"/>
      <w:szCs w:val="24"/>
      <w:lang w:val="zh-TW" w:eastAsia="zh-TW" w:bidi="zh-TW"/>
    </w:rPr>
  </w:style>
  <w:style w:type="character" w:customStyle="1" w:styleId="13">
    <w:name w:val="Body text (36) + Arial Unicode MS"/>
    <w:basedOn w:val="14"/>
    <w:qFormat/>
    <w:uiPriority w:val="0"/>
    <w:rPr>
      <w:rFonts w:ascii="Arial Unicode MS" w:hAnsi="Arial Unicode MS" w:eastAsia="Arial Unicode MS" w:cs="Arial Unicode MS"/>
      <w:color w:val="000000"/>
      <w:spacing w:val="0"/>
      <w:w w:val="100"/>
      <w:position w:val="0"/>
      <w:sz w:val="13"/>
      <w:szCs w:val="13"/>
      <w:lang w:val="en-US" w:eastAsia="en-US" w:bidi="en-US"/>
    </w:rPr>
  </w:style>
  <w:style w:type="character" w:customStyle="1" w:styleId="14">
    <w:name w:val="Body text (36)_"/>
    <w:basedOn w:val="7"/>
    <w:qFormat/>
    <w:uiPriority w:val="0"/>
    <w:rPr>
      <w:rFonts w:ascii="宋体" w:hAnsi="宋体" w:eastAsia="宋体" w:cs="宋体"/>
      <w:sz w:val="14"/>
      <w:szCs w:val="14"/>
      <w:u w:val="none"/>
    </w:rPr>
  </w:style>
  <w:style w:type="character" w:customStyle="1" w:styleId="15">
    <w:name w:val="Body text (36)"/>
    <w:basedOn w:val="14"/>
    <w:qFormat/>
    <w:uiPriority w:val="0"/>
    <w:rPr>
      <w:color w:val="000000"/>
      <w:spacing w:val="0"/>
      <w:w w:val="100"/>
      <w:position w:val="0"/>
      <w:lang w:val="zh-TW" w:eastAsia="zh-TW" w:bidi="zh-TW"/>
    </w:rPr>
  </w:style>
  <w:style w:type="character" w:customStyle="1" w:styleId="16">
    <w:name w:val="Body text (36) + 7.5 pt"/>
    <w:basedOn w:val="14"/>
    <w:qFormat/>
    <w:uiPriority w:val="0"/>
    <w:rPr>
      <w:color w:val="000000"/>
      <w:spacing w:val="0"/>
      <w:w w:val="100"/>
      <w:position w:val="0"/>
      <w:sz w:val="15"/>
      <w:szCs w:val="15"/>
      <w:lang w:val="en-US"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12364</Words>
  <Characters>14388</Characters>
  <Lines>118</Lines>
  <Paragraphs>33</Paragraphs>
  <TotalTime>0</TotalTime>
  <ScaleCrop>false</ScaleCrop>
  <LinksUpToDate>false</LinksUpToDate>
  <CharactersWithSpaces>15833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2022-12-29T01:55:00Z</dcterms:created>
  <dc:creator>青 师</dc:creator>
  <cp:lastModifiedBy>勇者无畏</cp:lastModifiedBy>
  <dcterms:modified xsi:type="dcterms:W3CDTF">2023-07-27T02:02:40Z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B8B70E7C58F34F408886BB03CC3CDDEC</vt:lpwstr>
  </property>
</Properties>
</file>