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下列技术中属于节能与能源利用技术的是（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已开发场地及废弃场地的利用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高性能材料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高效能设备系统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节水灌溉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绿色建筑的“绿色”应该贯穿于建筑物的（</w:t>
            </w:r>
            <w:r>
              <w:rPr>
                <w:rFonts w:hint="default" w:ascii="Times New Roman Regular" w:hAnsi="Times New Roman Regular" w:cs="Times New Roman Regular"/>
                <w:kern w:val="0"/>
                <w:sz w:val="18"/>
                <w:szCs w:val="18"/>
              </w:rPr>
              <w:t xml:space="preserve">  </w:t>
            </w:r>
            <w:r>
              <w:rPr>
                <w:rFonts w:hint="default" w:ascii="Times New Roman Regular" w:hAnsi="Times New Roman Regular" w:cs="Times New Roman Regular"/>
                <w:kern w:val="0"/>
                <w:sz w:val="18"/>
                <w:szCs w:val="18"/>
              </w:rPr>
              <w:t xml:space="preserve">  ）过程。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全寿命周期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原料的开采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建设实施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节能建筑就是（  </w:t>
            </w:r>
            <w:r>
              <w:rPr>
                <w:rFonts w:hint="default" w:ascii="Times New Roman Regular" w:hAnsi="Times New Roman Regular" w:cs="Times New Roman Regular"/>
                <w:kern w:val="0"/>
                <w:sz w:val="18"/>
                <w:szCs w:val="18"/>
              </w:rPr>
              <w:t xml:space="preserve"> </w:t>
            </w:r>
            <w:r>
              <w:rPr>
                <w:rFonts w:hint="default" w:ascii="Times New Roman Regular" w:hAnsi="Times New Roman Regular" w:cs="Times New Roman Regular"/>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低能耗建筑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智能建筑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低碳建筑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1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可再生能源利用技术中不包括（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太阳能光热系统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太阳能光电系统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地源热泵系统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带热回收装景的给排水系统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r>
              <w:rPr>
                <w:rFonts w:hint="default" w:ascii="Times New Roman Regular" w:hAnsi="Times New Roman Regular" w:cs="Times New Roman Regular"/>
                <w:kern w:val="0"/>
                <w:sz w:val="18"/>
                <w:szCs w:val="18"/>
              </w:rPr>
              <w:t xml:space="preserve">  </w:t>
            </w:r>
            <w:r>
              <w:rPr>
                <w:rFonts w:hint="default" w:ascii="Times New Roman Regular" w:hAnsi="Times New Roman Regular" w:cs="Times New Roman Regular"/>
                <w:kern w:val="0"/>
                <w:sz w:val="18"/>
                <w:szCs w:val="18"/>
              </w:rPr>
              <w:t xml:space="preserve"> ）侧重于从减少温室气体排放的角度，强调采取一切可能的技术、方法和行为来减缓全球气候变暖的趋势。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低能耗建筑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智能建筑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低碳建筑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rPr>
              <w:t>指根据当地的自然生态环境，运用生态学、建筑技术科学的基本原理和现代科学技术手段等, 使人、建筑与自然生态环境之间形成一个良性循环系统。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生态建筑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智能建筑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低碳建筑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绿色施工管理不包括（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组织管理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规划管理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投标管理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人员安全与健康管理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绿色施工的（  </w:t>
            </w:r>
            <w:r>
              <w:rPr>
                <w:rFonts w:hint="default" w:ascii="Times New Roman Regular" w:hAnsi="Times New Roman Regular" w:cs="Times New Roman Regular"/>
                <w:kern w:val="0"/>
                <w:sz w:val="18"/>
                <w:szCs w:val="18"/>
              </w:rPr>
              <w:t xml:space="preserve">  </w:t>
            </w:r>
            <w:r>
              <w:rPr>
                <w:rFonts w:hint="default" w:ascii="Times New Roman Regular" w:hAnsi="Times New Roman Regular" w:cs="Times New Roman Regular"/>
                <w:kern w:val="0"/>
                <w:sz w:val="18"/>
                <w:szCs w:val="18"/>
              </w:rPr>
              <w:t>）主要是指编制执行总体方案和独立成章的绿色施工方案，实质是对实施过程进行控制。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组织管理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规划管理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评价管理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实施管理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r>
              <w:rPr>
                <w:rFonts w:hint="default" w:ascii="Times New Roman Regular" w:hAnsi="Times New Roman Regular" w:cs="Times New Roman Regular"/>
                <w:kern w:val="0"/>
                <w:sz w:val="18"/>
                <w:szCs w:val="18"/>
              </w:rPr>
              <w:t xml:space="preserve">  </w:t>
            </w:r>
            <w:r>
              <w:rPr>
                <w:rFonts w:hint="default" w:ascii="Times New Roman Regular" w:hAnsi="Times New Roman Regular" w:cs="Times New Roman Regular"/>
                <w:kern w:val="0"/>
                <w:sz w:val="18"/>
                <w:szCs w:val="18"/>
              </w:rPr>
              <w:t>)指绿色施工方案确定之后，在项目的实施管理阶段，对绿色施工方案实施过程进行策划和控制，以达到绿色施工目标。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组织管理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规划管理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评价管理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实施管理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绿色建筑的增量费用中（  </w:t>
            </w:r>
            <w:r>
              <w:rPr>
                <w:rFonts w:hint="default" w:ascii="Times New Roman Regular" w:hAnsi="Times New Roman Regular" w:cs="Times New Roman Regular"/>
                <w:kern w:val="0"/>
                <w:sz w:val="18"/>
                <w:szCs w:val="18"/>
              </w:rPr>
              <w:t xml:space="preserve"> </w:t>
            </w:r>
            <w:r>
              <w:rPr>
                <w:rFonts w:hint="default" w:ascii="Times New Roman Regular" w:hAnsi="Times New Roman Regular" w:cs="Times New Roman Regular"/>
                <w:kern w:val="0"/>
                <w:sz w:val="18"/>
                <w:szCs w:val="18"/>
              </w:rPr>
              <w:t xml:space="preserve"> ）所占比重最大。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软费用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绿色建筑技术费用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绿色建筑的认证费用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计算机模拟费用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根据绿色建筑造价增量的统计数据，（  </w:t>
            </w:r>
            <w:r>
              <w:rPr>
                <w:rFonts w:hint="default" w:ascii="Times New Roman Regular" w:hAnsi="Times New Roman Regular" w:cs="Times New Roman Regular"/>
                <w:kern w:val="0"/>
                <w:sz w:val="18"/>
                <w:szCs w:val="18"/>
              </w:rPr>
              <w:t xml:space="preserve">  </w:t>
            </w:r>
            <w:r>
              <w:rPr>
                <w:rFonts w:hint="default" w:ascii="Times New Roman Regular" w:hAnsi="Times New Roman Regular" w:cs="Times New Roman Regular"/>
                <w:kern w:val="0"/>
                <w:sz w:val="18"/>
                <w:szCs w:val="18"/>
              </w:rPr>
              <w:t>）增量费用最高。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节能主导型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技术探索型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研究示范型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说不好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)阶段只需消耗极少的资源，却决定了建筑存在几十年内的能源与资源消耗特性。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规划设计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建设施工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运行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维护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绿色住宅建筑的运营管理评价标准中最难以实现的是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制定并实施节能、节水、节材与绿化管理制度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住宅水、电、燃气分户分类计量收费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智能化系统正确定位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对可生物降解垃圾进行单独收集或设置可生物降解垃圾处理房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绿色住宅建筑的运营管理评价标准中最容易实现的是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设备、管道的设置便于维修、改造和更换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住宅水、电、燃气分户分类计量收费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智能化系统正确定位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对可生物降解垃圾进行单独收集或设置可生物降解垃圾处理房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1260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下列属于绿色公共建筑运营管理评价中优选项的是（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具有并实施资源管理激励机制，管理业绩与节约资源、提高经济效益挂钩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建筑施工兼顾土方平衡和施工道路等设施在运营过程中的使用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分类收集和处理废弃物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办公商场类建筑耗电、冷热量等实行计量收费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以下属于绿色建筑评价标准中的节水与水资源利用的控制项是（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合理规划地表与屋面雨水径流途径，降低地表径流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建筑材料中有害物质含量符合现行国家标准GB 18580～18588和《建筑材料放射性核素限量》GB 6566的要求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选用效率高的用能设备和系统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采取有效措施避免管网漏损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采用集中采暖和（或）集中空调系统的住宅，设置室温调节和热量计量设施。这是绿色建筑评价标准中节能与能源利用的（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控制项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一般项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优选项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以上都不对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若住区出入口到达公共交通站点的步行距离超过500m，则该建筑在进行绿色建筑评价标识时，（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一定不能获得绿色建筑评价标识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不一定能获得绿色建筑评价标识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一定能获得绿色建筑评价标识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以上都不对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每套住宅至少有1个居住空间满足日照标准的要求，这是绿色建筑评价指标体系中的（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控制项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一般项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优选项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必选项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下列属于绿色建筑评价中的节水与水资源利用指标优选项是（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办公楼商场类建筑非传统水源利用率不低于20％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旅馆类建筑非传统水源利用率不低于15％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办公楼商场类建筑非传统水源利用率不低于40％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旅馆类建筑非传统水源利用率不低于10％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下列属于绿色建筑评价中的节材与材料资源利用指标一般项的有（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建筑造型要素简约，无大量装饰性构件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建筑结构材料合理采用高性能混凝土、高强度钢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绿化、景观、洗车等用水采用非传统水源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采用资源消耗和环境影响小的建筑结构体系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1267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LEED评定认证的典型特点不包括（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商业行为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第三方认证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企业自愿认证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政府强制推动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1268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01-01-0501-01-023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在建筑中运用合同能源管理机制的优点是（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能缓解建筑前期开发成本压力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效益回收期长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单位时间项目投资减少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风险应对机制相对完善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1269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夏热冬冷地区居住建筑要求节能50%的屋顶(热惰性指标D≧3.0)传热系数K值应不大于(    )</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0.5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1270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eastAsia" w:ascii="宋体" w:hAnsi="宋体"/>
                <w:sz w:val="18"/>
                <w:szCs w:val="18"/>
              </w:rPr>
              <w:t>占建筑能耗约2/3的</w:t>
            </w:r>
            <w:r>
              <w:rPr>
                <w:rFonts w:hint="eastAsia" w:ascii="宋体" w:hAnsi="宋体"/>
                <w:sz w:val="18"/>
                <w:szCs w:val="18"/>
                <w:lang w:val="en-US" w:eastAsia="zh-Hans"/>
              </w:rPr>
              <w:t>不包括</w:t>
            </w:r>
            <w:r>
              <w:rPr>
                <w:rFonts w:hint="eastAsia" w:ascii="宋体" w:hAnsi="宋体"/>
                <w:sz w:val="18"/>
                <w:szCs w:val="18"/>
              </w:rPr>
              <w:t>（</w:t>
            </w:r>
            <w:r>
              <w:rPr>
                <w:rFonts w:hint="default" w:ascii="宋体" w:hAnsi="宋体"/>
                <w:sz w:val="18"/>
                <w:szCs w:val="18"/>
              </w:rPr>
              <w:t xml:space="preserve"> </w:t>
            </w:r>
            <w:r>
              <w:rPr>
                <w:rFonts w:hint="default" w:ascii="宋体" w:hAnsi="宋体"/>
                <w:sz w:val="18"/>
                <w:szCs w:val="18"/>
                <w:lang w:eastAsia="zh-Hans"/>
              </w:rPr>
              <w:t xml:space="preserve">   </w:t>
            </w:r>
            <w:r>
              <w:rPr>
                <w:rFonts w:hint="eastAsia" w:ascii="宋体" w:hAnsi="宋体"/>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eastAsia" w:ascii="宋体" w:hAnsi="宋体"/>
                <w:sz w:val="18"/>
                <w:szCs w:val="18"/>
              </w:rPr>
              <w:t>采暖能耗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宋体" w:hAnsi="宋体"/>
                <w:sz w:val="18"/>
                <w:szCs w:val="18"/>
              </w:rPr>
              <w:t>空调能耗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宋体" w:hAnsi="宋体"/>
                <w:sz w:val="18"/>
                <w:szCs w:val="18"/>
              </w:rPr>
              <w:t>通风能耗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宋体" w:hAnsi="宋体"/>
                <w:sz w:val="18"/>
                <w:szCs w:val="18"/>
              </w:rPr>
              <w:t>照明能耗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1271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耐候性试验高温—淋水阶段</w:t>
            </w:r>
            <w:r>
              <w:rPr>
                <w:rFonts w:hint="eastAsia" w:ascii="Times New Roman Regular" w:hAnsi="Times New Roman Regular" w:cs="Times New Roman Regular"/>
                <w:kern w:val="0"/>
                <w:sz w:val="18"/>
                <w:szCs w:val="18"/>
                <w:lang w:val="en-US" w:eastAsia="zh-Hans"/>
              </w:rPr>
              <w:t>不包</w:t>
            </w:r>
            <w:r>
              <w:rPr>
                <w:rFonts w:hint="default" w:ascii="Times New Roman Regular" w:hAnsi="Times New Roman Regular" w:cs="Times New Roman Regular"/>
                <w:kern w:val="0"/>
                <w:sz w:val="18"/>
                <w:szCs w:val="18"/>
              </w:rPr>
              <w:t>含(     )步骤。</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升温3h</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淋水1h</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静置2h</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升温8h</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1272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热源的设计中，考虑以下哪些方面</w:t>
            </w:r>
            <w:r>
              <w:rPr>
                <w:rFonts w:hint="eastAsia" w:ascii="Times New Roman Regular" w:hAnsi="Times New Roman Regular" w:cs="Times New Roman Regular"/>
                <w:kern w:val="0"/>
                <w:sz w:val="18"/>
                <w:szCs w:val="18"/>
                <w:lang w:val="en-US" w:eastAsia="zh-Hans"/>
              </w:rPr>
              <w:t>不能</w:t>
            </w:r>
            <w:r>
              <w:rPr>
                <w:rFonts w:hint="default" w:ascii="Times New Roman Regular" w:hAnsi="Times New Roman Regular" w:cs="Times New Roman Regular"/>
                <w:kern w:val="0"/>
                <w:sz w:val="18"/>
                <w:szCs w:val="18"/>
              </w:rPr>
              <w:t>达到节能目的</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锅炉选型和台数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循环水泵</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室内外温差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补给水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屋面节能设计要点中以下</w:t>
            </w:r>
            <w:r>
              <w:rPr>
                <w:rFonts w:hint="eastAsia" w:ascii="Times New Roman Regular" w:hAnsi="Times New Roman Regular" w:cs="Times New Roman Regular"/>
                <w:kern w:val="0"/>
                <w:sz w:val="18"/>
                <w:szCs w:val="18"/>
                <w:lang w:val="en-US" w:eastAsia="zh-Hans"/>
              </w:rPr>
              <w:t>哪项不</w:t>
            </w:r>
            <w:r>
              <w:rPr>
                <w:rFonts w:hint="default" w:ascii="Times New Roman Regular" w:hAnsi="Times New Roman Regular" w:cs="Times New Roman Regular"/>
                <w:kern w:val="0"/>
                <w:sz w:val="18"/>
                <w:szCs w:val="18"/>
              </w:rPr>
              <w:t>正确</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屋面保温层不宜选用堆密度较大，热导率较低的保温材料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屋面保温层不宜选用吸水率较大的保温材料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设计时应选用屋面传热系数大于或等于相应规定的限值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在设计规范中没有列入的屋面，设计人员可按有关书籍提供的方法计算该屋面的传热系数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建筑的体形系数还与建筑物的体形是否规整及建筑的体量大小有关。一般来说，控制或降低体形系数的方法</w:t>
            </w:r>
            <w:r>
              <w:rPr>
                <w:rFonts w:hint="eastAsia" w:ascii="Times New Roman Regular" w:hAnsi="Times New Roman Regular" w:cs="Times New Roman Regular"/>
                <w:kern w:val="0"/>
                <w:sz w:val="18"/>
                <w:szCs w:val="18"/>
                <w:lang w:val="en-US" w:eastAsia="zh-Hans"/>
              </w:rPr>
              <w:t>不包括</w:t>
            </w:r>
            <w:r>
              <w:rPr>
                <w:rFonts w:hint="default" w:ascii="Times New Roman Regular" w:hAnsi="Times New Roman Regular" w:cs="Times New Roman Regular"/>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减少建筑面宽，加大建筑进深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使建筑体形变化更多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加大建筑长度或增加组合体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增加建筑物的层数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施工单位应当按照(   )设置各项临时设施。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施工总平面布置图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建筑施工平面图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建筑结构施工图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安装施工图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1276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    )不属于建筑节能措施。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围护结构保温措施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围护结构隔热措施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结构内侧采用重质材料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围护结构防潮措施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1277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夏热冬冷地区门窗节能工程进场材料和设</w:t>
            </w:r>
            <w:r>
              <w:rPr>
                <w:rFonts w:hint="eastAsia" w:ascii="Times New Roman Regular" w:hAnsi="Times New Roman Regular" w:cs="Times New Roman Regular"/>
                <w:kern w:val="0"/>
                <w:sz w:val="18"/>
                <w:szCs w:val="18"/>
                <w:lang w:val="en-US" w:eastAsia="zh-Hans"/>
              </w:rPr>
              <w:t>无需</w:t>
            </w:r>
            <w:r>
              <w:rPr>
                <w:rFonts w:hint="default" w:ascii="Times New Roman Regular" w:hAnsi="Times New Roman Regular" w:cs="Times New Roman Regular"/>
                <w:kern w:val="0"/>
                <w:sz w:val="18"/>
                <w:szCs w:val="18"/>
              </w:rPr>
              <w:t>复检的项目</w:t>
            </w:r>
            <w:r>
              <w:rPr>
                <w:rFonts w:hint="eastAsia" w:ascii="Times New Roman Regular" w:hAnsi="Times New Roman Regular" w:cs="Times New Roman Regular"/>
                <w:kern w:val="0"/>
                <w:sz w:val="18"/>
                <w:szCs w:val="18"/>
                <w:lang w:val="en-US" w:eastAsia="zh-Hans"/>
              </w:rPr>
              <w:t>是</w:t>
            </w:r>
            <w:r>
              <w:rPr>
                <w:rFonts w:hint="default" w:ascii="Times New Roman Regular" w:hAnsi="Times New Roman Regular" w:cs="Times New Roman Regular"/>
                <w:kern w:val="0"/>
                <w:sz w:val="18"/>
                <w:szCs w:val="18"/>
              </w:rPr>
              <w:t>（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气密性、传热系数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玻璃遮阳系数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可见光透射比、中空玻璃露点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是否是安全玻璃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1278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以下哪项是</w:t>
            </w:r>
            <w:r>
              <w:rPr>
                <w:rFonts w:hint="eastAsia" w:ascii="Times New Roman Regular" w:hAnsi="Times New Roman Regular" w:cs="Times New Roman Regular"/>
                <w:kern w:val="0"/>
                <w:sz w:val="18"/>
                <w:szCs w:val="18"/>
                <w:lang w:val="en-US" w:eastAsia="zh-Hans"/>
              </w:rPr>
              <w:t>非</w:t>
            </w:r>
            <w:r>
              <w:rPr>
                <w:rFonts w:hint="default" w:ascii="Times New Roman Regular" w:hAnsi="Times New Roman Regular" w:cs="Times New Roman Regular"/>
                <w:kern w:val="0"/>
                <w:sz w:val="18"/>
                <w:szCs w:val="18"/>
              </w:rPr>
              <w:t xml:space="preserve">可再生能源 (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太阳能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风能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核燃料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生物质能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1279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热桥内表面温度，与室内空气露点温度比较，若低于室内空气露点温度，则有可能结露，应采取（      ）措施</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加强保温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加强隔热措施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不采取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加中间保温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1280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01-01-0504-01-001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BIM技术应该贯穿于建筑物的（     ）过程。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highlight w:val="none"/>
              </w:rPr>
            </w:pPr>
            <w:r>
              <w:rPr>
                <w:rFonts w:hint="default" w:ascii="Times New Roman Regular" w:hAnsi="Times New Roman Regular" w:cs="Times New Roman Regular"/>
                <w:kern w:val="0"/>
                <w:sz w:val="18"/>
                <w:szCs w:val="18"/>
                <w:highlight w:val="none"/>
              </w:rPr>
              <w:t>全寿命周期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设计阶段</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施工阶段</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运营阶段</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A</w:t>
            </w:r>
          </w:p>
        </w:tc>
      </w:tr>
    </w:tbl>
    <w:p>
      <w:pPr>
        <w:ind w:left="0" w:leftChars="0" w:firstLine="0" w:firstLineChars="0"/>
        <w:rPr>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    ）阶段，BIM工程师将依据需求方的要求，对设计部门提交的设计文件和图纸资料进行深入细致的分析，给出各个专业具体化的指标化的设计策略。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初步设计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深化设计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结构设计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施工图设计阶段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下列选项主要负责根据项目需求建立相关的BIM模型，如场地模型、土建模型、机电模型、钢结构模型、幕墙模型、绿色模型及安全模型的是（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BIM模型生产工程师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BIM专业分析工程师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BIM信息应用工程师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BIM系统管理工程师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下列选项体现了BIM在施工中的应用的是(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通过创建模型，更好的表达设计一图，突出设计效果，满足业主需求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可视化运维管理，基于BIM三维模型对建筑运维阶段进行直观的、可视化的管理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应急管理决策与模拟，提供实时的数据访问，在没有获取足够信息的情况下，做出应急响应的决策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利用模型进行直观的“预施工”，预知施工难点，更大程度的消除施工的不确定性和不可预见性，降低施工风险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下列属于BIM技术在业主方的应用优势的是（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实现可视化设计、协同设计、性能化设计、工程量统计和管线综合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实现规划方案预演、场地分析、建筑性能预测和成本估算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实现施工进度模拟、数字化建造、物料跟踪、可视化管理和施工配合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实现虚拟现实和漫游、资产、空间等管理、建筑系统分析和灾害应急模拟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1285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下列对IFC理解正确的是（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IFC是一个包含各种建设项目设计、施工、运营各个阶段所需要的全部信息的一种基于对象的、公开的标准文件交换格式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IFC是对某个指定项目以及项目阶段、某个特定项目成员、某个特定业务流程所需要交换的信息以及由该流程产生的信息的定义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IFC是对建筑资产从建成到退出使用整个过程中对环境影响的评估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IFC是一种在建筑的合作性设计施工和运营中基于公共标准和公共工作流程的开放资源的工作方式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1286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下列对BIM的含义理解不正确的是（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BIM是以三维数字技术为基础，集成了建筑工程项目各种相关信息的工程数据模型，是对工程项目设施实体与功能特性的数字化表达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BIM是一个完善的信息模型，能够连接建筑项目生命期不同阶段的数据、过程和资源，是对工程对象的完整描述，提供可自动计算、查询、组合拆分的实时工程数据，可被建设项目各参与方普遍使用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BIM具有单一工程数据源，可解决分布式、异构工程数据质检的一致性和全局共享问题，支持建设项目生命期中动态的工程信息创建、管理和共享，是项目实时的共享数据平台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BIM技术是一种仅限于三维的模型信息集成技术，可以使各参与方在项目从概念产生到完全拆除的整个生命周期内都能够在模型中操作信息和在信息中操作模型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1287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下列对相关BIM属于理解不正确的是（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PAS1192即使用建筑信息模型设置信息管理运营阶段的规范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Clashrendition即碰撞再现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GSL即公共数据环境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DataExchangeSpecification即数据交换规范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1288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BIM的参数化设计氛围参数化图元和（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参数化操作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参数化修改引擎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参数化提取数据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参数化保存数据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1289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施工仿真的应用内容不包括（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施工方案模拟、优化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施工变更管理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工程量自动计算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消除现场施工过程干扰或施工工艺冲突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1290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运维仿真的应用内容不包括（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碰撞检查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设备的运行监控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能源运行管理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建筑空间管理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1291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通过BIM三维可视化控件及程序自动检测，可对建筑物内机电管线和设备进行直观布置模拟安装，检查是否碰撞，找出问题所在及冲突矛盾之处，从而提升设计质量，减少后期修改，降低成本及风险。上述特性指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设计协调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整体进度规划协调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成本预算、工程量估算协调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运维协调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1292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val="en-US" w:eastAsia="zh-Hans"/>
              </w:rPr>
              <w:t>以</w:t>
            </w:r>
            <w:r>
              <w:rPr>
                <w:rFonts w:hint="default" w:ascii="Times New Roman Regular" w:hAnsi="Times New Roman Regular" w:cs="Times New Roman Regular"/>
                <w:kern w:val="0"/>
                <w:sz w:val="18"/>
                <w:szCs w:val="18"/>
              </w:rPr>
              <w:t>下说法不正确的是（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运用BIM技术，除了能够进行建筑平、立、剖及想吐的输出外，还可以输出碰撞报告加工图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建筑与设备专业的碰撞主要包括建筑与结构图纸中的标高、柱、剪力墙等的未知是否不一致等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基于BIM模型可调整解决管线空间布局问题如机房过道狭小、各管线交叉等问题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借助工厂化、机械化的生产方式，将BIM信息数据输入设备，就可以实现机械的自动化生产，这种数字化的建造方式，可以大大提高工作效率和生产质量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1293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在勘察设计阶段中基于BIM技术的工程量统计不包括（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BIM模型输出土建、设备统计报表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基于BIM技术输出工程量统计，与概预算专业软件集成计算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建筑绿色性能分析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在BIM模型或信息管理平台中存储概预算分析结果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1294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下列选项体现的不是BIM在施工阶段的价值的是（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基于BIM软件进行能耗分析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辅助施工深化设计或生成施工深化图纸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利用BIM技术对施工工序的模拟和分析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基于BIM模型的错漏碰缺检查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1295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支撑基于模型的工程档案数字化和项目运维的BIM应用不包括（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施工资料数字化管理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工程数字化交付、验收和竣工资料数字化归档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3D施工工况展示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业主项目运维服务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下列选项说法不正确的是（</w:t>
            </w:r>
            <w:r>
              <w:rPr>
                <w:rFonts w:hint="default" w:ascii="Times New Roman Regular" w:hAnsi="Times New Roman Regular" w:cs="Times New Roman Regular"/>
                <w:kern w:val="0"/>
                <w:sz w:val="18"/>
                <w:szCs w:val="18"/>
              </w:rPr>
              <w:t xml:space="preserve">     </w:t>
            </w:r>
            <w:r>
              <w:rPr>
                <w:rFonts w:hint="eastAsia" w:ascii="Times New Roman Regular" w:hAnsi="Times New Roman Regular" w:cs="Times New Roman Regular"/>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BIM模型可以为业主提供建设项目中所有系统的信息，在施工阶段做出的修改将全部同步更新到BIM参数模型中形成最终的BIM竣工模型，该竣工模型作为各种设备管理的数据库为系统的维护提供依据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综合应用GIS技术，将BIM与维护管理计划想链接，可实现建筑物业管理与楼宇设备的实时监控相集成的智能化和可视化管理，及时定位问题来源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基于BIM模型的协同合作模型下，利用三维可视化、数据信息丰富的模型，各方可以获得更大投入产出比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BIM各应用只作用于项目全声明周期中某个阶段的，不具备跨阶段应用的条件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4D进度管理软件是在三维几何模型上，附加施工的（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时间信息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几何信息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造价信息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二维图纸信息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以下不属于BIM基础软件特征的是（）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基于三维图形技术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支持常见建筑构件库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支持三维数据交换标准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支持二次开发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5DBIM施工管理软件是在4D模型的基础上附加施工的（）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时间信息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几何信息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成本信息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三维图纸信息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01-01-0504-01-02</w:t>
            </w:r>
            <w:r>
              <w:rPr>
                <w:rFonts w:hint="default" w:ascii="Times New Roman Regular" w:hAnsi="Times New Roman Regular" w:cs="Times New Roman Regula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以下不属于BIM算量软件特征的是（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基于三维模型进行工程量计算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支持二次开发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支持按计算规则自动算量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支持三维模型数据交换标准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01-01-0504-01-02</w:t>
            </w:r>
            <w:r>
              <w:rPr>
                <w:rFonts w:hint="default" w:ascii="Times New Roman Regular" w:hAnsi="Times New Roman Regular" w:cs="Times New Roman Regular"/>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下面不属于钢结构深化设计的目的的是（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材料优化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构造优化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确保安全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符合构件强度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1302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01-01-0504-01-02</w:t>
            </w:r>
            <w:r>
              <w:rPr>
                <w:rFonts w:hint="default" w:ascii="Times New Roman Regular" w:hAnsi="Times New Roman Regular" w:cs="Times New Roman Regula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基于BIM技术的变更计量软件特征不包括（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支持三维模型数据交换标准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支持变更工程量自动统计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支持模版、脚手架自动排布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支持变更清单汇总统计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1303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01-01-0504-01-02</w:t>
            </w:r>
            <w:r>
              <w:rPr>
                <w:rFonts w:hint="default" w:ascii="Times New Roman Regular" w:hAnsi="Times New Roman Regular" w:cs="Times New Roman Regula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基于BIM技术的钢结构深化设计软件的主要特征不包括（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支持参数化建模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基于三维图形技术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内置支持碰撞检查功能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支持三维数据交换标准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1304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01-01-0504-01-02</w:t>
            </w:r>
            <w:r>
              <w:rPr>
                <w:rFonts w:hint="default" w:ascii="Times New Roman Regular" w:hAnsi="Times New Roman Regular" w:cs="Times New Roman Regula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基于BIM技术的碰撞检查软件特征不包括（）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支持变更工程量自动统计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支持三维模型的导入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支持不同的碰撞检查规则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基于三维图形技术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1305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w:t>
            </w:r>
            <w:r>
              <w:rPr>
                <w:rFonts w:hint="default" w:ascii="Times New Roman Regular" w:hAnsi="Times New Roman Regular" w:cs="Times New Roman Regular"/>
                <w:kern w:val="0"/>
                <w:sz w:val="18"/>
                <w:szCs w:val="18"/>
              </w:rPr>
              <w:t>26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下面属于“软碰撞”的是（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设备与室内装修冲突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缺陷检测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结构与机电预留预埋冲突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建筑与结构标高冲突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1306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w:t>
            </w:r>
            <w:r>
              <w:rPr>
                <w:rFonts w:hint="default" w:ascii="Times New Roman Regular" w:hAnsi="Times New Roman Regular" w:cs="Times New Roman Regular"/>
                <w:kern w:val="0"/>
                <w:sz w:val="18"/>
                <w:szCs w:val="18"/>
              </w:rPr>
              <w:t>27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基于BIM技术的模版脚手架软件的特征不包括（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基于三维建模技术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能进行施工进度模拟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支持模版、脚手架自动排布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支持模版、脚手架的自动验算及自动材料统计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1307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w:t>
            </w:r>
            <w:r>
              <w:rPr>
                <w:rFonts w:hint="default" w:ascii="Times New Roman Regular" w:hAnsi="Times New Roman Regular" w:cs="Times New Roman Regular"/>
                <w:kern w:val="0"/>
                <w:sz w:val="18"/>
                <w:szCs w:val="18"/>
              </w:rPr>
              <w:t>28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基于BIM技术的钢筋翻样软件主要特征不包括（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支持优化设计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支持钢筋优化断料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支持料表输出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支持建立钢筋结构模型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1308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w:t>
            </w:r>
            <w:r>
              <w:rPr>
                <w:rFonts w:hint="default" w:ascii="Times New Roman Regular" w:hAnsi="Times New Roman Regular" w:cs="Times New Roman Regular"/>
                <w:kern w:val="0"/>
                <w:sz w:val="18"/>
                <w:szCs w:val="18"/>
              </w:rPr>
              <w:t>29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基于BIM技术的图纸管理的特点不包括（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图纸信息与模型信息一一对应</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软件内的图纸信息更新是最及时的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系统中记录的全部图纸的更新替代关系明确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图纸管理智能面向某一专业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1309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01-01-0504-01-03</w:t>
            </w:r>
            <w:r>
              <w:rPr>
                <w:rFonts w:hint="default" w:ascii="Times New Roman Regular" w:hAnsi="Times New Roman Regular" w:cs="Times New Roman Regular"/>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BIM目标可以分为两种类型，第一类跟项目的整体表现有关，第二类跟（    ）有关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具体任务的效率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企业文化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企业技术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项目成本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1310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01-01-0504-01-03</w:t>
            </w:r>
            <w:r>
              <w:rPr>
                <w:rFonts w:hint="default" w:ascii="Times New Roman Regular" w:hAnsi="Times New Roman Regular" w:cs="Times New Roman Regula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下列选项中关于BIM实施规划流程正确的是（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先制定BIM应用业务目标，然后确定BIM应用具体内容，最后选择BIM应用技术路线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先确定BIM应用具体内容，然后制定BIM应用业务目标，最后选择BIM应用技术路线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先选择BIM应用技术路线，然后确定BIM应用具体内容，最后制定BIM应用业务目标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先选择BIM应用技术路线，然后制定BIM应用业务目标，最后确定BIM应用具体内容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1311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01-01-0504-01-03</w:t>
            </w:r>
            <w:r>
              <w:rPr>
                <w:rFonts w:hint="default" w:ascii="Times New Roman Regular" w:hAnsi="Times New Roman Regular" w:cs="Times New Roman Regular"/>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BIM在方案策划阶段的应用内容组要包括现状建模、成本核算、场地分析和（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深化设计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碰撞检查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总体规划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施工模拟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1312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01-01-0504-01-03</w:t>
            </w:r>
            <w:r>
              <w:rPr>
                <w:rFonts w:hint="default" w:ascii="Times New Roman Regular" w:hAnsi="Times New Roman Regular" w:cs="Times New Roman Regula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BIM在投标过程中的应用不包括（）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基于BIM的深化设计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基于BIM的施工方案模拟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基于BIM的4D进度模拟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基于BIM的资源优化与资金计划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1313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w:t>
            </w:r>
            <w:r>
              <w:rPr>
                <w:rFonts w:hint="default" w:ascii="Times New Roman Regular" w:hAnsi="Times New Roman Regular" w:cs="Times New Roman Regular"/>
                <w:kern w:val="0"/>
                <w:sz w:val="18"/>
                <w:szCs w:val="18"/>
              </w:rPr>
              <w:t>34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BIM技术在设计阶段可视化设计交流的应用主要体现在三维设计和（）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施工图生产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效果图及动画展示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安全疏散分析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协同设计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1314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w:t>
            </w:r>
            <w:r>
              <w:rPr>
                <w:rFonts w:hint="default" w:ascii="Times New Roman Regular" w:hAnsi="Times New Roman Regular" w:cs="Times New Roman Regular"/>
                <w:kern w:val="0"/>
                <w:sz w:val="18"/>
                <w:szCs w:val="18"/>
              </w:rPr>
              <w:t>35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BIM技术在施工阶段中预制加工管理不包括（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基于BIM技术实现钢筋准确下料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基于BIM技术对关键工艺进行展示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基于BIM技术可对构件进行详细信息查询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基于BIM技术可出具构件加工详图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1315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w:t>
            </w:r>
            <w:r>
              <w:rPr>
                <w:rFonts w:hint="default" w:ascii="Times New Roman Regular" w:hAnsi="Times New Roman Regular" w:cs="Times New Roman Regular"/>
                <w:kern w:val="0"/>
                <w:sz w:val="18"/>
                <w:szCs w:val="18"/>
              </w:rPr>
              <w:t>36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BIM在工程项目质量管理中的关键应用点不包括（）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建模前期协同设计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碰撞检测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大体积混凝土测温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防坠落管理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1316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w:t>
            </w:r>
            <w:r>
              <w:rPr>
                <w:rFonts w:hint="default" w:ascii="Times New Roman Regular" w:hAnsi="Times New Roman Regular" w:cs="Times New Roman Regular"/>
                <w:kern w:val="0"/>
                <w:sz w:val="18"/>
                <w:szCs w:val="18"/>
              </w:rPr>
              <w:t>37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BIM在工程项目施工安全管理中的应用不包括（）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施工准备阶段安全控制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施工动态检测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三维技术交底及安装指导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灾害应急管理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w:t>
            </w:r>
            <w:r>
              <w:rPr>
                <w:rFonts w:hint="default" w:ascii="Times New Roman Regular" w:hAnsi="Times New Roman Regular" w:cs="Times New Roman Regular"/>
                <w:kern w:val="0"/>
                <w:sz w:val="18"/>
                <w:szCs w:val="18"/>
              </w:rPr>
              <w:t>38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BIM在工程项目施工物料管理中的应用不包括（）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公共安全管理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建立安装材料BIM模型数据库</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安装材料分类控制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用料交底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01-01-0504-01-0</w:t>
            </w:r>
            <w:r>
              <w:rPr>
                <w:rFonts w:hint="default" w:ascii="Times New Roman Regular" w:hAnsi="Times New Roman Regular" w:cs="Times New Roman Regular"/>
                <w:kern w:val="0"/>
                <w:sz w:val="18"/>
                <w:szCs w:val="18"/>
              </w:rPr>
              <w:t>39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BIM在工程项目成本控制中的应用不包括（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快速精确的成本核算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灾害应急管理</w:t>
            </w:r>
            <w:bookmarkStart w:id="0" w:name="_GoBack"/>
            <w:bookmarkEnd w:id="0"/>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预算工程量动态查询与统计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限额领料与进度支付管理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MingLiU_HKSCS">
    <w:altName w:val="宋体-繁"/>
    <w:panose1 w:val="02020500000000000000"/>
    <w:charset w:val="88"/>
    <w:family w:val="roman"/>
    <w:pitch w:val="default"/>
    <w:sig w:usb0="00000000" w:usb1="00000000" w:usb2="00000016" w:usb3="00000000" w:csb0="00100001" w:csb1="00000000"/>
  </w:font>
  <w:font w:name="手札体-繁">
    <w:panose1 w:val="03000500000000000000"/>
    <w:charset w:val="86"/>
    <w:family w:val="auto"/>
    <w:pitch w:val="default"/>
    <w:sig w:usb0="A00002FF" w:usb1="7ACF7CFB" w:usb2="00000016" w:usb3="00000000" w:csb0="00040001" w:csb1="00000000"/>
  </w:font>
  <w:font w:name="兰亭黑-繁">
    <w:panose1 w:val="03000509000000000000"/>
    <w:charset w:val="88"/>
    <w:family w:val="auto"/>
    <w:pitch w:val="default"/>
    <w:sig w:usb0="00000001" w:usb1="080E0000" w:usb2="00000000" w:usb3="00000000" w:csb0="00100000" w:csb1="00000000"/>
  </w:font>
  <w:font w:name="宋体-繁">
    <w:panose1 w:val="02010600040101010101"/>
    <w:charset w:val="86"/>
    <w:family w:val="auto"/>
    <w:pitch w:val="default"/>
    <w:sig w:usb0="00000287" w:usb1="080F0000" w:usb2="00000000" w:usb3="00000000" w:csb0="0004009F" w:csb1="DFD70000"/>
  </w:font>
  <w:font w:name="楷体">
    <w:altName w:val="汉仪楷体KW"/>
    <w:panose1 w:val="02010609060101010101"/>
    <w:charset w:val="86"/>
    <w:family w:val="modern"/>
    <w:pitch w:val="default"/>
    <w:sig w:usb0="00000000" w:usb1="00000000" w:usb2="00000016" w:usb3="00000000" w:csb0="00040001" w:csb1="00000000"/>
  </w:font>
  <w:font w:name="华文细黑">
    <w:altName w:val="黑体-简"/>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altName w:val="宋体-简"/>
    <w:panose1 w:val="02010800040101010101"/>
    <w:charset w:val="86"/>
    <w:family w:val="auto"/>
    <w:pitch w:val="default"/>
    <w:sig w:usb0="00000000" w:usb1="00000000" w:usb2="00000000" w:usb3="00000000" w:csb0="00040000" w:csb1="00000000"/>
  </w:font>
  <w:font w:name="华文新魏">
    <w:altName w:val="宋体-简"/>
    <w:panose1 w:val="02010800040101010101"/>
    <w:charset w:val="86"/>
    <w:family w:val="auto"/>
    <w:pitch w:val="default"/>
    <w:sig w:usb0="00000000" w:usb1="00000000" w:usb2="00000000" w:usb3="00000000" w:csb0="00040000" w:csb1="00000000"/>
  </w:font>
  <w:font w:name="华文楷体">
    <w:panose1 w:val="02010600040101010101"/>
    <w:charset w:val="86"/>
    <w:family w:val="auto"/>
    <w:pitch w:val="default"/>
    <w:sig w:usb0="80000287" w:usb1="280F3C52" w:usb2="00000016" w:usb3="00000000" w:csb0="0004001F" w:csb1="00000000"/>
  </w:font>
  <w:font w:name="华文琥珀">
    <w:altName w:val="宋体-简"/>
    <w:panose1 w:val="02010800040101010101"/>
    <w:charset w:val="86"/>
    <w:family w:val="auto"/>
    <w:pitch w:val="default"/>
    <w:sig w:usb0="00000000" w:usb1="00000000" w:usb2="00000000" w:usb3="00000000" w:csb0="00040000" w:csb1="00000000"/>
  </w:font>
  <w:font w:name="华文行楷">
    <w:altName w:val="行楷-简"/>
    <w:panose1 w:val="02010800040101010101"/>
    <w:charset w:val="86"/>
    <w:family w:val="auto"/>
    <w:pitch w:val="default"/>
    <w:sig w:usb0="00000000" w:usb1="00000000" w:usb2="00000000" w:usb3="00000000" w:csb0="00040000" w:csb1="00000000"/>
  </w:font>
  <w:font w:name="华文隶书">
    <w:altName w:val="宋体-简"/>
    <w:panose1 w:val="02010800040101010101"/>
    <w:charset w:val="86"/>
    <w:family w:val="auto"/>
    <w:pitch w:val="default"/>
    <w:sig w:usb0="00000000" w:usb1="00000000" w:usb2="00000000" w:usb3="00000000" w:csb0="00040000" w:csb1="00000000"/>
  </w:font>
  <w:font w:name="幼圆">
    <w:altName w:val="华文宋体"/>
    <w:panose1 w:val="02010509060101010101"/>
    <w:charset w:val="86"/>
    <w:family w:val="auto"/>
    <w:pitch w:val="default"/>
    <w:sig w:usb0="00000000" w:usb1="00000000" w:usb2="00000000" w:usb3="00000000" w:csb0="00040000" w:csb1="00000000"/>
  </w:font>
  <w:font w:name="思源宋体 CN Light">
    <w:altName w:val="苹方-简"/>
    <w:panose1 w:val="00000000000000000000"/>
    <w:charset w:val="00"/>
    <w:family w:val="auto"/>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行楷-简">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val="en-US" w:eastAsia="zh-Hans"/>
      </w:rPr>
    </w:pPr>
    <w:r>
      <w:rPr>
        <w:rFonts w:hint="eastAsia"/>
        <w:lang w:val="en-US" w:eastAsia="zh-Hans"/>
      </w:rPr>
      <w:t>新知识</w:t>
    </w:r>
    <w:r>
      <w:rPr>
        <w:rFonts w:hint="default"/>
        <w:lang w:eastAsia="zh-Hans"/>
      </w:rPr>
      <w:t>1246-1318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2FED5F46"/>
    <w:rsid w:val="76FDFC9B"/>
    <w:rsid w:val="7FBFEA7C"/>
    <w:rsid w:val="C1EC62E0"/>
    <w:rsid w:val="E87BA765"/>
    <w:rsid w:val="EB7E33C7"/>
    <w:rsid w:val="EEBEE22F"/>
    <w:rsid w:val="F0EF1236"/>
    <w:rsid w:val="F9F54CE5"/>
    <w:rsid w:val="FEF5A9FC"/>
    <w:rsid w:val="FFAF305B"/>
    <w:rsid w:val="FFFB7FE4"/>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6">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2022-01-18T23:36:00Z</dcterms:created>
  <dc:creator>mac</dc:creator>
  <cp:lastModifiedBy>mac</cp:lastModifiedBy>
  <dcterms:modified xsi:type="dcterms:W3CDTF">2022-01-27T00:13:24Z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