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675"/>
        </w:tabs>
        <w:kinsoku/>
        <w:wordWrap/>
        <w:overflowPunct/>
        <w:topLinePunct w:val="0"/>
        <w:autoSpaceDE/>
        <w:autoSpaceDN/>
        <w:bidi w:val="0"/>
        <w:adjustRightInd/>
        <w:snapToGrid/>
        <w:jc w:val="center"/>
        <w:textAlignment w:val="auto"/>
        <w:outlineLvl w:val="0"/>
        <w:rPr>
          <w:rFonts w:hint="eastAsia" w:eastAsia="黑体"/>
          <w:sz w:val="18"/>
          <w:szCs w:val="18"/>
          <w:lang w:eastAsia="zh-CN"/>
        </w:rPr>
      </w:pPr>
      <w:r>
        <w:rPr>
          <w:rFonts w:eastAsia="黑体"/>
          <w:sz w:val="18"/>
          <w:szCs w:val="18"/>
        </w:rPr>
        <w:t>第</w:t>
      </w:r>
      <w:r>
        <w:rPr>
          <w:rFonts w:hint="eastAsia" w:eastAsia="黑体"/>
          <w:sz w:val="18"/>
          <w:szCs w:val="18"/>
          <w:lang w:eastAsia="zh-CN"/>
        </w:rPr>
        <w:t>二篇</w:t>
      </w:r>
      <w:r>
        <w:rPr>
          <w:rFonts w:eastAsia="黑体"/>
          <w:sz w:val="18"/>
          <w:szCs w:val="18"/>
        </w:rPr>
        <w:t xml:space="preserve">   </w:t>
      </w:r>
      <w:r>
        <w:rPr>
          <w:rFonts w:hint="eastAsia" w:eastAsia="黑体"/>
          <w:sz w:val="18"/>
          <w:szCs w:val="18"/>
          <w:lang w:eastAsia="zh-CN"/>
        </w:rPr>
        <w:t>法律法规</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2892"/>
        <w:gridCol w:w="1428"/>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rPr>
                <w:rFonts w:hint="eastAsia"/>
                <w:sz w:val="18"/>
                <w:szCs w:val="18"/>
              </w:rPr>
            </w:pPr>
            <w:r>
              <w:rPr>
                <w:rFonts w:hint="eastAsia"/>
                <w:sz w:val="18"/>
                <w:szCs w:val="18"/>
              </w:rPr>
              <w:t>科目代码：</w:t>
            </w:r>
          </w:p>
        </w:tc>
        <w:tc>
          <w:tcPr>
            <w:tcW w:w="2892" w:type="dxa"/>
            <w:noWrap w:val="0"/>
            <w:vAlign w:val="top"/>
          </w:tcPr>
          <w:p>
            <w:pPr>
              <w:rPr>
                <w:rFonts w:hint="eastAsia" w:eastAsia="宋体"/>
                <w:sz w:val="18"/>
                <w:szCs w:val="18"/>
                <w:lang w:val="en-US" w:eastAsia="zh-CN"/>
              </w:rPr>
            </w:pPr>
            <w:r>
              <w:rPr>
                <w:sz w:val="18"/>
                <w:szCs w:val="18"/>
              </w:rPr>
              <w:t>0</w:t>
            </w:r>
            <w:r>
              <w:rPr>
                <w:rFonts w:hint="eastAsia"/>
                <w:sz w:val="18"/>
                <w:szCs w:val="18"/>
                <w:lang w:val="en-US" w:eastAsia="zh-CN"/>
              </w:rPr>
              <w:t>8</w:t>
            </w:r>
            <w:r>
              <w:rPr>
                <w:rFonts w:hint="eastAsia"/>
                <w:sz w:val="18"/>
                <w:szCs w:val="18"/>
              </w:rPr>
              <w:t>-0</w:t>
            </w:r>
            <w:bookmarkStart w:id="0" w:name="_GoBack"/>
            <w:bookmarkEnd w:id="0"/>
            <w:r>
              <w:rPr>
                <w:rFonts w:hint="eastAsia"/>
                <w:sz w:val="18"/>
                <w:szCs w:val="18"/>
                <w:lang w:val="en-US" w:eastAsia="zh-CN"/>
              </w:rPr>
              <w:t>2</w:t>
            </w:r>
          </w:p>
        </w:tc>
        <w:tc>
          <w:tcPr>
            <w:tcW w:w="1428" w:type="dxa"/>
            <w:noWrap w:val="0"/>
            <w:vAlign w:val="top"/>
          </w:tcPr>
          <w:p>
            <w:pPr>
              <w:rPr>
                <w:rFonts w:hint="eastAsia"/>
                <w:sz w:val="18"/>
                <w:szCs w:val="18"/>
              </w:rPr>
            </w:pPr>
            <w:r>
              <w:rPr>
                <w:rFonts w:hint="eastAsia"/>
                <w:sz w:val="18"/>
                <w:szCs w:val="18"/>
              </w:rPr>
              <w:t>科目名称：</w:t>
            </w:r>
          </w:p>
        </w:tc>
        <w:tc>
          <w:tcPr>
            <w:tcW w:w="2834" w:type="dxa"/>
            <w:noWrap w:val="0"/>
            <w:vAlign w:val="top"/>
          </w:tcPr>
          <w:p>
            <w:pPr>
              <w:rPr>
                <w:rFonts w:hint="eastAsia" w:eastAsia="宋体"/>
                <w:sz w:val="18"/>
                <w:szCs w:val="18"/>
                <w:lang w:eastAsia="zh-CN"/>
              </w:rPr>
            </w:pPr>
            <w:r>
              <w:rPr>
                <w:rFonts w:hint="eastAsia"/>
                <w:sz w:val="18"/>
                <w:szCs w:val="18"/>
                <w:lang w:eastAsia="zh-CN"/>
              </w:rPr>
              <w:t>市政公用</w:t>
            </w:r>
            <w:r>
              <w:rPr>
                <w:rFonts w:hint="eastAsia"/>
                <w:sz w:val="18"/>
                <w:szCs w:val="18"/>
              </w:rPr>
              <w:t>工程-</w:t>
            </w:r>
            <w:r>
              <w:rPr>
                <w:rFonts w:hint="eastAsia"/>
                <w:sz w:val="18"/>
                <w:szCs w:val="18"/>
                <w:lang w:eastAsia="zh-CN"/>
              </w:rPr>
              <w:t>法律法规</w:t>
            </w:r>
          </w:p>
        </w:tc>
      </w:tr>
    </w:tbl>
    <w:p>
      <w:pPr>
        <w:spacing w:line="360" w:lineRule="auto"/>
        <w:ind w:firstLine="360" w:firstLineChars="200"/>
        <w:rPr>
          <w:rFonts w:hint="eastAsia" w:hAnsi="宋体"/>
          <w:sz w:val="18"/>
          <w:szCs w:val="18"/>
          <w:lang w:val="en-US" w:eastAsia="zh-CN"/>
        </w:rPr>
      </w:pPr>
    </w:p>
    <w:p>
      <w:pPr>
        <w:spacing w:line="360" w:lineRule="auto"/>
        <w:ind w:firstLine="360" w:firstLineChars="200"/>
        <w:rPr>
          <w:rFonts w:hint="eastAsia" w:hAnsi="宋体" w:eastAsia="宋体"/>
          <w:sz w:val="18"/>
          <w:szCs w:val="18"/>
          <w:lang w:val="en-US" w:eastAsia="zh-CN"/>
        </w:rPr>
      </w:pPr>
      <w:r>
        <w:rPr>
          <w:rFonts w:hint="eastAsia" w:hAnsi="宋体"/>
          <w:sz w:val="18"/>
          <w:szCs w:val="18"/>
          <w:lang w:val="en-US" w:eastAsia="zh-CN"/>
        </w:rPr>
        <w:t>法规第一章</w:t>
      </w: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08-02-0001-01-001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建筑法的时间范围是自（  ）之日起生效。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订立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由政府有关部门委托专门机构对建筑工程质量进行的监督，该制度是（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建筑安全生产管理制度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质量责任制度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建筑工程质量监督制度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建筑许可制度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《中华人民共和国建筑法》中所称的建筑活动，是指各类（  ）建筑及其附属设施的建造和与其配套的线路、管道、设备的安装活动。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桥梁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铁路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道路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房屋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关于建设工程中代理的说法正确的是（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建设工程合同诉讼只能委托律师代理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建设工程中应当由本人实施的民事法律行为不得代理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建设工程中的代理应当采用书面形式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建设工程中为了被代理人的利益，代理人可直接委托他人代理人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张某原是甲建筑公司采购员，辞职后与王某合办了一家建筑设备租赁公司。张某现在以甲公司的名义与其长期负责的大客户乙公司签订3000吨钢材购销合同，乙公司对张某辞职并不知情。对该合同承担付款义务的是（</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甲建筑公司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建筑设备租赁公司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张某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张某、王某与建筑设备租赁公司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某装修公司误将某大楼606室当作609室装修完毕，606的户主对装修效果非常满意，则606室户主与装修公司之间存在(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因重大误解而产生的合同之债B侵权之债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侵权之债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无因管理之债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不当得利之债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关于物权，说法正确的是(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物权包括所有权、用益物权和担保物权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用益物权包括①建设用地使用权、②宅基地使用权、③土地抵押权、④地役权、⑤房屋租赁权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权利人在债务人不履行到期债务时，对债务人或第三人特定的物享有的优先受偿权，属于用益物权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财产所有人、用益物权人、担保物权人可以是同一人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关于担保的说法，正确的是（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担保合同无效，则主合同也无效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主合同有效，则担保合同也有效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主合同无效，担保合同效力不受影响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主合同无效，担保合同可以另外约定为有效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以下保证合同有效的是(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省政府出具的基础设施项目融资还款保证书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某高校出具的保证书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施工企业集团财务部为独立子公司承揽施工项目出具的履约保证书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某市自来水公司书面授权下属某区分公司为他人出具的还款保证书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根据《建筑法》及相关法规，建设单位应当办理施工许可证的工程是（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国务院批准开工报告的工程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农民自建低层住宅、临时建筑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投资额36万元的城镇市政基础设施工程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抢险救灾工程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某市政基础设施项目取得建设用地使用权的方式为划拨。建设单位在项目开工前办理了如下审批手续，流程正确的是（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申请划拨士地（土地使用权证）、建设用地规划许可证、建设工程规划许可证、质量监督手续、施工许可证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申请划拨土地（土地使用权证）、建设用地规划许可证、建设工程规划许可证、施工许可证、质量监督手续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签订出让合同（土地使用权证）、建设用地规划许可证、建设工程规划许可证、质量监督手续、施工许可证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建设用地规划许可证、申请划拨土地（土地使用权证）、建设工程规划许可证、质量监督手续、施工许可证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关于规划许可证的说法，正确的是(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在乡村规划区内进行建设可以不办理规划许可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签订土地出让合同前应当办理用地规划许可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领取施工许可证前仅需取得建设用地规划许可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申请划拨土地前应当取得建设用地规划许可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有关施工许可证的申请和颁发，说法正确的是（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应当由建设单位和施工单位共同提出申请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发证机关应当在收到申请之日起7日内，对符合条件的发证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对于证明材料不全、失效的，发证机关应当当场一次性告知需要补正的全部内容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对于不符合发证条件的，发证机关应当在7日内书面或口头通知，但不必说明理由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关于施工许可制度和开工报告制度的说法，正确的有(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建设单位领取施工许可证后因故不能按期开工超过3个月，报告发证机关后方可以开工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建设工程因故中止施工的，应当在恢复施工之日起1个月内报告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建设工程因故中止施工满一年的，恢复施工前应报发证机关核验施工许可证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批准开工报告的工程，因故不能按期开工超过6个月，应当核验开工报告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关于工程项目管理单位（“代甲方”）与工程总承包企业，正确的有（)。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建设单位应当委托项目管理单位进行项目管理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项目管理单位可以由本项目的设计、监理单位担任，但不得与工程总承包企业有利害关系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工程总承包企业必须具有施工总承包资质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工程总承包企业与分包企业对建设单位负连带责任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根据《施工转包违法分包违法行为认定查处管理办法》，下列行为属于违法发包的是（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建设单位将工程的勘察、设计、施工一并发包给一家工程总承包企业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建设单位将土建工程和钢结构工程分别发包给不同施工单位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建设单位设置严格的招标条件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建设单位将地基基础、主体结构、屋面工程分别发包给不同的施工单位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某型钢——混凝土组合结构工程，征得建设单位同意的下列分包情形中，属于违法分包的是(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总承包单位将其承包的钢结构工程进行分包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劳务分包单位将其承包的部分劳务作业进行分包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钢结构专业分包单位将其承包的全部劳务作业进行分包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总承包单位将其承包的地下室混凝土浇筑作业进行分包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根据有关规定，对于违法发包、转包、违法分包、挂靠等违法行为行政处罚，说法错误的是(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可依法限制其参加投标活动，并对资质进行动态核查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2年内发生2次及以上此类违法行为，或者因此类违法行为发生质量安全事故的，依照“情节严重”予以处罚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行政处罚的追溯期限为2年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追溯期限应当自工程交付之日计算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经过招投标，建设单位甲与施工单位乙签订建设工程施工合同，施工合同具有的法律特征是（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甲、乙均必须具有法人资格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合同应当采用书面形式或其他形式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合同必须采用示范文本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合同主要条款应当与招标文件和中标人投标文件内容一致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某建筑公司从本市租赁若干工程模板到外地施工。施工完毕后，因觉得模板运回来费用很高，建筑公司就擅自将该批模板处理了，则建筑公司处理该批模板的行为(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失效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公司委托王某购买水泥，王某在建材市场发现钢材价格非常便宜，仅2000元/吨，就以甲的名义与供货商乙签订了200吨钢材供货合同。随后乙催告甲予以追认，而甲未置可否。一个多月后，钢材价格飙涨到2400元/吨，甲要求乙按照合同约定供货200吨，乙拒绝。下列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乙拒绝供货构成违约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合同已经生效，甲有权要求乙履行合同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王某代签的合同已经失效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王某的行为构成表见代理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某施工单位从租赁公司租赁了一批模板。施工完毕，施工单位以自己名义将该批模板卖给其他公司。后租赁公司同意将该批模板卖给施工单位。此时施工单位出卖模板的合同为(  )合同。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2015年9月15日，甲建材公司与丙设备租赁公司订立书面协议转让其对乙施工单位的30万元材料款债权，9月25日甲公司将该债权转让通知了乙公司。12月30日丙公司向乙公司主张到期的30万元债权。但乙公司认为甲公司之前提供的材料质量不合格拒绝支付。本案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甲公司与丙公司之间的债权转让协议于9月25日生效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该债权转让协议9月25日起对乙发生效力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乙公司对甲公司的抗辩，不能向丙公司主张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丙公司不能取得与该债权相关的从权利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乙双方签订合同时，丙方向甲方提供合同担保。履行过程中，甲乙双方通过协商对合同作了重要变更，但甲方未将变更事项通知丙方。合同部分履行后，甲方的严重违约行为导致与乙方解除合同。则对变更事项中损失部分的处理原则是由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甲方未将变更事项通知丙方，该损失由甲乙双方承担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甲方未将变更事项通知丙方，丙方赔偿该部分损失的一半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丙方提供了合同担保，应承担全部赔偿责任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甲方未将变更事项通知丙方，丙方对该部分损失不承担保证责任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下列企业中，应当取得安全生产许可证方可从事生产经营活动的是(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食品生产企业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加油站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氰化物运输企业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下列安全生产条件中，属于取得建筑施工企业安全生产许可证条件的是(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制定完备的安全生产规章制度和操作规程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配备专职应急救援人员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针对职业危害制订应急救援预案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办理建筑工程一切险和第三者责任险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关于建筑施工企业安全生产许可证的说法，正确的是(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安全生产许可证和资质证书有效期相同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安全生产许可证有效期内，建筑施工企业未发生死亡事故的，有效期自动续期3年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建筑施工企业发生重大安全事故或不再具备安全生产条件的，应当撤销安全生产许可证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建筑施工企业欺骗取得安全生产许可证的，主管部门应当予以撤销，3年内不得再次申请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某项目发承包双方就有关建设工程标准的执行问题有不同理解，下列观点中正确的是(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在承包合同中双方约定的内容不能低于强制性标准的规定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若强制性标准未在承包合同中约定，则对承包方不具约束力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因推荐性标准属自愿执行，所以对承包合同约定的推荐性标准可以不执行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因发包方坚持要求承包方执行强制性标准而增加的成本应由发包方承担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某施工企业承揽的装饰工程，经验收达到了强制性标准，但没有达到合同约定的验收标准。则施工企业应承担的法律责任是(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作为不良行为记录记入企业信用平台公示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返修，直到达到约定的验收标准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由主管部门责令限期改正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某单位工程设计图纸注明的混凝土标号为C30，但监理工程师认为该设计不符合承包合同约定的C35等级，书面通知承包人按照合同约定的C35施工。该事件说法正确的是(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施工单位应当继续按照原施工图纸施工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施工单位应当按照监理通知要求施工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施工单位发现设计不符合承包合同约定时，应按照承包合同约定施工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监理单位认为设计不符合技术标准和合同约定的，应当报告建设单位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关于施工单位的质量责任和义务，说法正确的是(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施工单位项目经理在职期间因过错造成质量事故的，离职后也应追究其质量责任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建设单位指定工程分包的，可以不接受总包单位的质量监督管理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施工技术人员发现设计图纸不符合技术标准的，应当自行按照技术标准施工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建设单位采购的建筑材料经施工企业检验合格，使用后被证实属于不合格材料的，由施工企业承担全部责任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在同一法律体系中，根据一定的标准和原则制定的同类法律规范的总称是（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法律形式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法律部门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法律规章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法律制度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下列已经颁布的规范性法律文件中，不属于宪法部门法范畴的是（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《全国人民代表大会组织法》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《中华人民共和国国籍法》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《中华人民共和国反垄断法》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《全国人民代表大会和地方各级人民代表大会选举法》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下列与工程建设有关的规范性文件中，由国务院制定的是（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工程建设项目施工招标投标办法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安全生产许可证条例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建筑业企业资质管理规定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下列法规中，属于部门规章的是（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《建设工程质量管理条例》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《北京市建筑市场管理条例》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《重庆市建设工程造价管理规定》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《招标公告发布暂行办法》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关于上位法与下位法法律效力的说法，正确的是（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《招标投标法实施条例》高于《招标公告发布暂行办法》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《建设工程质量管理条例》高于《建筑法》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《建筑业企业资质管理规定》高于《外商投资建筑业企业管理规定》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《建设工程勘察设计管理条例》高于《城市房地产开发经营管理条例》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地方政府规章由(  )规定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全国人大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省、自治区、直辖市等的人民代表大会及常委会制定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国务院各部门、部委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省、自治区、直辖市等的人民政府制定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《建设工程安全生产管理条例》属于(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法律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《北京市招标投标条例》属于(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法律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建设法规的表现形式多种多样,以下属于地方性法规形式的有(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某地级市制定的有关某市的《房地产管理条例》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建设部发布的《注册建造师管理办法》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某省人民政府办公室下发通知要求公办学校全部向外来子女开放,不收取任何赞助费用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某省人大常委会通过的《建筑市场管理条例》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法律效力等级是正确适用法律的关键,下述法律效力排序正确的是(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国际条约&gt;宪法&gt;司法解释&gt;行政法规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法律&gt;行政法规&gt;部门规章&gt;地方性法规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部门规章&gt;行政法规&gt;地方性法规&gt;地方政府规章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宪法&gt;法律&gt;行政法规&gt;地方政府规章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下列与工程建设有关的规范性文件中,由国务院制定的是(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工程建设项目施工招标投标办法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安全生产许可证条例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建筑业企业资质管理规定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具有民事权利能力和民事行为能力,依法享有民事权利和承担民事义务的组织为(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自然人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协会及其他团体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某单位就购买该设计院的设计专利签订了合同,此合同法律关系的客体是(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智力成果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发电厂甲与施工单位乙签订了价款为5000万元的固定总价建设工程施工合同,则这笔5000万元的工程价款是(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工程建设法律关系主体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工程建设法律关系客体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工程建设法律关系内容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工程建设法律关系内容中的义务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下列各项,属于刑事责任的承担方式的是(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拘留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没收财产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根据《民法通则》，关于代理的说法，正确的是（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代理人在授权范围内实施代理行为的法律后果由被代理人承担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代理人可以超越代理权实施代理行为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被代理人对代理人的一切行为承担民事责任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代理是代理人以自己的名义实施民事法律行为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根据《民法通则》的规定，委托代理人为了被代理人的利益需要转托他人代理的，应当事先取得（  ）的同意。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当事人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被代理人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关于建设工程中代理的说法正确的是（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建设工程合同诉讼只能委托律师代理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建设工程中应当由本人实施民事法律行为不得代理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建设工程中的代理应当采用书面形式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建设工程为了被代理人的利益，代理人可直接委托他人代理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经被代理人同意的转代理，代理人不再承担责任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同一代理事项有数位代理人的，应当推选牵头人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受托人辞去委托，经委托人同意后，委托代理方能终止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表见代理是无权代理，但对本人产生法律效力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关于物权特征的说法，正确的是（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物权是一种支配权，需要义务人的行为配合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物权是一种财产权，直接体现为财产利益的权利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物权是一种相对权，用以对抗特定的相对人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物权是不具有排他性的权利，同一物上可以存在几个物权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关于物权特征的说法，正确的是（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物权是一种支配权，需要义务人的行为配合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物权是一种财产权，直接体现为财产利益的权利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权是一种相对权，用以对抗特定的相对人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物权是不具有排他性的权利，同一物上可以存在几个物权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下列权利中，属于用益物权的是（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船舶抵押权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房屋租赁权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土地所有权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下列物权中，不属于用益物权的是（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土地所有权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土地承包经营权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地役权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下列物权种类中，属于担保物权的是（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收益权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地役权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抵押权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国有建设用地使用者依法对土地享有的权利不包括（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占有权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收益权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所有权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根据《担保法》，除担保合同另有约定之外，主合同无效的，担保合同（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保证合同是（  ）订立合同。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债权人与债务人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债务人与保证人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债权人与保证人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债权人与债务人和保证人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甲建设单位与乙施工单位签订了施工合同，由丙公司为甲出具工程款的支付担保，担保方式为一般保证。甲到期未能支付工程款，乙应当要求（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丙先行代为支付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甲和丙按比例支付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甲先行支付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甲和丙协商支付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按照《担保法》的规定，可以作为保证人的是（</w:t>
            </w:r>
            <w:r>
              <w:rPr>
                <w:rStyle w:val="8"/>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厂矿的职能部门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有限责任公司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政府机关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某高等学校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甲因无足够的现金交住院费，将手表交给医院，约定明天带现金来，将手表取回。医院依据（  ）取得手表的占有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抵押权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留置权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质押权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甲建设单位与乙施工单位签订了施工合同，由丙公司为甲出具工程款的支付担保，担保方式为一般保证。甲到期未能支付工程款，乙应当要求（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丙先行代为清偿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甲和丙按比例支付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甲先行支付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甲和丙协商支付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甲向乙借款20万元做生意，由丙提供价值15万元的房屋抵押，并订立了抵押合同。甲因办理登记手续费过高，经乙同意未办理登记手续。甲又以自己的一辆价值6万元的汽车质押给乙，双方订立了质押合同。乙认为将车放在自家附近不安全，决定仍放在甲处。一年后，甲因亏损无力还债，乙诉至法院要求行使抵押权、质权。本案中抵押和质押的效力分别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抵押、质押均有效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抵押、质押均无效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抵押有效、质押无效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质押有效、抵押无效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甲建设单位与乙设计院签订设计合同，设计费用为300万元，双方在协商定金数额时发生意见分歧。根据《担保法》的规定，该定金数额最多为（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甲施工企业与乙公司订立钢材加工合同，后因供电局无故断电，乙公司无法按时完成生产任务致使交货延迟，给甲施工企业造成了损失。关于该案责任承担的说法，正确的是（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供电局向甲施工企业承担责任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供电局与乙公司向甲施工企业承担连带责任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乙公司可以要求供电局向甲施工企业承担责任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乙公司向甲施工企业承担责任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施工企业在施工中未采取相应防范措施，造成第三人人身伤害的，其应当承担（  ）责任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侵权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在建工程的建筑物、构筑物或者其他设施倒塌造成他人损害的，由建设单位与施工企业承担连带负任。该责任在债的产生根据中属于（  ）之债。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侵权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建筑物倒塌造成他人损害的，由（  ）承担连带责任。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所有人和建设单位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使用人和建设单位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建设单位和施工企业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管理人和施工企业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甲施工企业误将应支付给乙供应商的贷款支付给了丙供应商。关于这笔贷款的返还，丙与甲之间债的产生根据属于（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侵权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下列关于知识产权保护期限正确的是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专利的保护期限均是20年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商标的保护期限是10年，到期后不允许续展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著作权中作者的署名权永远保护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公民的作品发表权、使用权保护期限为作者的终生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《专利法》保护的是发明创造的专利权。对此，下列说法正确的是（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发明创造是指发明、实用新型和外观设计智力成果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获得专利权的发明创造的技术内容保密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取得专利权的发明可以是纯理论性的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专利权的期限均为20年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法人或者其他组织的软件著作权，保护期为50年，但软件自开发完成之日起（  ）年内未发表的，不再受到《计算机软件保护条例》的保护。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.以下关于债的种类，说法正确的是（).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因监理错误指令导致分包工程返工，分包企业只能向总包单位提出索赔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建筑物倒塌造成他人损害，一律由建设单位和施工单位承担连带责任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施工现场失火，当地应急救援队伍根据政府命令投入救援，属于无因管理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某大型超市兴建以后，周边房屋价格出现普遍上涨受益的房主构成不当得利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建造师初始注册者，自资格证书签发之日起提出注册申请的最长期限为（  ），逾期未申请者，须符合本专业继续教育的要求后方可申请初始注册。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根据《注册建造师管理规定》，下列情形中，不予注册的有（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钱某取得资格证书3年后申请注册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赵某因工伤丧失了民事行为能力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孙某与原单位解除劳动关系后申请变更注册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周某申请在两个单位分别注册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2007年10月23日，注册建造师陈某因重大责任事故罪被判处有期徒刑三年，在服刑期间因有立功表现而减刑，于2009年12月28日提前释放。根据有关规定，陈某重新注册至少应当在（  ）之后才能提出申请。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2010年10月23日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2012年10月23日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2012年12月28日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2014年12月28日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某市政工程由于政府部门规划调整，导致该工程停工达1年之久。施工企业拟让该工程的项目经理甲担任其他市政工程的项目经理，根据相关规定，关于甲任职的说法，正确的是（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甲不能同时担任该两个项目的项目经理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经建设单位同意，甲可以同时担任该两个项目的项目经理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经施工企业同意，甲可以同时担任该两个项目的项目经理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经建设主管部门同意，甲可以同时担任该两个项目的项目经理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关于一级建造师执业范围的说法，正确的是（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注册建造师不得同时担任两个以上建设工程项目负责人，所有项目均为小型工程施工项目除外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注册建造师担任施工项目负责人，在其承建的建设工程项目竣工验收或移交项目手续办结前，经受聘企业同意的，可以变更注册至另一企业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注册建造师担任施工项目负责人期间，若发包方与注册建造师受聘企业已解除承包合同的，可以更换施工项目负责人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工程所在地省级建设主管部门和有关部门可以根据本地的实际情况设置跨地区承揽工程项目执业准入条件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在保险合同中，负有支付保险费义务的当事人是（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保险人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被保险人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投保人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关于人身保险合同的说法，正确的是（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人身保险的投保人在保险事故发生时，应当对被保险人具有保险利益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人身保险合同的投保人应当一次性支付全部保险费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保险人对人身保险的保险费，不得用诉讼方式要求投保人支付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人身保险合同的投保人不可以为受益人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关于保险索赔的说法，正确的是（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保险事故发生后，索赔时仅需被保险人向保险人提供与确认保险事故有关的证明和资料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保险单上载明的保险财产没有全部损失，但其损害程度已无法修理，只能按照部分损坏进行索赔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保险事故发生后，应当及时通知保险人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如果一个建设工程项目，同时由多家保险人承保则应当平均分配赔偿金额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根据施工许可证制度，建设项目因故停工，（  ）应当中止施工之日起1个月内向发证机关报告。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因故中止施工的建筑工程恢复施工，应当向发证机关报告；中止施工满1年的工程恢复施工前，建设单位应当(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重新申请领取施工许可证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向发证机关报告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报发证机关核验施工许可证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重新办理开工报告的批准手续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按照国务院有关规定批准开工报告的建筑工程，因故不能按期开工或者中止施工，应当及时向批准机关报告情况，因故不能按期开工超过(  )个月，应当重新办理开工报告。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某建设工程施工合同约定,合同工期为18个月,合同价款为2000万元,根据法律规定,建设单位在申请领取施工许可证时,原则上最少到位资金为(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某建设工程计划工期为18个月，工程总投资额为900万元，施工合同价为600万元，则建设单位在申请领取施工许可证时,最少到位资金为(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我国建筑企业承揽工程或从事建筑活动的范围，取决于企业的（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注册地点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经营能力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经济实力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房屋建筑工程施工总承包二级企业法定的专业技术人员中，具有建筑工程专业注册建造师应不少于（  ）人。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作为企业资质的法定条件，房屋建筑工程施工总承包二级企业的净资产应不少于（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6000万元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按照《建筑企业资质管理规定》，建筑企业资质分为（  ）三个序列。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一级、二级、三级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特级、一级、二级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甲级、丙级、乙级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施工总承包资质、专业承包资质和施工劳务资质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企业申请延续资质证书，应在资质证书有效期届满（  ）前向发证机关提出申请。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根据《建筑工程企业资质管理规定》，属于建筑业企业资质序列的是（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工程总承包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专业分包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专业承包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劳务承包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资质许可机关的上级机关，可以撤销建筑业企业资质的情形是（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企业未取得施工许可证擅自施工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资质许可机关超越法定职权作出准予建筑业企业资质许可的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施工总承包将主体结构工程分包给专业承包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企业发生较大的生产安全事故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建筑业企业资质证书有效期满未申请延续，其资质证书将被（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撤回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吊销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投标有效期应从（  ）之日起计算。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开始提交投标文件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提交投标保证金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确定中标结果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招标文件规定的提交投标文件截止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招标人资格预审文件或招标文件的发售期不得少于（  ）日。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甲乙两个同一专业的施工单位分别具有该专业二、三级企业资质，甲乙两个单位的项目经理数量合计符合一级企业资质要求。甲乙两单位组成联合体参加投标，则该联合体资质等级应为（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暂定级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甲施工单位与乙施工单位以联合体方式承揽建设工程。以下不符合有关规定的是（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双方应签订联合承包的协议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按照资质等级低的单位的业务范围承揽建设工程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甲与乙就承揽工程向建设单位承担连带责任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联合体造成违约，甲、乙以联合承包协议为依据对建设单位只承担约定的责任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关于建设工程共同承包的说法，正确的是（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中小型但技术复杂的，可以采取联合承包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不同专业的两个不同资质等级的单位实施联合共同承包的，应当按照资质等级低的单位的业务许可范围承揽工程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共同承包的各方就承包合同的履行对建设单位承担连带责任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联合体应当与建设单位分别签订合同，就合同中约定的各自负责的部分承担责任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建筑公司总经理王某将列入工程概算的安全施工措施费用50万元挪作他用，工地因安全生产条件不符合国家规定而导致重大经济损失和人员伤亡，王某的行为涉嫌构成（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渎职罪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重大劳动安全事故罪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重大责任事故罪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工程重大安全事故罪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根据2014年《建筑工程施工转包违法分包等违法行为认定查处管理办法（试行）》的规定，下列情形中属于违法发包的有（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建设单位将工程发包给不具有相应资质或安全生产许可的施工单位的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总承包单位将建设工程分包给不具备相应资质条件的单位的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建设单位将一个单位工程的施工分解成若干部分发包给不同的施工总承包或专业承包单位的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施工总承包单位将建设工程主体结构的施工分包给其他单位的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关于建设工程施工承包联合体的说法，正确的是（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联合体的资质等级按照联合体中资质等级较高的单位确定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联合体属于非法人组织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联合体各方独立承担相应责任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组成联合体的成员可以对同一工程单独投标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同一专业的两个以上不同资质等级的单位实行联合承包的，应当按照（  ）单位的业务许可范围承揽工程。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资质等级较高的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承担主要任务的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资质等级较低的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联合体牵头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甲公司与乙公司组成联合体共同承包了某大型建筑工程的施工。关于该联合体承包行为的说法，正确的是（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乙按照承担施工内容及工程量的比例对建设单位负责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建设单位应当与甲、乙分别签订承包合同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该行为属于肢解工程发包的违法行为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甲和乙就工程质量和安全对建设单位承担连带责任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关于建设工程共同承包的说法，正确的是（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中小型工程但技术复杂的，可以采取联合共同承包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两个不同资质等级的单位实施联合共同承包的，应当按照资质等级高的单位的业务许可范围承揽工程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共同承包的各方就承包合同的履行对建设单位承担连带责任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联合体各方应当与建设单位分别签订合同，就承包工程中各自负责的部分承担责任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以下案例中，视同转包的情形不包括（).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某央企以自己名义中标后，将其中标工程交由下属独立子公司完成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工程施工单位甲中标后，经建设单位同意，将工程分包给乙施工单位，约定将工程按比例提取10%管理费（含税）后交由乙完成，同时约定由乙承担工程全部责任，甲乙各自办理所有相关手续并出具相应施工文件，但甲不在现场派驻项目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丙公司和丁公司组成联合体中标一项市政工程。丙丁签订协议约定:丙负责具体组织施工，丁负责对业主和政府沟通工作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戊公司现场项目班子均为己施工企业员工，且戊与己存在工程款收付关系。经查，戊和己提供的工程分包合同并未经过建设单位认可，建设单位、监理单位也不知道己公司在现场施工的事实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在施工承包合同中约定由施工单位采购建筑材料。施工期间，建设单位要求施工单位购买某采石场的石料，理由是该石料物美价廉。对此，下面说法正确的是（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施工单位可以不接受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建设单位的要求施工单位必须接受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建设单位通过监理单位提出此要求，施工单位才必须接受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建设单位以书面形式提出要求，施工单位就必须接受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关于分包工程发生质量、安全、进度等问题给建设单位造成损失的责任承担说法，正确的是（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分包单位只对总承包单位负责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总承包单位承担的责任超过其应承担份额的，有权向分包单位追偿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建设单位只能向给其造成损失的分包单位主张权利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建设单位与分包单位无合同关系，分包单位不需要向建设单位负责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公司向乙公司购买了一批钢材，双方约定采用合同书的方式订立合同，由于施工进度紧张，在甲公司的催促之下，双方在未签字盖章之前，乙公司将钢材送到了甲公司，甲公司接受并投入工程使用。甲、乙公司之间的买卖合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根据不同的分类标准，建设工程施工合同属于（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有名合同，双务合同，有偿合同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有名合同，双务合同，不要式合同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无名合同，单务合同，要式合同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有名合同，单务合同，要式合同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除双方当事人意思表达一致以外，尚须交付标的物才能成立的合同，称为（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实践合同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双务合同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根据《建筑市场诚信行为信息管理办法》，良好行为记录信息的公布期限一般为（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建筑市场不良行为记录信息公布期限一般是（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1个月至2年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2个月至1年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6个月至3年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3个月至2年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根据《合同法》，关于要约和承诺的说法，正确的是（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撤回要约的通知应当在要约到达受要约人之后到达受要约人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承诺的内容应当与要约的内容一致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要约邀请是合同成立的必经过程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撤回承诺的通知应当在要约确定的承诺期限内到达要约人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根据《合同法》，应当采用书面形式的合同是（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租赁合同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借贷合同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买卖合同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关于合同形式的说法，正确的是（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书面形式合同是指纸质合同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当事人的行为可以构成默示合同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书面形式是主要的合同形式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未依法采用书面形式订立合同的，合同无效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建设工程施工合同中，承包人的主要义务有(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投保建筑工程一切险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及时验收隐蔽工程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修复因设计原因导致的质量缺陷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自行完成全部工程施工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下列关于无效合同主要类型的表述中，正确的是（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发包人对中标人投标文件存在重大误解而订立的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发包人要求承包人垫资的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承包人先行进场施工，后补办招投标手续、补签合同的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承包人超越资质等级订立但在竣工前取得相应等级资质证书的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default" w:hAnsi="宋体" w:eastAsia="宋体"/>
          <w:sz w:val="18"/>
          <w:szCs w:val="18"/>
          <w:lang w:val="en-US" w:eastAsia="zh-CN"/>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下列关于无效合同主要类型的表述中，正确的是（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发包人对中标人投标文件存在重大误解而订立的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发包人要求承包人垫资的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承包人先行进场施工，后补办招投标手续、补签合同的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承包人超越资质等级订立但在竣工前取得相应等级资质证书的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根据《全国建筑市场各方主体不良行为记录认定标准》，属于承揽业务不良行为的是（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允许其他单位或个人以单位名义承揽工程的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不履行保修义务或者拖延履行保修义务的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将承包的工程转包或者违法分包的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未按照节能设计施工的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根据《全国建筑市场各方主体不良行为记录认定标准》，属于施工企业工程安全不良行为的是（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未按照节能设计进行施工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未对涉及结构安全的试块，试件以及有关材料取样检测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按照规定需要持证上岗的技术工种的作业人员未取得证书上岗，情节严重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在城市市区内建设工程的施工现场未实行封闭围挡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根据《全国建筑市场各方主体不良行为记录认定标准》，属于施工企业资质不良行为的是（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以他人名义投标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将承包的工程违法分包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未在规定期限内办理资质变更手续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未按照与招标人订立的合同履行义务，情节严重的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根据《合同法》，债权人将合同中的权利转让给第三人的，（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需经债务人同意，且需办理公证手续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无需经债务人同意，也不必通知债务人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无需经债务人同意，但需办理公证手续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无需经债务人同意,但需通知债务人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2015年9月15日，甲公司与丙公司订立书面协议转让其对乙公司的30万元债权，同年9月25日甲公司将该债权转让通知了乙公司。关于该案的说法，正确的是（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甲公司与丙公司之间的债权转让协议于2015年9月25日生效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丙公司自2015年9月15日起可以向乙公司主张30万元的债权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甲公司和乙公司就30万债务的清偿对丙公司承担连带责任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甲公司和丙公司之间的债权转让行为于2015年9月25日对乙公司发生效力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2016年9月15日，甲材料供应商与丙材料供应商订立书面合同，转让甲对乙施工企业的30万元债权。同年9月25日，乙接到甲关于转让债权的通知。关于该债权转让的说法，正确的是（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甲与丙之间的债权转让合同9月25日生效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丙于9月15日可以向乙主张30万元债权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乙拒绝清偿30万元债务的，丙可以要求甲与乙承担连带责任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甲与丙之间的债权转让行为于9月25日对乙生效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根据《劳动法》的规定，禁止安排女职工从事矿山井下、国家规定的（  ）的劳动和其他禁止从事的劳动。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夜班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第四级体力劳动强度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冷水低温作业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第三级体力劳动强度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用人单位非法招用未满（  ）周岁的未成年人的，由劳动行政部门责令改正，处以罚款；情节严重的，由工商行政管理部门吊销营业执照。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用人单位因特殊原因需要延长工作时间的，在保障劳动者身体健康的条件下延长工作时间每日不得超过3小时，但是每月不得超过（  ）小时。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张某在甲施工单位公司连续工作满八年；李某与乙监理公司已经连续订立二次固定期限劳动合同，但因工负伤不能从事原工作；王某来丙公司工作两年，并被董事会任命为总经理；赵某在丁公司累计工作了十二年，但期间曾离开过公司，则应签订无固定期限合同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张某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李某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王某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赵某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劳动争议仲裁委员会由三方代表组成，下列选项中，不能成为代表的是（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企业代表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工会代表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政府综合部门代表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劳动行政部门代表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下列关于劳动合同试用期的表述，错误的是（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劳动合同期限1年以上不满3年的，试用期不得超过1个月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3年以上固定期限和无固定期限的劳动合同，试用期不得超过6个月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劳动合同仅约定试用期的，试用期不成立，该期限为劳动合同期限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同一用人单位与同一劳动者只能约定1次试用期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参加基本养老保险的个人，达到法定退休年龄时累计缴费不足15年的，可以缴费至满（  ）年，按月领取基本养老金。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某工程项目建设过程中，发包人与机械厂签订了加工非标准的大型管道叉管的合同，并提供了制作叉管的钢板。根据《合同法》，该合同属于（  ）合同。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委托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信托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经定作人同意，承揽人将其承揽的主要工作交由第三人完成。关于责任承担的说法，正确的是（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第三人就完成的工作成果向定作人负责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承揽人不再承担责任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承揽人与第三人按完成工作成果的比例向定作人承担责任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承揽人就该第三人完成的工作成果向定作人负责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承揽合同中，关于承揽人义务的说法，正确的是（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承揽人发现定作人提供的材料不符合约定的，可以自行更换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共同承揽人对定作人承担按份责任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未经定作人许可，承揽人不得留存复制品或技术资料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承揽人在工作期间，不必接受定作人必要的监督检验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甲公司向乙公司订作一批预制板，乙开工不久，甲需要将预制板加厚，遂要求乙停止制作。关于甲权利义务的说法，正确的是（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甲应支付相应部分报酬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甲不得中途要求乙停止制作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甲应支付全部约定报酬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甲不用赔偿乙损失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下列从事生产活动的企业中，不属于必须取得安全生产许可证的是（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食品加工生产企业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烟花爆竹生产企业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矿业企业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下列安全生产条件中，属于取得建筑施工企业安全生产许可证条件的是（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制定完备的安全生产规章制度和操作流程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配备兼职安全生产管理人员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各分部分项工程有应急预案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管理人员每年至少进行2次安全生产教育培训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下列建筑施工条件中，属于建筑施工企业申领安全生产许可证应当具备的是（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建设资金已经落实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主要负责人经有关部门考核合格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配备了兼职安全生产管理人员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为职工办理了意外伤害保险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下列安全生产条件中，属于取得建筑施工企业安全生产许可证条件的是（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制定完备的安全生产规章制度和操作规程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配备兼职安全生产管理人员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各分部分项工程有应急预案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管理人员每年至少进行2次安全生产教育培训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根据《安全生产许可证条例》规定，企业在安全生产许可证有效期内，严格遵守有关安全生产的法律法规，未发生（  ）事故的，安全生产许可证有效期届满时，经原发证管理机关同意，不再审查，安全生产许可证有效期延期3年。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重大死亡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死亡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建筑施工企业隐瞒有关情况或者提供虚假材料申请安全生产许可证的，应给予警告，并在（  ）年内不得申请安全生产许可证。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对于土方开挖工程，施工企业编制专项施工方案后，经（  ）签字后实施。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施工企业项目经理、现场监理工程师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施工企业技术负责人、建设单位负责人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施工企业技术负责人、总监理工程师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建设单位负责人、总监理工程师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对于达到一定规模的危险性较大的分部分项工程的专项施工方案，应由（  ）组织专家论证、审查。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安全监督管理机构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根据《危险性较大的分部分项工程安全管理办法》实行工程总承包的，对于超过一定规模的危险性较大的分部分项工程专项方案，应当由（  ）组织召开专家论证会。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对于超过一定规模的危险性较大的分部分项工程专项方案，应由（  ）组织召开专家论证会。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安全监督管理机构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项目负责人的安全生产责任不包括（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对建设工程项目的安全施工负责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落实安全生产责任制度、安全生产规章和操作规程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签署危险性较大的工程安全专项施工方案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实行施工总承包的工程项目,应由(  )统一组织编制建设工程安全事故应急救援预案。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各分包单位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根据建设部2008年4月发布的《建筑施工特种作业人员管理规定》,下列不属于建筑施工特种作业的是(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建筑电工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建筑起重机械司机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建筑钢筋工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建筑架子工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某施工总承包单位与分包单位在分包合同中约定:分包施工中出现任何安全事故,均由分包单位承担,该约定(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因显失公平而无效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由于分包单位自愿签署而有效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仅对总承包单位和分包单位有效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因违反法律、法规强制性规定而无效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施工单位的主要负责人、项目负责人构成违法行为时，5年内不得担任任何施工单位的主要负责人、项目负责人，自（  ）起算。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252525"/>
                <w:kern w:val="0"/>
                <w:sz w:val="18"/>
                <w:szCs w:val="18"/>
                <w:u w:val="none"/>
                <w:lang w:val="en-US" w:eastAsia="zh-CN" w:bidi="ar"/>
              </w:rPr>
              <w:t>造成重大安全事故之日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252525"/>
                <w:kern w:val="0"/>
                <w:sz w:val="18"/>
                <w:szCs w:val="18"/>
                <w:u w:val="none"/>
                <w:lang w:val="en-US" w:eastAsia="zh-CN" w:bidi="ar"/>
              </w:rPr>
              <w:t>构成违法之日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252525"/>
                <w:kern w:val="0"/>
                <w:sz w:val="18"/>
                <w:szCs w:val="18"/>
                <w:u w:val="none"/>
                <w:lang w:val="en-US" w:eastAsia="zh-CN" w:bidi="ar"/>
              </w:rPr>
              <w:t>刑罚判决之日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252525"/>
                <w:kern w:val="0"/>
                <w:sz w:val="18"/>
                <w:szCs w:val="18"/>
                <w:u w:val="none"/>
                <w:lang w:val="en-US" w:eastAsia="zh-CN" w:bidi="ar"/>
              </w:rPr>
              <w:t>刑罚执行完毕或受处分之日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施工单位安全费用，不能用于（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购买施工安全防护用具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安全设施的更新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安全施工措施的落实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.职工安全事故的赔偿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《建设工程安全生产管理条例》规定，施工单位采购的施工机具及配件，应当具有（  ），并在进入施工现场前进行查验。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.产品许可证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使用许可证和产品合格证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生产许可证和产品合格证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《建筑工程安全防护、文明施工措施费用及使用管理规定》中规定，安全防护、文明施工措施由分包单位实施的，由（  ）提出专项安全防护措施及施工方案，经（  ）批准后及时支付所需费用。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分包单位；分包单位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分包单位；总承包单位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某工程事故造成3人死亡，10人重伤，直接经济损失达2000万元，根据《安全生产事故报告和调查处罚案例》，该事故等级为（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特别重大事故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某施工企业承揽拆除旧体育馆工程，作业过程中，体育馆屋顶突然坍塌，压死2人，重伤11人，根据《生产安全事故报告和调查处理条例》，该事故属于（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特别重点事故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监理单位的主要安全责任之一是（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组织专家论证，审查深基坑专项施工方案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申领施工许可证时，提供建设工程有关安全施工措施的资料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在设计方案中提出保障施工作业人员安全和预防生产的措施建议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发现存在严重安全事故隐患时，要求施工单位停工并及时报告建设单位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根据《建设工程安全生产管理条例》，出租的机械设备应当有产品合格证、自检合格证明和（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生产企业资质证明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生产企业营业执照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第三方检测合格证明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建筑活动应当确保建筑工程（  ），符合国家的建筑工程安全标准。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质量和安全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速度和质量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速度和安全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速度和效益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工程建设国家标准、行业标准均可分为（  ）和推荐性标准。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一般性标准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特殊性标准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建议性标准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08-02-0001-01-160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工程监理单位应当审查施工组织设计中的安全技术措施或者专项施工方案是否符合工程建设的（  ）标准。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r>
              <w:rPr>
                <w:rFonts w:hint="eastAsia" w:ascii="宋体" w:hAnsi="宋体" w:eastAsia="宋体" w:cs="宋体"/>
                <w:i w:val="0"/>
                <w:iCs w:val="0"/>
                <w:color w:val="000000"/>
                <w:kern w:val="0"/>
                <w:sz w:val="18"/>
                <w:szCs w:val="18"/>
                <w:u w:val="none"/>
                <w:lang w:val="en-US" w:eastAsia="zh-CN" w:bidi="ar"/>
              </w:rPr>
              <w:t>推荐性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国家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b w:val="0"/>
          <w:bCs/>
          <w:sz w:val="18"/>
          <w:szCs w:val="18"/>
          <w:lang w:val="en-US" w:eastAsia="zh-CN"/>
        </w:rPr>
      </w:pPr>
      <w:r>
        <w:rPr>
          <w:rFonts w:hint="eastAsia" w:hAnsi="宋体"/>
          <w:sz w:val="18"/>
          <w:szCs w:val="18"/>
          <w:lang w:eastAsia="zh-CN"/>
        </w:rPr>
        <w:t>多选题：</w:t>
      </w:r>
      <w:r>
        <w:rPr>
          <w:rFonts w:hint="eastAsia" w:hAnsi="宋体"/>
          <w:b w:val="0"/>
          <w:bCs/>
          <w:sz w:val="18"/>
          <w:szCs w:val="18"/>
          <w:lang w:val="en-US" w:eastAsia="zh-CN"/>
        </w:rPr>
        <w:t>08-02-0001-02-001</w:t>
      </w: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08-02-0001-02-001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下列关于债权的案例中，说法正确的有(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施工单位误将本应支付给A供应商的材料款转账给B供应商，A供应商可以请求B供应商返还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侵权是产生债最主要、最普遍的原因。①建设单位拖欠工程进度款、②施工单位拒绝修复质量缺陷、③施工扬尘、噪声扰民，均构成侵权之债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某项目在施工过程中发生火灾，邻近的甲单位主动组织人员灭火，这一行为减少了施工单位的损失8万元，但甲单位因此产生了1万元的费用。则甲有权向施工单位主张1万元的补偿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施工现场围墙倒塌造成行人腿部受伤的，由施工单位和监理单位负连带责任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大华商场委托飞达广告公司制作一块广告牌，并由飞达公司负责安装在商场外墙。某日风大，广告牌被吹落砸伤过路人郑某。经查，广告牌的焊接存在严重质量问题。关于郑某的损害，应当由大华商场承担赔偿责任，但其有权向飞达公司追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关于施工企业资质及申请条件，正确的是（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建筑业企业资质分工程总承包、专业分包、施工劳务序列，每个序列均划分为若干资质类别和等级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审批机关对企业“净资产”指标的考核，应当以企业合法财务报表中申请资质前1年或当期净资产为准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除申请最低资质等级外，取消“注册建造师等人员数量指标考核”，指申请时不再有注册建造师数量方面的要求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企业应当自行拥有一定数量的大中型机械设备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企业申请市政总承包一级资质，其“工程业绩”必须满足两个条件:1.已完成;2.在全国平台上发布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关于建筑企业资质证书的申请和延续，正确的是(）。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企业首次申请或增项申请资质，应当申请最低等级资质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建筑企业只能申请一项建筑企业资质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资质申请中实行“告知承诺审批制”的，审批机关可以根据申请人的书面承诺直接作出行政批准决定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建筑业企业资质证有效期届满前6个月，企业应当向原资质许可机关提出延续申请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企业按规定提出延续申请后，资质许可机关未在证书有效期届满前作出是否准予延续决定的，视为准予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总承包单位分包工程应当经过建设单位认可，这种认可的方式包括（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在总承包合同中规定分包的内容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由建设单位指定分包，分包人与总承包单位签约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由建设单位推荐分包人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劳务分包合同，也应由建设单位确认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总承包合同没有规定分包内容时，事先征得建设单位同意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下列无效合同案例中，说法正确的有(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甲乙4月1日签订一份施工合同。合同履行中双方发生争议，甲于5月20日单方要求解除合同。乙遂向法院提起诉讼，法院于6月30日判定该合同无效。则该合同自6月30日起无效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丙丁组成联合体中标一项市政工程。丙丁签订协议约定:丙负责具体组织施工，丁负责对业主和政府沟通工作，丙丁按利润四六分成。该协议应认定为工程转包合同，合同无效，且约定的利润分成条款无效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某工程分包合同约定:由分包方负责完成总包合同范围内的主体工程，并向总包支付5%管理费，分包每发生一次安全质量事故应向总包支付合同价款0.5%的违约金。工期100天，每拖延一天应向总包支付工期罚款3000元。则该合同无效，工期和违约金条款也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某工程施工合同约定价款为1亿元，施工成本为0.9亿元，按发包人核算造价为0.95亿元。后该合同无效，但建设工程经竣工验收合格，则该施工企业能获得法院支持的最高结算价款为0.9亿元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劳务分包合同约定:因施工造成的人员伤亡责任一概由分包方自行承担，合同争议由上海仲裁委员会仲裁。此分包合同中，违法的免责条款无效，但不影响其他部分效力的，其他部分仍然有效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根据《建筑施工企业安全生产管理机构设置及专职安全生管理人员配备办法》，关于建筑施工企业安全生产管理机构专职安全生产管理人员配备的说法，正确的有(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建筑施工总承包资质特级资质企业安全生产管理机构中专职安全生产管理人员不少于6人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建筑施工企业安全生产管理机构专职安全生产管理员的配备与企业经营规模和生产需要有关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建筑施工专业承包资质二级和二级以下资质企业的专职安全生产管理人员不少于2人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建筑施工企业的分公司、区域公司等较大的分支机构不需要具备专职安全生产管理人员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建筑施工劳务分包资质序列企业安全生产管理机构中的专职安全生产管理人员不少于2人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按照《标准化法》的规定，（   )是正确的。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国家标准就是强制性标准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行业标准、地方标准一律为推荐性标准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保障人体健康、人身财产安全的标准，可以制定强制性标准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国家标准应当免费向社会公开标准文本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强制性国家标准由国务院批准发布或授权批准发布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根据《民法总则》的规定，下列关于转代理的表述中，正确的是（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代理人需要转委托第三人代理的，应当取得被代理人的同意或者追认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转委托代理经被代理人同意或者追认的，被代理人可以就代理事务直接指示转委托的第三人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转委托代理未经被代理人同意或者追认的，代理人应当对转委托的第三人的行为承担责任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经追认的转代理，代理人仅就第三人的选任以及对第三人的指示承担责任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紧急情况下代理人为了维护被代理人的利益需要，可以不经被代理人同意进行转委托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我国法的形式主要包括宪法、法律、行政法规、地方性法规、行政规章等。下列属于法律的有(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《建筑法》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《标准化法》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《安全生产许可证条例》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《安全生产法》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《建筑业安全卫生公约》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法的形式的含义包括(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创制机关的性质及级别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法律规范的地域效力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法律规范的内部表现形式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法律规范的期间效力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法律规范的效力等级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工程建设法律关系由(   )等要素构成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主体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客体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事件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《建设工程质量管理条例》规定的行政处罚包括(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拘役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行政拘留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责令停业整改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吊销企业营业执照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关于土地权属的说法，正确的有（）。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城市郊区的土地归国家所有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自留地归集体所有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城市市区土地归国家所有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农村土地均归集体所有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宅基地归农民个人所有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关于建设用地使用权的说法，正确的有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建设用地使用权只可以在地表和地下设立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建设用地使用权只能存在于国家所有的土地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设立建设用地使用权严禁采用划拨方式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建设用地使用权人不得自行改变土地用途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建设用地使用权期间届满的，自动续期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关于知识产权法律特征的说法，正确的是（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具有财产权和人身权双重属性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效力不受地域限制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仅在法律规定的期限内受到法律保护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不存在排他性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是权利人对其创造的智力成果依法享有的权利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《民法典》规定，建筑物、构筑物或其他设施倒塌、塌陷造成他人损害，正确的有（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由建筑工程五方责任主体承担连带责任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即使建设单位与施工单位证明不存在质量缺陷的，也要承担侵权责任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如果是设计错误导致质量缺陷，由设计单位承担侵权责任。建设单位和施工单位免除责任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如果是设计错误导致质量缺陷，建设单位和施工单位赔偿后，有权向设计单位追偿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因使用人在装修中拆除承重墙导致的，则由使用人承担责任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在我国《担保法》规定的五种担保方式中，既允许债务人用自己的财产也可以用第三人财产向债权人提供担保的方式有（）。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抵押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动产质押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留置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根据《担保法》，除双方认为需要约定的其他事项外，下列条款中，属于保证合同应当包含的内容有（）。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被保证的主债权种类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保证人的资产状况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保证的期间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保证的方式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保证担保的范围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关于建设工程保险的说法，正确的有（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筑工程一切险的被保险人可以是业主，也可以是承包商或者分包商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工程开工前，承包商应为建设工程办理保险，支付保险费用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工程开工前，业主应为施工现场从事危险作业的施工人员办理意外伤害保险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建筑工程一切险的保险期限可以超过保险单明细表中列明的保险生效日和终止日15天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安装工程一切险的保险期内，一般应包括一个试车考核期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根据《建筑工程施工许可管理办法》，不需要办理施工许可证的建筑工程有（）。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建筑面积200平方米的房屋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抢险救灾工程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城市大型立交桥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城市居住小区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实行开工报告审批制度的建筑工程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不需要领取施工许可证的条件是（）。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工程投资额在30万元以下的建筑工程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建筑面积在300平方米以下的建筑工程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实行开工报告审批制度的建筑工程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政府行政办公用工程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工期不超过1年的工程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根据《建筑法》及相关法规，建设单位应当办理施工许可证的工程是（）。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国务院批准开工报告的工程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建筑面积200平方米以上的农民自建低层住宅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城镇市政基础设施工程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工程投资额在20万元以上的工程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依法通过竞争性谈判或单一来源方式确定供应商的政府采购工程建设项目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根据《建设工程施工许可管理办法》，下列工程项目需要申请施工许可证的是（）。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部队导弹发射塔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长江汛期抢险工程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农民自建低层住宅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灾后重建工程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依法通过单一来源方式确定供应商的政府采购工程建设项目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根据《建设工程施工许可管理办法》，下列工程项目无需申请施工许可证的是（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北京故宫修缮工程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长江汛期抢险工程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工地上的工人宿舍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某私人投资工程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农民自建高层住宅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下列关于企业资质变更的表述中，正确的是（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企业合并的，合并后存续或新生企业可承继合并前各方中较高的资质等级，但应符合相应的条件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企业分立的，分立后的资质等级按实际达到的资质标准和规定的审批程序核定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企业改制的，即使改制后资质条件未发生变化的，也要重新核定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企业资质证书的变更，由国务院建设行政主管部门负责办理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企业资质证书的变更，由企业工商注册所在地的建设主管部门负责办理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根据《工程建设项目招标范围和规模标准规定》，必须招标范围内的各类工程建设项目，达到下列标准之一必须进行招标的有（）。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材料采购的单项合同估算价为人民币80万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施工单项合同估算价为人民币300万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重要设备采购的单项合同估算价为人民币150万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监理服务采购的单项合同估算价为人民币60万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项目总投资额为人民币3500万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rPr>
              <w:t>多</w:t>
            </w:r>
            <w:r>
              <w:rPr>
                <w:kern w:val="0"/>
                <w:sz w:val="18"/>
                <w:szCs w:val="18"/>
              </w:rPr>
              <w:t xml:space="preserve">选题 </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根据2015年《政府采购法实施条例》和2013年《电子招标投标办法》的规定，下列说法错误的是（）。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政府采购工程依法不进行招标的，应当只能依照竞争性谈判方式进行采购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政府采购工程依法不进行招标的，可以依照单一来源采购方式进行采购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招标投标交易场所可以以营利为目的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数据电文形式与纸质形式的招标投标活动的法律效力不同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投标截止时间后送达的投标文件，电子招标投标交易平台可以拒收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关于电子招标投标的说法，正确的有（）。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投标人在投标截止时间前可以撤回投标文件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数据电文形式与纸质形式的招标投标活动具有同等法律效力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投标截止时间后送达的投标文件，电子招标投标平台不得拒收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依法必须进行公开招标项目的招标公告应当在电子招标投标交易平台和国家指定的招标公告媒介同步发布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投标人应当在投标截止时间前完成投标文件的传输递交，但不可补充、修改投标文件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根据2014年《建筑工程施工转包违法分包等违法行为认定查处管理办法（试行）》的规定，下列情形中属于违法发包的有（）。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建设单位将工程发包给不具有相应资质或安全生产许可的施工单位的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总承包单位将建设工程分包给不具备相应资质条件的单位的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建设单位将一个单位工程的施工分解成若干部分发包给不同的施工总承包或专业承包单位的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施工总承包单位将建设工程主体结构的施工分包给其他单位的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分包单位将其承包的建设工程再分包的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甲建设单位发包某大型工程项目，乙是总承包单位，丙是具有相应专业承包资质的施工单位，丁是具有劳务分包资质的施工单位。下列关于该项目发包、分包的说法中，正确的有（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乙可以将专业工程分包给丙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丙可以将劳务作业分包给丁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乙可以将劳务作业分包给丁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甲可以将专业工程发包给丙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甲可以将劳务作业分包给丁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建设工程发承包，《建筑法》作出禁止规定的有（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将建筑工程肢解发包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承包人将其承包的建筑工程分包他人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承包人超越本企业资质等级许可的业务范围承揽工程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分包人将其承包的工程再分包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两个不同资质等级的单位职合共同承包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下列责任种类中，属于行政处罚的有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行政拘留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排除妨碍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没收财产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关于法律责任的说法，正确的有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252525"/>
                <w:kern w:val="0"/>
                <w:sz w:val="18"/>
                <w:szCs w:val="18"/>
                <w:u w:val="none"/>
                <w:lang w:val="en-US" w:eastAsia="zh-CN" w:bidi="ar"/>
              </w:rPr>
              <w:t>法律责任是因违反法律上的义务而形成的法律后果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法律责任的认定和追究，只能由司法机关依法定程序进行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法律明确规定了法律责任的范围和性质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法律责任即承担不利的法律后果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法律责任的实现由国家强制力作为保障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关于法律责任的说法，正确的有（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法律责任是因违反法律上的义务而形成的法律后果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法律责任的认定和追究，只能由司法机关依法定程序进行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法律明确规定了法律责任的范围和性质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法律责任即承担不利的法律后果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法律责任的实现由国家强制力作为保障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根据《全国建筑市场各方主体不良行为记录认定标准》，属于工程质量不良行为的有（）。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允许其他单位或个人以本单位名义承揽工程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将承揽的工程转包或者违法分包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施工前未对有关安全施工的技术要求作出详细说明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未按照节能设计进行施工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不履行保修义务或者拖延履行保修义务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施工企业承揽业务不良行为的认定标准有（）。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以欺骗手段取得资质证书的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工程竣工验收后，不向建设单位出具质量保修书的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以他人名义投标或以其他方式弄虚作假，骗取中标的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将承包的工程转包或违法分包的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以向评标委员会成员行贿的手段谋取中标的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建设工程施工合同无效，将会产生的法律后果（）。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折价补偿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合同解除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根据我国法律规定，下列合同转让行为无效的是（）。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甲将中标的某项目全部转让给乙施工单位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甲将自己对乙单位的一笔债务部分转让给丙公司，随后通知乙单位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甲将中标的某项目的劳务作业全部分包给具有相应资质的丁企业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甲不顾合同约定的不得转让债权条款，将自己对乙单位的一笔债权转让给丙公司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甲将自己对乙单位的一笔债权转让给丙公司，随后通知乙单位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当事人另有约定的除外，承揽合同的承揽人应当以自己的（）完成主要工作。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劳力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ind w:left="0" w:leftChars="0" w:firstLine="0" w:firstLineChars="0"/>
      </w:pPr>
    </w:p>
    <w:tbl>
      <w:tblPr>
        <w:tblStyle w:val="4"/>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08-02-0001-02-040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关于安全专项施工方案审核的说法，正确的有（）。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rFonts w:hint="eastAsia"/>
                <w:sz w:val="18"/>
                <w:szCs w:val="18"/>
              </w:rPr>
            </w:pPr>
            <w:r>
              <w:rPr>
                <w:rFonts w:hint="eastAsia" w:ascii="宋体" w:hAnsi="宋体" w:eastAsia="宋体" w:cs="宋体"/>
                <w:i w:val="0"/>
                <w:iCs w:val="0"/>
                <w:color w:val="000000"/>
                <w:kern w:val="0"/>
                <w:sz w:val="18"/>
                <w:szCs w:val="18"/>
                <w:u w:val="none"/>
                <w:lang w:val="en-US" w:eastAsia="zh-CN" w:bidi="ar"/>
              </w:rPr>
              <w:t>专项方案应当由施工企业技术部门组织本企业施工技术、安全、质量等部门的专项技术人员进行审核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专项方案经审核合格的，由施工企业安全部门负责人签字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实行施工总承包的，专项方案应当由总承包企业技术负责人及相关专业承包单位技术负责人签字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不需专家论证的专项方案，经施工企业审核合格后报监理单位，由项目总监理工程师审核签字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超过一定规模的危险性较大的分部分项工程专项方案应当由施工企业组织召开专家论证会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ind w:left="0" w:leftChars="0" w:firstLine="0" w:firstLineChars="0"/>
      </w:pPr>
    </w:p>
    <w:p>
      <w:pPr>
        <w:spacing w:line="360" w:lineRule="auto"/>
        <w:rPr>
          <w:rFonts w:hint="eastAsia" w:hAnsi="宋体"/>
          <w:b w:val="0"/>
          <w:bCs/>
          <w:sz w:val="18"/>
          <w:szCs w:val="18"/>
          <w:lang w:val="en-US" w:eastAsia="zh-CN"/>
        </w:rPr>
      </w:pPr>
      <w:r>
        <w:rPr>
          <w:rFonts w:hint="eastAsia" w:hAnsi="宋体"/>
          <w:sz w:val="18"/>
          <w:szCs w:val="18"/>
          <w:lang w:eastAsia="zh-CN"/>
        </w:rPr>
        <w:t>判断题：</w:t>
      </w:r>
      <w:r>
        <w:rPr>
          <w:rFonts w:hint="eastAsia" w:hAnsi="宋体"/>
          <w:b w:val="0"/>
          <w:bCs/>
          <w:sz w:val="18"/>
          <w:szCs w:val="18"/>
          <w:lang w:val="en-US" w:eastAsia="zh-CN"/>
        </w:rPr>
        <w:t>08-02-0001-03-001</w:t>
      </w:r>
    </w:p>
    <w:tbl>
      <w:tblPr>
        <w:tblStyle w:val="4"/>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08-02-0001-03-001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7"/>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p>
        </w:tc>
      </w:tr>
    </w:tbl>
    <w:p>
      <w:pPr>
        <w:ind w:left="0" w:leftChars="0" w:firstLine="0" w:firstLineChars="0"/>
      </w:pPr>
    </w:p>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965DAB"/>
    <w:rsid w:val="3B2A44F7"/>
    <w:rsid w:val="52131F71"/>
    <w:rsid w:val="52225E25"/>
    <w:rsid w:val="588F0C27"/>
    <w:rsid w:val="5E301FCE"/>
    <w:rsid w:val="6A241A50"/>
    <w:rsid w:val="7A376B8B"/>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3">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表格内文字"/>
    <w:basedOn w:val="1"/>
    <w:qFormat/>
    <w:uiPriority w:val="0"/>
    <w:pPr>
      <w:spacing w:line="240" w:lineRule="auto"/>
      <w:ind w:firstLine="0" w:firstLineChars="0"/>
      <w:jc w:val="center"/>
    </w:pPr>
    <w:rPr>
      <w:sz w:val="21"/>
      <w:szCs w:val="21"/>
    </w:rPr>
  </w:style>
  <w:style w:type="character" w:customStyle="1" w:styleId="7">
    <w:name w:val="样式 正文 +"/>
    <w:qFormat/>
    <w:uiPriority w:val="0"/>
    <w:rPr>
      <w:rFonts w:eastAsia="宋体"/>
      <w:kern w:val="0"/>
      <w:sz w:val="21"/>
    </w:rPr>
  </w:style>
  <w:style w:type="character" w:customStyle="1" w:styleId="8">
    <w:name w:val="font11"/>
    <w:basedOn w:val="5"/>
    <w:qFormat/>
    <w:uiPriority w:val="0"/>
    <w:rPr>
      <w:rFonts w:hint="eastAsia" w:ascii="宋体" w:hAnsi="宋体" w:eastAsia="宋体" w:cs="宋体"/>
      <w:color w:val="252525"/>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陈丹</cp:lastModifiedBy>
  <dcterms:modified xsi:type="dcterms:W3CDTF">2022-02-12T08:53:13Z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02BE2065A5B444369FF8B2806420D838</vt:lpwstr>
  </property>
</Properties>
</file>