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w:t>
            </w:r>
            <w:bookmarkStart w:id="0" w:name="_GoBack"/>
            <w:bookmarkEnd w:id="0"/>
            <w:r>
              <w:rPr>
                <w:rFonts w:hint="default" w:ascii="Times New Roman Regular" w:hAnsi="Times New Roman Regular" w:cs="Times New Roman Regular"/>
                <w:kern w:val="0"/>
                <w:sz w:val="18"/>
                <w:szCs w:val="18"/>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9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施工质量保证体系的运行，应以质量（    ）为主线，以过程管理为重心，按照PDCA循环的原理方式展开控制</w:t>
            </w:r>
            <w:r>
              <w:rPr>
                <w:rFonts w:hint="eastAsia"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6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方针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宗旨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寻找影响质量的主次因素可以采用的方法是（       </w:t>
            </w:r>
            <w:r>
              <w:rPr>
                <w:rFonts w:hint="eastAsia" w:ascii="Times New Roman Regular" w:hAnsi="Times New Roman Regular" w:cs="Times New Roman Regular"/>
                <w:kern w:val="0"/>
                <w:sz w:val="18"/>
                <w:szCs w:val="18"/>
                <w:lang w:eastAsia="zh-Hans"/>
              </w:rPr>
              <w:t>）。</w:t>
            </w:r>
          </w:p>
        </w:tc>
      </w:tr>
      <w:tr>
        <w:trPr>
          <w:trHeight w:val="384"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排列图法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因果分析图法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直方图法</w:t>
            </w:r>
          </w:p>
        </w:tc>
      </w:tr>
      <w:tr>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控制图法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施工安全技术交底的主要内容之一是做好“四口”、“五临边”的防护设施，其中“四口”是指（      ）。</w:t>
            </w:r>
          </w:p>
        </w:tc>
      </w:tr>
      <w:tr>
        <w:trPr>
          <w:trHeight w:val="384"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通道口、楼梯口、电梯井口、工地人口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通道口、楼梯口、电梯井口、预留洞口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通道口、楼梯口、电梯井口、工地出口 参考答案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工地入口、楼梯口、电梯井口、预留洞口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在功能成本表达式V=F/C中，V表示（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成本系数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价值系数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价值功能量</w:t>
            </w:r>
          </w:p>
        </w:tc>
      </w:tr>
      <w:tr>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功能系数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在价值工程中，应优先作为改进的对象，其价值系数为（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V＞1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V=1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V＜1</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V≠1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下列关于网络计划的说法，正确的是（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一个网络计划只有一条关键线路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一个网络计划可能有多条关键线路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由关键工作组成的线路称为非关键线路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网络计划中允许存在循环回路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质量保证体系必须有明确的质量目标，确定质量目标的基本依据是（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质量手册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质量计划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工程承包合同</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程序文件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启动竣工验收备案的程序后，建筑工程竣工验收合格之日起（      ）内，建设单位应按程序办理竣工备案手续</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28d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在工程网络计划中，M工作的最早开始时间为第16天，其持续时间为4天，该工作有三项紧后工作，它们的最早开始时间分别为第22天、第23天、第25天，则M工作的自由时差为（       ）天。</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Style w:val="8"/>
                <w:rFonts w:hint="default" w:ascii="Times New Roman Regular" w:hAnsi="Times New Roman Regular" w:cs="Times New Roman Regular"/>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计算工期、要求工期和计划工期三者的关系（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c</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p</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r</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c</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r</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p</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r</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c</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p</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p</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r</w:t>
            </w:r>
            <w:r>
              <w:rPr>
                <w:rStyle w:val="8"/>
                <w:rFonts w:hint="eastAsia" w:ascii="Times New Roman Regular" w:hAnsi="Times New Roman Regular" w:cs="Times New Roman Regular"/>
                <w:sz w:val="18"/>
                <w:szCs w:val="18"/>
                <w:lang w:val="en-US" w:eastAsia="zh-Hans"/>
              </w:rPr>
              <w:t>≤</w:t>
            </w:r>
            <w:r>
              <w:rPr>
                <w:rStyle w:val="8"/>
                <w:rFonts w:hint="default" w:ascii="Times New Roman Regular" w:hAnsi="Times New Roman Regular" w:cs="Times New Roman Regular"/>
                <w:sz w:val="18"/>
                <w:szCs w:val="18"/>
              </w:rPr>
              <w:t>T</w:t>
            </w:r>
            <w:r>
              <w:rPr>
                <w:rStyle w:val="8"/>
                <w:rFonts w:hint="default" w:ascii="Times New Roman Regular" w:hAnsi="Times New Roman Regular" w:cs="Times New Roman Regular"/>
                <w:sz w:val="18"/>
                <w:szCs w:val="18"/>
                <w:vertAlign w:val="subscript"/>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进行施工平面设计时，首先布置的一般是（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起重机械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混凝土搅拌站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运输道路</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材料及构配件堆放场地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在双代号网络图中，如果某节点既有指向它的箭线，又有背离它的箭线那么该节点称为（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起点节点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中间节点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终点节点</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所有节点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《建设工程安全生产管理条例》第十四条规定，工程监理单位和监理工程师对建设工程安全生产承担（      ）</w:t>
            </w:r>
            <w:r>
              <w:rPr>
                <w:rFonts w:hint="eastAsia" w:ascii="Times New Roman Regular" w:hAnsi="Times New Roman Regular" w:cs="Times New Roman Regular"/>
                <w:kern w:val="0"/>
                <w:sz w:val="18"/>
                <w:szCs w:val="18"/>
                <w:lang w:eastAsia="zh-Hans"/>
              </w:rPr>
              <w:t>。</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领导责任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经济责任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监理责任</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某项目建设期为2年，各年投资计划额分别为：第一年投资6500万元，第二年投资9000万元，年均价格上涨率为8%，则该项目建设期的涨价预备费为（      ）万元。</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2704.82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1356.3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1099.2</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1497.6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欲在3年后偿还100万元借款，拟在每年年末存入银行一定数额的款项，若存款年利率为10%，则每年末存款额应为（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27.55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30.21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30.30</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建设工程进度网络计划与横道计划相比，其主要优点是能够（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明确表达各项工作之间的逻辑关系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直观表达工程进度计划的计算工期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明确表达各项工作之间的搭接时间</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直观表示各项工作的持续时间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单位工程施工组织设计由（      ）编制。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项目技术负责人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项目经理</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技术负责人授权的技术人员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民用建筑设计方案技术经济分析指标体系中只能使用定性评价指标的是（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住宅的平面系数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劳动量消耗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通风</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平均每套良好朝向卧室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横道图计划的特点之一是（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适用于大的进度计划系统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能方便地确定关键工作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工作之间的逻辑关系不易表达清楚</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计划调整只能采用计算机进行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下列属于分部分项工程施工进度计划优化组织措施的是（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增加1台塔吊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采用新工艺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提高员工津贴</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采用先进的施工机械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单位工程施工组织设计的核心内容是（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施工进度计划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施工平面图</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工程施工过程中实施三级安全教育指的是（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企业法定代表人、项目负责人、班组长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公司、项目、班组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总包单位、分包单位、工程项目</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分包单位、工程项目、班组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在建筑工程施工质量验收统一标准中，（      ）是指对安全、卫生、环境保护和公众利益起决定性作用的检验项目。</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主控项目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一般项目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保证项目</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基本项目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建筑工程事故发生后，应在（      ）内，以口头、电话或者书面形式报告有关部门。</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8h</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12h</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24h</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48h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按质量控制进行质量活动前的准备工作状态的控制属于（      ）的内容。</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反馈控制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事前控制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事中控制</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事后控制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施工质量影响因素主要有“4M1E”，其中“1E”指的是（）。</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机械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环境</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价值工程中总成本是指（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生产成本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产品寿命周期成本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使用成本</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使用和维修费用成本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下列控制方法可以用于质量控制的是（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S曲线控制法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网络图法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流水施工图法</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控制图法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工程项目质量管理的PDCA循环的含义是（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计划、检查、实施、处理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检查、计划、实施、处理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计划、实施、检查、处理</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检查、计划、处理、实施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分项工程验收合格的条件，除其所含检验批合格外，还应（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质量控制资料完整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观感质量验收应符合要求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质量验收记录应完整</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主要功能项目抽查结果应符合规定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流水施工中，相邻两个专业队组相继投入工作的时间间隔称为（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流水步距</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流水节拍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技术间歇</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组织间歇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异常直方图呈偏态分布，下列不属于常见的异常直方图的是（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脉冲型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缓坡型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孤岛型</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峭壁型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施工现场砂、石和水泥的存放位置应该是（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在搅拌机（站）附近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在起重运输机械附近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在运输道路附近</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空旷之处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在组织流水施工时，某个专业工作队在一个施工段上的施工时间称为（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流水步距</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流水节拍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技术间歇</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组织间歇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一项100万元的借款，借款期5年，年利率8%，若半年复利计息一次，则年有效利率会高出名义利率（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0.16%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0.24%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0.8%</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网络计划中，所用的虚箭头的特点有（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有名称，既消耗时间，又消耗资源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无名称，既消耗时间，又消耗资源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无名称，只消耗时间，不消耗资源</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无名称，不消耗时间，不消耗资源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固定资产静态投资包括建筑安装工程费、设备及工器具购置费、工程建设其他费用和（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固定资产投资方向调节税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建设期利息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涨价预备费</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基本预备费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在网络图中，总时差与自由时差的关系是（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总时差小于或等于自由时差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总时差大于或等于自由时差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总时差一定大于自由时差</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总时差一定小于自由时差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下列异常直方图中，可能由于将两组数据混在一起所造成的是（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drawing>
                <wp:anchor distT="0" distB="0" distL="0" distR="0" simplePos="0" relativeHeight="1024" behindDoc="0" locked="0" layoutInCell="1" allowOverlap="1">
                  <wp:simplePos x="0" y="0"/>
                  <wp:positionH relativeFrom="page">
                    <wp:posOffset>27940</wp:posOffset>
                  </wp:positionH>
                  <wp:positionV relativeFrom="paragraph">
                    <wp:posOffset>44450</wp:posOffset>
                  </wp:positionV>
                  <wp:extent cx="1507490" cy="1418590"/>
                  <wp:effectExtent l="0" t="0" r="16510" b="3810"/>
                  <wp:wrapTopAndBottom/>
                  <wp:docPr id="7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24.jpeg"/>
                          <pic:cNvPicPr>
                            <a:picLocks noChangeAspect="1"/>
                          </pic:cNvPicPr>
                        </pic:nvPicPr>
                        <pic:blipFill>
                          <a:blip r:embed="rId5" cstate="print"/>
                          <a:stretch>
                            <a:fillRect/>
                          </a:stretch>
                        </pic:blipFill>
                        <pic:spPr>
                          <a:xfrm>
                            <a:off x="0" y="0"/>
                            <a:ext cx="1507490" cy="1418590"/>
                          </a:xfrm>
                          <a:prstGeom prst="rect">
                            <a:avLst/>
                          </a:prstGeom>
                        </pic:spPr>
                      </pic:pic>
                    </a:graphicData>
                  </a:graphic>
                </wp:anchor>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drawing>
                <wp:anchor distT="0" distB="0" distL="0" distR="0" simplePos="0" relativeHeight="1024" behindDoc="0" locked="0" layoutInCell="1" allowOverlap="1">
                  <wp:simplePos x="0" y="0"/>
                  <wp:positionH relativeFrom="page">
                    <wp:posOffset>-1417320</wp:posOffset>
                  </wp:positionH>
                  <wp:positionV relativeFrom="paragraph">
                    <wp:posOffset>-176530</wp:posOffset>
                  </wp:positionV>
                  <wp:extent cx="1532890" cy="1418590"/>
                  <wp:effectExtent l="0" t="0" r="16510" b="3810"/>
                  <wp:wrapTopAndBottom/>
                  <wp:docPr id="7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25.jpeg"/>
                          <pic:cNvPicPr>
                            <a:picLocks noChangeAspect="1"/>
                          </pic:cNvPicPr>
                        </pic:nvPicPr>
                        <pic:blipFill>
                          <a:blip r:embed="rId6" cstate="print"/>
                          <a:stretch>
                            <a:fillRect/>
                          </a:stretch>
                        </pic:blipFill>
                        <pic:spPr>
                          <a:xfrm>
                            <a:off x="0" y="0"/>
                            <a:ext cx="1532890" cy="1418590"/>
                          </a:xfrm>
                          <a:prstGeom prst="rect">
                            <a:avLst/>
                          </a:prstGeom>
                        </pic:spPr>
                      </pic:pic>
                    </a:graphicData>
                  </a:graphic>
                </wp:anchor>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sz w:val="20"/>
              </w:rPr>
              <w:drawing>
                <wp:inline distT="0" distB="0" distL="0" distR="0">
                  <wp:extent cx="1558290" cy="1368425"/>
                  <wp:effectExtent l="0" t="0" r="16510" b="3175"/>
                  <wp:docPr id="8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26.jpeg"/>
                          <pic:cNvPicPr>
                            <a:picLocks noChangeAspect="1"/>
                          </pic:cNvPicPr>
                        </pic:nvPicPr>
                        <pic:blipFill>
                          <a:blip r:embed="rId7" cstate="print"/>
                          <a:stretch>
                            <a:fillRect/>
                          </a:stretch>
                        </pic:blipFill>
                        <pic:spPr>
                          <a:xfrm>
                            <a:off x="0" y="0"/>
                            <a:ext cx="1558194" cy="1368171"/>
                          </a:xfrm>
                          <a:prstGeom prst="rect">
                            <a:avLst/>
                          </a:prstGeom>
                        </pic:spPr>
                      </pic:pic>
                    </a:graphicData>
                  </a:graphic>
                </wp:inline>
              </w:drawing>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drawing>
                <wp:anchor distT="0" distB="0" distL="0" distR="0" simplePos="0" relativeHeight="1024" behindDoc="0" locked="0" layoutInCell="1" allowOverlap="1">
                  <wp:simplePos x="0" y="0"/>
                  <wp:positionH relativeFrom="page">
                    <wp:posOffset>-1417320</wp:posOffset>
                  </wp:positionH>
                  <wp:positionV relativeFrom="paragraph">
                    <wp:posOffset>154305</wp:posOffset>
                  </wp:positionV>
                  <wp:extent cx="1570990" cy="1393190"/>
                  <wp:effectExtent l="0" t="0" r="3810" b="3810"/>
                  <wp:wrapTopAndBottom/>
                  <wp:docPr id="83"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27.jpeg"/>
                          <pic:cNvPicPr>
                            <a:picLocks noChangeAspect="1"/>
                          </pic:cNvPicPr>
                        </pic:nvPicPr>
                        <pic:blipFill>
                          <a:blip r:embed="rId8" cstate="print"/>
                          <a:stretch>
                            <a:fillRect/>
                          </a:stretch>
                        </pic:blipFill>
                        <pic:spPr>
                          <a:xfrm>
                            <a:off x="0" y="0"/>
                            <a:ext cx="1570990" cy="1393190"/>
                          </a:xfrm>
                          <a:prstGeom prst="rect">
                            <a:avLst/>
                          </a:prstGeom>
                        </pic:spPr>
                      </pic:pic>
                    </a:graphicData>
                  </a:graphic>
                </wp:anchor>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双代号网络图的三要素之一有（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施工过程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流水节拍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事件</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编号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下列内容中，不属于单位工程施工组织设计的内容的是（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施工进度计划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施工平面图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施工日志</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按复利10%将100万元存入银行，则第3年末的本利和为（      ）万元。</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126.25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133.10</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331.00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下列对于采用前锋线进行实际进度与计划进度的比较中，不正确的是（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工作实际进展位置点落在检查日期的左侧，表明该工作实际进度拖后，影响工期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工作实际进展位置点与检查日期重合，表明该工作实际进度与计划进度一致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工作实际进展位置点落在检查日期的右侧，表明该工作实际进度超前</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可用来分析和预测工程项目整体进度状况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下列各项中属于流水施工中空间参数的是（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流水强度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施工队数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操作层数</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施工过程数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原设计用煤渣打一地坪，造价60万元以上，后经分析用某工程废料代替煤渣，既保持了原有的坚实的功能，又节省投资20万元。根据价值工程原理，这体现了提高价值的（）途径。</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功能提高，成本不变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功能不变，成本降低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功能和成本都提高，但功能提高幅度更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功能提高，成本降低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按照安全文明施工的有关规定，施工现场大门内必须设置明显的五牌一图，即工程概况牌、安全生产制度牌、文明施工制度牌、环境保护制度牌、消防保卫制度牌和（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施工进度横道图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工程项目效果图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施工网络图</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施工现场平面布置图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在工程网络计划中，关键工作是指网络计划中（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总时差为零的工作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总时差最小的工作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自由时差为零的工作</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自由时差最小的工作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某新建项目的建设期为3年，各年的贷款额分别为500万元、800万元、600万元，年利率为16%，则建设期贷款利息为（）万元</w:t>
            </w:r>
            <w:r>
              <w:rPr>
                <w:rFonts w:hint="eastAsia" w:ascii="Times New Roman Regular" w:hAnsi="Times New Roman Regular" w:cs="Times New Roman Regular"/>
                <w:kern w:val="0"/>
                <w:sz w:val="18"/>
                <w:szCs w:val="18"/>
                <w:lang w:eastAsia="zh-Hans"/>
              </w:rPr>
              <w:t>。</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152.9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265.4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361.5</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476.86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应用S曲线比较法时，通过比较实际进度S曲线和计划进度S曲线，可以（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明实际进度是否匀速开展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得到工程项目实际超额或拖欠的任务量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预测偏差对后续工作及工期的影响</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表明对工作总时差的利用情况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某工程监理单位在实施监理的过程中，发现施工单位存在安全事故隐患，则该工程监理单位应当（      ）</w:t>
            </w:r>
            <w:r>
              <w:rPr>
                <w:rFonts w:hint="eastAsia" w:ascii="Times New Roman Regular" w:hAnsi="Times New Roman Regular" w:cs="Times New Roman Regular"/>
                <w:kern w:val="0"/>
                <w:sz w:val="18"/>
                <w:szCs w:val="18"/>
                <w:lang w:eastAsia="zh-Hans"/>
              </w:rPr>
              <w:t>。</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向建设单位报告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向有关主管部门报告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要求施工单位全面停工</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要求施工单位整改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监理单位在进行施工质量验收中，检验批质量验收记录应由（      ）填写验收结论并签字认可。</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施工单位专职质检员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施工单位项目经理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专业监理工程师</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下列异常直方图中，可能由于分组不当或者组距确定不当引起的是（）。</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drawing>
                <wp:anchor distT="0" distB="0" distL="0" distR="0" simplePos="0" relativeHeight="1024" behindDoc="0" locked="0" layoutInCell="1" allowOverlap="1">
                  <wp:simplePos x="0" y="0"/>
                  <wp:positionH relativeFrom="page">
                    <wp:posOffset>55880</wp:posOffset>
                  </wp:positionH>
                  <wp:positionV relativeFrom="paragraph">
                    <wp:posOffset>360680</wp:posOffset>
                  </wp:positionV>
                  <wp:extent cx="2082800" cy="702945"/>
                  <wp:effectExtent l="0" t="0" r="0" b="8255"/>
                  <wp:wrapTopAndBottom/>
                  <wp:docPr id="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3.jpeg"/>
                          <pic:cNvPicPr>
                            <a:picLocks noChangeAspect="1"/>
                          </pic:cNvPicPr>
                        </pic:nvPicPr>
                        <pic:blipFill>
                          <a:blip r:embed="rId9" cstate="print"/>
                          <a:stretch>
                            <a:fillRect/>
                          </a:stretch>
                        </pic:blipFill>
                        <pic:spPr>
                          <a:xfrm>
                            <a:off x="0" y="0"/>
                            <a:ext cx="2082800" cy="702945"/>
                          </a:xfrm>
                          <a:prstGeom prst="rect">
                            <a:avLst/>
                          </a:prstGeom>
                        </pic:spPr>
                      </pic:pic>
                    </a:graphicData>
                  </a:graphic>
                </wp:anchor>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sz w:val="20"/>
              </w:rPr>
              <w:drawing>
                <wp:inline distT="0" distB="0" distL="0" distR="0">
                  <wp:extent cx="2028190" cy="699135"/>
                  <wp:effectExtent l="0" t="0" r="3810" b="12065"/>
                  <wp:docPr id="6"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4.jpeg"/>
                          <pic:cNvPicPr>
                            <a:picLocks noChangeAspect="1"/>
                          </pic:cNvPicPr>
                        </pic:nvPicPr>
                        <pic:blipFill>
                          <a:blip r:embed="rId10" cstate="print"/>
                          <a:stretch>
                            <a:fillRect/>
                          </a:stretch>
                        </pic:blipFill>
                        <pic:spPr>
                          <a:xfrm>
                            <a:off x="0" y="0"/>
                            <a:ext cx="2028190" cy="699135"/>
                          </a:xfrm>
                          <a:prstGeom prst="rect">
                            <a:avLst/>
                          </a:prstGeom>
                        </pic:spPr>
                      </pic:pic>
                    </a:graphicData>
                  </a:graphic>
                </wp:inline>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drawing>
                <wp:anchor distT="0" distB="0" distL="0" distR="0" simplePos="0" relativeHeight="1024" behindDoc="0" locked="0" layoutInCell="1" allowOverlap="1">
                  <wp:simplePos x="0" y="0"/>
                  <wp:positionH relativeFrom="page">
                    <wp:posOffset>183515</wp:posOffset>
                  </wp:positionH>
                  <wp:positionV relativeFrom="paragraph">
                    <wp:posOffset>33655</wp:posOffset>
                  </wp:positionV>
                  <wp:extent cx="1592580" cy="806450"/>
                  <wp:effectExtent l="0" t="0" r="7620" b="6350"/>
                  <wp:wrapTopAndBottom/>
                  <wp:docPr id="7"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5.jpeg"/>
                          <pic:cNvPicPr>
                            <a:picLocks noChangeAspect="1"/>
                          </pic:cNvPicPr>
                        </pic:nvPicPr>
                        <pic:blipFill>
                          <a:blip r:embed="rId11" cstate="print"/>
                          <a:stretch>
                            <a:fillRect/>
                          </a:stretch>
                        </pic:blipFill>
                        <pic:spPr>
                          <a:xfrm>
                            <a:off x="0" y="0"/>
                            <a:ext cx="1592580" cy="806450"/>
                          </a:xfrm>
                          <a:prstGeom prst="rect">
                            <a:avLst/>
                          </a:prstGeom>
                        </pic:spPr>
                      </pic:pic>
                    </a:graphicData>
                  </a:graphic>
                </wp:anchor>
              </w:drawing>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sz w:val="20"/>
              </w:rPr>
              <w:drawing>
                <wp:anchor distT="0" distB="0" distL="0" distR="0" simplePos="0" relativeHeight="2048" behindDoc="0" locked="0" layoutInCell="1" allowOverlap="1">
                  <wp:simplePos x="0" y="0"/>
                  <wp:positionH relativeFrom="column">
                    <wp:posOffset>0</wp:posOffset>
                  </wp:positionH>
                  <wp:positionV relativeFrom="paragraph">
                    <wp:posOffset>229870</wp:posOffset>
                  </wp:positionV>
                  <wp:extent cx="2056765" cy="603250"/>
                  <wp:effectExtent l="0" t="0" r="635" b="6350"/>
                  <wp:wrapTopAndBottom/>
                  <wp:docPr id="8"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6.jpeg"/>
                          <pic:cNvPicPr>
                            <a:picLocks noChangeAspect="1"/>
                          </pic:cNvPicPr>
                        </pic:nvPicPr>
                        <pic:blipFill>
                          <a:blip r:embed="rId12" cstate="print"/>
                          <a:stretch>
                            <a:fillRect/>
                          </a:stretch>
                        </pic:blipFill>
                        <pic:spPr>
                          <a:xfrm>
                            <a:off x="0" y="0"/>
                            <a:ext cx="2056765" cy="603250"/>
                          </a:xfrm>
                          <a:prstGeom prst="rect">
                            <a:avLst/>
                          </a:prstGeom>
                        </pic:spPr>
                      </pic:pic>
                    </a:graphicData>
                  </a:graphic>
                </wp:anchor>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在双代号网络图中，虚工作（虚箭线）表示工作之间的（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停歇时间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总时差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逻辑关系</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根据施工阶段安全技术措施的要求，单项工程、单位工程均应有安全技术措施，分部分项工程应有安全技术具体措施，施工前由技术负责人向参加施工的有关人员进行安全技术交底，并应逐级签发和保存（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“安全交底任务单”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“安全整改任务单”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“安全责任任务单”</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安全检查任务单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某工程事故造成5人死亡，8人重伤，直接经济损失达2000万元。根据《生产安全事故报告和调查处理案例》，该事故等级为（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特别重大事故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较大事故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重大事故</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某工程分三个施工段组织流水施工，若甲、乙施工过程在各施工段上的流水节拍分别为5d、4 d、1 d和3 d、2 d、3 d，则甲、乙两个施工过程的流水步距为（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3 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 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 d</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 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标前施工组织设计中包括施工程序，施工方法选择，施工机械选用以及劳动力、资源、半成品的投入量是（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施工进度计划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施工准备工作</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标前施工组织设计的内容除施工方案，技术组织措施，平面布置以及其他有关投标和签约需要的设计外还有（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施工进度计划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降低成本措施计划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资源需要量计划</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技术经济指标分析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流水施工中，流水节拍是指（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eastAsia" w:ascii="Times New Roman Regular" w:hAnsi="Times New Roman Regular" w:cs="Times New Roman Regular"/>
                <w:kern w:val="0"/>
                <w:sz w:val="18"/>
                <w:szCs w:val="18"/>
              </w:rPr>
              <w:t>两相邻工作进入流水作业的最小时间间隔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某个专业队在一个施工段上的施工作业时间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某个工作队在施工段上作业时间的总和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某个工作队在施工段上的技术间歇时间的总和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某施工段的工程量为200m</w:t>
            </w:r>
            <w:r>
              <w:rPr>
                <w:rFonts w:hint="default" w:ascii="Times New Roman Regular" w:hAnsi="Times New Roman Regular" w:cs="Times New Roman Regular"/>
                <w:kern w:val="0"/>
                <w:sz w:val="18"/>
                <w:szCs w:val="18"/>
                <w:vertAlign w:val="superscript"/>
              </w:rPr>
              <w:t>3</w:t>
            </w:r>
            <w:r>
              <w:rPr>
                <w:rFonts w:hint="default" w:ascii="Times New Roman Regular" w:hAnsi="Times New Roman Regular" w:cs="Times New Roman Regular"/>
                <w:kern w:val="0"/>
                <w:sz w:val="18"/>
                <w:szCs w:val="18"/>
              </w:rPr>
              <w:t xml:space="preserve"> ，施工队的人数为25人，日产量0.8 m</w:t>
            </w:r>
            <w:r>
              <w:rPr>
                <w:rFonts w:hint="default" w:ascii="Times New Roman Regular" w:hAnsi="Times New Roman Regular" w:cs="Times New Roman Regular"/>
                <w:kern w:val="0"/>
                <w:sz w:val="18"/>
                <w:szCs w:val="18"/>
                <w:vertAlign w:val="superscript"/>
              </w:rPr>
              <w:t>3</w:t>
            </w:r>
            <w:r>
              <w:rPr>
                <w:rFonts w:hint="default" w:ascii="Times New Roman Regular" w:hAnsi="Times New Roman Regular" w:cs="Times New Roman Regular"/>
                <w:kern w:val="0"/>
                <w:sz w:val="18"/>
                <w:szCs w:val="18"/>
              </w:rPr>
              <w:t xml:space="preserve"> /人，则该队在该施工段的流水节拍为（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8天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12天</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组织等节奏流水，首要的前提是（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使各施工段的工程量基本相等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确定主导施工过程的流水节拍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使各施工过程的流水节拍相等</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调节各施工队的人数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某工程划分4个流水段，由两个施工班组进行等节奏流水施工，流水节拍为4天，则工期为（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16天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20天</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24天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有甲乙两个施工队，在三个施工段上施工，流水节拍如表所示，则其流水步距为（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1197"/>
              <w:gridCol w:w="1197"/>
              <w:gridCol w:w="1197"/>
            </w:tblGrid>
            <w:tr>
              <w:trPr>
                <w:trHeight w:val="360" w:hRule="atLeast"/>
                <w:jc w:val="center"/>
              </w:trPr>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班组</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一段</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二段</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三段</w:t>
                  </w:r>
                </w:p>
              </w:tc>
            </w:tr>
            <w:tr>
              <w:trPr>
                <w:trHeight w:val="360" w:hRule="atLeast"/>
                <w:jc w:val="center"/>
              </w:trPr>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甲队</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4天</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r>
            <w:tr>
              <w:trPr>
                <w:trHeight w:val="360" w:hRule="atLeast"/>
                <w:jc w:val="center"/>
              </w:trPr>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乙队</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2天</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c>
                <w:tcPr>
                  <w:tcW w:w="1197" w:type="dxa"/>
                  <w:noWrap w:val="0"/>
                  <w:vAlign w:val="top"/>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2天</w:t>
                  </w:r>
                </w:p>
              </w:tc>
            </w:tr>
          </w:tbl>
          <w:p>
            <w:pPr>
              <w:widowControl/>
              <w:jc w:val="left"/>
              <w:rPr>
                <w:rFonts w:hint="default" w:ascii="Times New Roman Regular" w:hAnsi="Times New Roman Regular" w:cs="Times New Roman Regular"/>
                <w:kern w:val="0"/>
                <w:sz w:val="18"/>
                <w:szCs w:val="18"/>
              </w:rPr>
            </w:pP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2天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4天</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如果施工流水作业中的流水步距相等，则该流水作业是（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必定是等节奏流水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必定是异节奏流水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必定是无节奏流水</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以上都不对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现有甲、乙、丙三个独立基础，分A、B、C、D四个施工过程，流水节拍如表所示。则该工程最短工期为（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1337"/>
              <w:gridCol w:w="1160"/>
              <w:gridCol w:w="1120"/>
            </w:tblGrid>
            <w:tr>
              <w:trPr>
                <w:jc w:val="center"/>
              </w:trPr>
              <w:tc>
                <w:tcPr>
                  <w:tcW w:w="1071"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施工过程</w:t>
                  </w:r>
                </w:p>
              </w:tc>
              <w:tc>
                <w:tcPr>
                  <w:tcW w:w="1337"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甲基础</w:t>
                  </w:r>
                </w:p>
              </w:tc>
              <w:tc>
                <w:tcPr>
                  <w:tcW w:w="116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乙基础</w:t>
                  </w:r>
                </w:p>
              </w:tc>
              <w:tc>
                <w:tcPr>
                  <w:tcW w:w="112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丙基础</w:t>
                  </w:r>
                </w:p>
              </w:tc>
            </w:tr>
            <w:tr>
              <w:trPr>
                <w:jc w:val="center"/>
              </w:trPr>
              <w:tc>
                <w:tcPr>
                  <w:tcW w:w="1071"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c>
                <w:tcPr>
                  <w:tcW w:w="1337"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4天</w:t>
                  </w:r>
                </w:p>
              </w:tc>
              <w:tc>
                <w:tcPr>
                  <w:tcW w:w="116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2天</w:t>
                  </w:r>
                </w:p>
              </w:tc>
              <w:tc>
                <w:tcPr>
                  <w:tcW w:w="112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r>
            <w:tr>
              <w:trPr>
                <w:jc w:val="center"/>
              </w:trPr>
              <w:tc>
                <w:tcPr>
                  <w:tcW w:w="1071"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c>
                <w:tcPr>
                  <w:tcW w:w="1337"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c>
                <w:tcPr>
                  <w:tcW w:w="116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c>
                <w:tcPr>
                  <w:tcW w:w="112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4天</w:t>
                  </w:r>
                </w:p>
              </w:tc>
            </w:tr>
            <w:tr>
              <w:trPr>
                <w:jc w:val="center"/>
              </w:trPr>
              <w:tc>
                <w:tcPr>
                  <w:tcW w:w="1071"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c>
                <w:tcPr>
                  <w:tcW w:w="1337"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c>
                <w:tcPr>
                  <w:tcW w:w="116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c>
                <w:tcPr>
                  <w:tcW w:w="112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2天</w:t>
                  </w:r>
                </w:p>
              </w:tc>
            </w:tr>
            <w:tr>
              <w:trPr>
                <w:jc w:val="center"/>
              </w:trPr>
              <w:tc>
                <w:tcPr>
                  <w:tcW w:w="1071"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1337"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4天</w:t>
                  </w:r>
                </w:p>
              </w:tc>
              <w:tc>
                <w:tcPr>
                  <w:tcW w:w="116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2天</w:t>
                  </w:r>
                </w:p>
              </w:tc>
              <w:tc>
                <w:tcPr>
                  <w:tcW w:w="1120" w:type="dxa"/>
                  <w:noWrap w:val="0"/>
                  <w:vAlign w:val="top"/>
                </w:tcPr>
                <w:p>
                  <w:pPr>
                    <w:widowControl/>
                    <w:jc w:val="center"/>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3天</w:t>
                  </w:r>
                </w:p>
              </w:tc>
            </w:tr>
          </w:tbl>
          <w:p>
            <w:pPr>
              <w:widowControl/>
              <w:jc w:val="left"/>
              <w:rPr>
                <w:rFonts w:hint="default" w:ascii="Times New Roman Regular" w:hAnsi="Times New Roman Regular" w:cs="Times New Roman Regular"/>
                <w:kern w:val="0"/>
                <w:sz w:val="18"/>
                <w:szCs w:val="18"/>
              </w:rPr>
            </w:pP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18天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19天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20天</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21天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下列内容中，不属于单位工程施工组织设计编制依据的是（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 xml:space="preserve">施工图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现场水文地质情况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预算文件</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项目可行性研究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如果A、B两项工作的最早开始时间分别为6d和7d，它们的持续时间分别为4d和5d，则它们共同紧后工作C的最早开始时间为（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10d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12d</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控制项目目标的主要措施中最主要的是(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管理措施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经济措施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组织措施</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在排列图中，横坐标表示的内容是(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不合格产品的频数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不合格产品的累计频数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影响产品质量的各因素或发生的质量问题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产品质量特性值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以下关于风险管理的工作流程排序正确的是(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风险分析、风险辨识、风险控制、风险转移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风险控制、风险转移、风险分析、风险辨识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风险辨识、风险分析、风险控制、风险转移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风险分析、风险辨识、风险转移，风险控制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通过信息技术在工程管理中的开发和应用能实现(     )，从而可提高数据传输的抗干扰能力，使数据传输不受距离限制并可提高数据传输的保真度和保密性。</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信息处理和变换的程序化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信息传输的数字化和电子化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信息流扁平化 </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信息存储数字化和存储相对集中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某建设工程项目的总承包商在该项目组织结构设计中采用了线性组织结构模式，这种组织结构的特点是(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每个工作部门只接受一个上线的直接领导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可能有多个矛盾的指令源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有横向和纵向两个指令源</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促进了管理专业化分工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组织结构模式反映一个组织系统中各子系统之间或各元素(各工作部门)之间的 (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逻辑关系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指令关系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组织关系</w:t>
            </w:r>
          </w:p>
        </w:tc>
      </w:tr>
      <w:tr>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命令关系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CN" w:bidi="ar-SA"/>
              </w:rPr>
              <w:t>某城市准备实施一个大型地铁建设项目。对于该项目的组织系统宜采用的组织结构模式是(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CN" w:bidi="ar-SA"/>
              </w:rPr>
              <w:t>矩阵组织结构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CN" w:bidi="ar-SA"/>
              </w:rPr>
              <w:t>项目结构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CN" w:bidi="ar-SA"/>
              </w:rPr>
              <w:t>线性组织结构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CN" w:bidi="ar-SA"/>
              </w:rPr>
              <w:t>职能组织结构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eastAsia="zh-CN"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下列选项中，属于进度控制主要工作环节的是(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采取纠偏措施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评审设计方案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进度控制工作管理职能分工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编制项目进度控制工作流程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施工安全控制的特点不包括(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控制面广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控制的动态性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建设工程项目的分散性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控制的严谨性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项目的目标控制是项目管理的(    )任务。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关键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核心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主要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下列关于施工成本分析依据的说法中正确的是(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会计核算主要是成本核算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业务核算是对个别的经济业务进行单项核算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统计核算必须对企业的全部经济活动做出完整、全面、时序的反映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业务核算具有连续性、系统性、综合性的特点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01-01-0400-01-079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计划中的虚工作(    )</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既消耗时间，又消耗资源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只消耗时间，不消耗资源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既不消耗时间，也不消耗资源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3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不消耗时间，只消耗资源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C</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Calibri">
    <w:altName w:val="Helvetica Neue"/>
    <w:panose1 w:val="020F0502020204030204"/>
    <w:charset w:val="86"/>
    <w:family w:val="swiss"/>
    <w:pitch w:val="default"/>
    <w:sig w:usb0="00000000" w:usb1="00000000" w:usb2="00000001" w:usb3="00000000" w:csb0="0000019F" w:csb1="00000000"/>
  </w:font>
  <w:font w:name="楷体">
    <w:altName w:val="汉仪楷体KW"/>
    <w:panose1 w:val="00000000000000000000"/>
    <w:charset w:val="86"/>
    <w:family w:val="modern"/>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Times New Roman Italic">
    <w:panose1 w:val="02020503050405090304"/>
    <w:charset w:val="00"/>
    <w:family w:val="auto"/>
    <w:pitch w:val="default"/>
    <w:sig w:usb0="E0000AFF" w:usb1="00007843" w:usb2="00000001" w:usb3="00000000" w:csb0="400001BF" w:csb1="DFF70000"/>
  </w:font>
  <w:font w:name="Verdana">
    <w:panose1 w:val="020B0604030504040204"/>
    <w:charset w:val="00"/>
    <w:family w:val="swiss"/>
    <w:pitch w:val="default"/>
    <w:sig w:usb0="A10006FF" w:usb1="4000205B" w:usb2="00000010" w:usb3="00000000" w:csb0="2000019F" w:csb1="00000000"/>
  </w:font>
  <w:font w:name="Cambria Math">
    <w:altName w:val="Kingsoft Math"/>
    <w:panose1 w:val="02040503050406030204"/>
    <w:charset w:val="00"/>
    <w:family w:val="roman"/>
    <w:pitch w:val="default"/>
    <w:sig w:usb0="00000000" w:usb1="00000000" w:usb2="00000000" w:usb3="00000000" w:csb0="0000019F" w:csb1="00000000"/>
  </w:font>
  <w:font w:name="Kingsoft Math">
    <w:panose1 w:val="02040503050406030204"/>
    <w:charset w:val="00"/>
    <w:family w:val="auto"/>
    <w:pitch w:val="default"/>
    <w:sig w:usb0="80000087" w:usb1="00002068" w:usb2="00000000" w:usb3="00000000" w:csb0="2000019F" w:csb1="00000000"/>
  </w:font>
  <w:font w:name="Open Sans">
    <w:altName w:val="苹方-简"/>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val="en-US" w:eastAsia="zh-Hans"/>
      </w:rPr>
    </w:pPr>
    <w:r>
      <w:rPr>
        <w:rFonts w:hint="eastAsia"/>
        <w:lang w:val="en-US" w:eastAsia="zh-Hans"/>
      </w:rPr>
      <w:t>管理</w:t>
    </w:r>
    <w:r>
      <w:rPr>
        <w:rFonts w:hint="default"/>
        <w:lang w:eastAsia="zh-Hans"/>
      </w:rPr>
      <w:t>1142-</w:t>
    </w:r>
    <w:r>
      <w:rPr>
        <w:rFonts w:hint="default"/>
        <w:lang w:eastAsia="zh-Hans"/>
      </w:rPr>
      <w:t>1220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197BDAF1"/>
    <w:rsid w:val="2EB4ED73"/>
    <w:rsid w:val="65709824"/>
    <w:rsid w:val="7BDE3A50"/>
    <w:rsid w:val="7BFF1922"/>
    <w:rsid w:val="7EBE6F75"/>
    <w:rsid w:val="7F562098"/>
    <w:rsid w:val="7F5B437B"/>
    <w:rsid w:val="7FBFEA7C"/>
    <w:rsid w:val="7FFC69E8"/>
    <w:rsid w:val="9FCBC87D"/>
    <w:rsid w:val="C1EC62E0"/>
    <w:rsid w:val="DFF7FFCC"/>
    <w:rsid w:val="EB7E33C7"/>
    <w:rsid w:val="EF77CF4C"/>
    <w:rsid w:val="F0EF1236"/>
    <w:rsid w:val="F9F54CE5"/>
    <w:rsid w:val="FDDFDC9C"/>
    <w:rsid w:val="FE7BDAE7"/>
    <w:rsid w:val="FEF5A9FC"/>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00"/>
    </w:pPr>
    <w:rPr>
      <w:rFonts w:ascii="宋体" w:hAnsi="宋体" w:eastAsia="宋体" w:cs="宋体"/>
      <w:sz w:val="22"/>
      <w:szCs w:val="2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5">
    <w:name w:val="Normal (Web)"/>
    <w:basedOn w:val="1"/>
    <w:qFormat/>
    <w:uiPriority w:val="0"/>
    <w:pPr>
      <w:widowControl/>
      <w:spacing w:before="14" w:after="14"/>
      <w:jc w:val="left"/>
    </w:pPr>
    <w:rPr>
      <w:rFonts w:ascii="Verdana" w:hAnsi="Verdana" w:eastAsia="宋体" w:cs="宋体"/>
      <w:kern w:val="0"/>
      <w:sz w:val="24"/>
      <w:szCs w:val="24"/>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2022-01-20T07:36:00Z</dcterms:created>
  <dc:creator>mac</dc:creator>
  <cp:lastModifiedBy>mac</cp:lastModifiedBy>
  <dcterms:modified xsi:type="dcterms:W3CDTF">2022-01-26T23:14:12Z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