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4431730"/>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重力坝分缝的作用包括(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满足混凝土浇筑要求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适应地基不均匀沉降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控制温度裂缝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及时排出坝内渗水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便于安装止水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r>
              <w:rPr>
                <w:rFonts w:hint="eastAsia" w:ascii="宋体" w:hAnsi="宋体" w:cs="宋体"/>
                <w:kern w:val="0"/>
                <w:sz w:val="18"/>
                <w:szCs w:val="18"/>
                <w:lang w:val="en-US" w:eastAsia="zh-CN"/>
              </w:rPr>
              <w:t>B</w:t>
            </w:r>
            <w:r>
              <w:rPr>
                <w:rFonts w:ascii="宋体" w:hAnsi="宋体" w:cs="宋体"/>
                <w:kern w:val="0"/>
                <w:sz w:val="18"/>
                <w:szCs w:val="18"/>
              </w:rPr>
              <w:t>C</w:t>
            </w:r>
          </w:p>
        </w:tc>
      </w:tr>
      <w:bookmarkEnd w:id="0"/>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水闸下游连接段包括(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铺盖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消力池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护坦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岸墙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海漫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关于施工放样的说法，正确的有(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由整体到局部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先控制，后碎部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由建筑物主轴线确定建筑物细部相对位置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测设细部的精度比测设主轴线的精度高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各细部的测设精度一样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w:t>
            </w: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混凝土集料中的砂按粗细程度不同分为(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粗砂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粉砂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r>
              <w:rPr>
                <w:rFonts w:hint="eastAsia" w:ascii="宋体" w:hAnsi="宋体" w:cs="宋体"/>
                <w:kern w:val="0"/>
                <w:sz w:val="18"/>
                <w:szCs w:val="18"/>
                <w:lang w:val="en-US" w:eastAsia="zh-CN"/>
              </w:rPr>
              <w:t>C</w:t>
            </w:r>
            <w:r>
              <w:rPr>
                <w:rFonts w:ascii="宋体" w:hAnsi="宋体" w:cs="宋体"/>
                <w:kern w:val="0"/>
                <w:sz w:val="18"/>
                <w:szCs w:val="18"/>
              </w:rPr>
              <w:t>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爆破施工时，炮孔布置合理的有(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炮孔方向宜与最小抵抗线方向重合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尽量利用和创造自由面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炮孔与岩石层面垂直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几排炮孔时，宜按梅花形布置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炮孔与节理平行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w:t>
            </w:r>
            <w:r>
              <w:rPr>
                <w:rFonts w:hint="eastAsia" w:ascii="宋体" w:hAnsi="宋体" w:cs="宋体"/>
                <w:kern w:val="0"/>
                <w:sz w:val="18"/>
                <w:szCs w:val="18"/>
                <w:lang w:eastAsia="zh-CN"/>
              </w:rPr>
              <w:t>《</w:t>
            </w:r>
            <w:r>
              <w:rPr>
                <w:rFonts w:hint="eastAsia" w:ascii="宋体" w:hAnsi="宋体" w:cs="宋体"/>
                <w:kern w:val="0"/>
                <w:sz w:val="18"/>
                <w:szCs w:val="18"/>
              </w:rPr>
              <w:t>水利建设项目后评价管理办法(试行)》，过程评价的内容包括(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财务评价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国民经济评价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综合评价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前期工作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D</w:t>
            </w:r>
            <w:r>
              <w:rPr>
                <w:rFonts w:ascii="宋体" w:hAnsi="宋体" w:cs="宋体"/>
                <w:kern w:val="0"/>
                <w:sz w:val="18"/>
                <w:szCs w:val="18"/>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根据《水工建筑物岩石基础开挖工程施工技术规范》(SL47-1994).水工建筑物岩石基础开挖临近建基而不应采用(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)施工。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洞室爆破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梯段爆破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预留保护层人工撬挖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药壶爆破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水工建筑物的耐久性是指在合理使用年限内保持其( </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外观性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维护性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经纬仪测量角度的方法有(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全圆测回法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回转法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方格网法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土坝坝面作业包含的主要工序有(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铺料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w:t>
            </w:r>
            <w:r>
              <w:rPr>
                <w:rFonts w:hint="eastAsia" w:ascii="宋体" w:hAnsi="宋体" w:cs="宋体"/>
                <w:kern w:val="0"/>
                <w:sz w:val="18"/>
                <w:szCs w:val="18"/>
                <w:lang w:val="en-US" w:eastAsia="zh-CN"/>
              </w:rPr>
              <w:t>据</w:t>
            </w:r>
            <w:r>
              <w:rPr>
                <w:rFonts w:hint="eastAsia" w:ascii="宋体" w:hAnsi="宋体" w:cs="宋体"/>
                <w:kern w:val="0"/>
                <w:sz w:val="18"/>
                <w:szCs w:val="18"/>
              </w:rPr>
              <w:t xml:space="preserve">(关于调整水利工程建设现目施工准备开工条件的通知)，项目施工准备开工应满足的条件包括(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项目可行业研究报告已经批准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环境影响评价文件己批准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年度投资计划已下达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初步设计报告已批复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建设资金已落实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r>
              <w:rPr>
                <w:rFonts w:ascii="宋体" w:hAnsi="宋体" w:cs="宋体"/>
                <w:kern w:val="0"/>
                <w:sz w:val="18"/>
                <w:szCs w:val="18"/>
              </w:rPr>
              <w:t>B</w:t>
            </w:r>
            <w:r>
              <w:rPr>
                <w:rFonts w:hint="eastAsia" w:ascii="宋体" w:hAnsi="宋体" w:cs="宋体"/>
                <w:kern w:val="0"/>
                <w:sz w:val="18"/>
                <w:szCs w:val="18"/>
                <w:lang w:val="en-US" w:eastAsia="zh-CN"/>
              </w:rPr>
              <w:t>CE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根据《水利水电工程设计质量评定标准》，下列内容中，属于施工组织设计部分的经济性要求是(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主要基础资科齐全可靠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导流方案应满足下游供水的要求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导流建筑物规模恰当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对外交通方案符合实际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施工布置应满足爆破对安全距离的要求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开发建设项目水土流失防治指标包括(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土地侵蚀模数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扰动土地整治率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水主流失总治理度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土壤流失控制比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拦渣率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下列关于土石坝坝体排水设施的说法，正确的有(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贴坡排水顶部应高于坝体浸润线的逸出点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贴坡排水可降低浸润线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棱体排水不能降低浸润线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棱体排水可保护下游坝脚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坝体排水构造中反滤层材料粒径沿渗流方向应从小到大排列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利水电工程中常见的边坡变形破坏类型主要有(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接触冲刷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接触流土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崩塌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松弛张裂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蠕动变形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下列地基处理方法中,适用于水利水电工程软土地基处理的方法有</w:t>
            </w:r>
            <w:r>
              <w:rPr>
                <w:rFonts w:hint="eastAsia" w:ascii="宋体" w:hAnsi="宋体" w:cs="宋体"/>
                <w:color w:val="00000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置换法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强夯法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挤实法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下列防渗方法中,适用于士石坝上游截渗处理的方法有(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截水槽法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黏土斜墙法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导渗沟法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贴坡排水法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防渗墙法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A</w:t>
            </w:r>
            <w:r>
              <w:rPr>
                <w:rFonts w:ascii="宋体" w:hAnsi="宋体" w:cs="宋体"/>
                <w:kern w:val="0"/>
                <w:sz w:val="18"/>
                <w:szCs w:val="18"/>
              </w:rPr>
              <w:t>B</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反击式水轮机按转轮区内水流相对于主轴流动方向的不同可分为(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双击法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轴流法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斜击法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BC</w:t>
            </w:r>
            <w:r>
              <w:rPr>
                <w:rFonts w:hint="eastAsia" w:ascii="宋体" w:hAnsi="宋体" w:cs="宋体"/>
                <w:kern w:val="0"/>
                <w:sz w:val="18"/>
                <w:szCs w:val="18"/>
                <w:lang w:val="en-US" w:eastAsia="zh-CN"/>
              </w:rPr>
              <w:t>E</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根据《水利工程设计变更管理暂行力法》(水规计[2012]93号),下列施工组织设计变更中，属于重大设计变更的是(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)的变化</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主要料场场地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枢纽工程施工导流方式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主要建筑物工程总进度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地下洞室支护形式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水泵内的损失包括(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渗漏损失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电力损失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容积损失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机械损失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土料的压实</w:t>
            </w:r>
            <w:r>
              <w:rPr>
                <w:rFonts w:hint="eastAsia" w:ascii="宋体" w:hAnsi="宋体" w:cs="宋体"/>
                <w:kern w:val="0"/>
                <w:sz w:val="18"/>
                <w:szCs w:val="18"/>
                <w:lang w:val="en-US" w:eastAsia="zh-CN"/>
              </w:rPr>
              <w:t>影响因素主要有（  ）。</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碾压机具</w:t>
            </w:r>
            <w:r>
              <w:rPr>
                <w:rFonts w:hint="eastAsia" w:ascii="宋体" w:hAnsi="宋体" w:cs="宋体"/>
                <w:kern w:val="0"/>
                <w:sz w:val="18"/>
                <w:szCs w:val="18"/>
                <w:lang w:val="en-US" w:eastAsia="zh-CN"/>
              </w:rPr>
              <w:t>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每层</w:t>
            </w:r>
            <w:r>
              <w:rPr>
                <w:rFonts w:hint="eastAsia" w:ascii="宋体" w:hAnsi="宋体" w:cs="宋体"/>
                <w:kern w:val="0"/>
                <w:sz w:val="18"/>
                <w:szCs w:val="18"/>
              </w:rPr>
              <w:t>铺土厚度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压实遍数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含水量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CE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计算土围堰的堰顶高程，应考虑的因素包括(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河道宽度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施工期水位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围岩结构形式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波浪爬高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安全超高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下列水利水电工程注册建造师签章文件中，属于进度管理文件的有(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暂停施工申请表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施工月报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复工申请表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施工进度计划报审表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变更申请表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下列混凝土重力坝所受荷载中，属于扬压力的有(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动水压力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波浪压力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浮托力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泥沙压力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渗透压力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432976"/>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水利工程土石围堰漏洞险情进水口的探测方法有(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水面观察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潜水探漏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钎探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钻探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投放颜料观察水色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BE</w:t>
            </w:r>
          </w:p>
        </w:tc>
      </w:tr>
      <w:bookmarkEnd w:id="1"/>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bookmarkStart w:id="2" w:name="_Hlk124433536"/>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13-03-0001-</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根据《水利水电工程等级划分及洪水标准》(SL252-2002)，确定临时水工建筑物级别的依据包括(</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)等。</w:t>
            </w:r>
            <w:r>
              <w:rPr>
                <w:rFonts w:hint="eastAsia" w:ascii="宋体" w:hAnsi="宋体" w:cs="宋体"/>
                <w:kern w:val="0"/>
                <w:sz w:val="18"/>
                <w:szCs w:val="18"/>
                <w:highlight w:val="none"/>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气候环境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保护对象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失事后果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抗震烈度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ascii="宋体" w:hAnsi="宋体" w:cs="宋体"/>
                <w:kern w:val="0"/>
                <w:sz w:val="18"/>
                <w:szCs w:val="18"/>
                <w:highlight w:val="none"/>
              </w:rPr>
              <w:t>BC</w:t>
            </w:r>
            <w:r>
              <w:rPr>
                <w:rFonts w:hint="eastAsia" w:ascii="宋体" w:hAnsi="宋体" w:cs="宋体"/>
                <w:kern w:val="0"/>
                <w:sz w:val="18"/>
                <w:szCs w:val="18"/>
                <w:highlight w:val="none"/>
                <w:lang w:val="en-US" w:eastAsia="zh-CN"/>
              </w:rPr>
              <w:t>E</w:t>
            </w:r>
          </w:p>
        </w:tc>
      </w:tr>
      <w:bookmarkEnd w:id="2"/>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4437427"/>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水利工程实施中，钢绞线质量检验的主要指标包括(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含碳量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CDE</w:t>
            </w:r>
          </w:p>
        </w:tc>
      </w:tr>
      <w:bookmarkEnd w:id="3"/>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13-03-0001-</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水利工程施工中，确定截流龙口宽度及其防护措施的主要依据有(</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ascii="宋体" w:hAnsi="宋体" w:cs="宋体"/>
                <w:kern w:val="0"/>
                <w:sz w:val="18"/>
                <w:szCs w:val="18"/>
                <w:highlight w:val="none"/>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龙口流量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龙口抗冲流速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截流方法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龙口附近地形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截流延续时间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ascii="宋体" w:hAnsi="宋体" w:cs="宋体"/>
                <w:kern w:val="0"/>
                <w:sz w:val="18"/>
                <w:szCs w:val="18"/>
                <w:highlight w:val="none"/>
              </w:rPr>
              <w:t>A</w:t>
            </w:r>
            <w:r>
              <w:rPr>
                <w:rFonts w:hint="eastAsia" w:ascii="宋体" w:hAnsi="宋体" w:cs="宋体"/>
                <w:kern w:val="0"/>
                <w:sz w:val="18"/>
                <w:szCs w:val="18"/>
                <w:highlight w:val="none"/>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下列作业类别中，属于特殊高处作业有(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雨天高处作业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夜间高处作业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雾霾高处作业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高原高处作业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抢救高处作业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根据《关于贯彻质量发展纲要，提升水利工程质量的实施意见》(水建管【2012】581号)，水利工程建设质量方针包括(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坚持质量第一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坚持以人为本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坚持安全为先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坚持诚信守法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坚持夯实基础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13-03-0001-</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水利水电工程基本建设项目具有（</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工程建设涉及面广，问题复杂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rPr>
              <w:t>工程工期长，耗资较</w:t>
            </w:r>
            <w:r>
              <w:rPr>
                <w:rFonts w:hint="eastAsia" w:ascii="宋体" w:hAnsi="宋体" w:cs="宋体"/>
                <w:kern w:val="0"/>
                <w:sz w:val="18"/>
                <w:szCs w:val="18"/>
                <w:highlight w:val="none"/>
                <w:lang w:val="en-US" w:eastAsia="zh-CN"/>
              </w:rPr>
              <w:t>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工程建设项目的单一性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工程建设地点固定，可连续性施工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工程建设项目效益显著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val="en-US" w:eastAsia="zh-CN"/>
              </w:rPr>
            </w:pPr>
            <w:r>
              <w:rPr>
                <w:rFonts w:ascii="宋体" w:hAnsi="宋体" w:cs="宋体"/>
                <w:kern w:val="0"/>
                <w:sz w:val="18"/>
                <w:szCs w:val="18"/>
                <w:highlight w:val="none"/>
              </w:rPr>
              <w:t>ACD</w:t>
            </w:r>
            <w:r>
              <w:rPr>
                <w:rFonts w:hint="eastAsia" w:ascii="宋体" w:hAnsi="宋体" w:cs="宋体"/>
                <w:kern w:val="0"/>
                <w:sz w:val="18"/>
                <w:szCs w:val="18"/>
                <w:highlight w:val="none"/>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9540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水利水电工程资料的基本组成也是相应的按照水利工程的划分，具体的分为（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单元工程资料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分部工程资料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单位评定资料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相应联合验收资料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单项工程资料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A</w:t>
            </w:r>
            <w:r>
              <w:rPr>
                <w:rFonts w:hint="eastAsia" w:ascii="宋体" w:hAnsi="宋体" w:cs="宋体"/>
                <w:kern w:val="0"/>
                <w:sz w:val="18"/>
                <w:szCs w:val="18"/>
                <w:lang w:val="en-US" w:eastAsia="zh-CN"/>
              </w:rPr>
              <w:t>B</w:t>
            </w:r>
            <w:r>
              <w:rPr>
                <w:rFonts w:ascii="宋体" w:hAnsi="宋体" w:cs="宋体"/>
                <w:kern w:val="0"/>
                <w:sz w:val="18"/>
                <w:szCs w:val="18"/>
              </w:rPr>
              <w:t>CD</w:t>
            </w:r>
            <w:r>
              <w:rPr>
                <w:rFonts w:hint="eastAsia" w:ascii="宋体" w:hAnsi="宋体" w:cs="宋体"/>
                <w:kern w:val="0"/>
                <w:sz w:val="18"/>
                <w:szCs w:val="18"/>
                <w:lang w:val="en-US" w:eastAsia="zh-CN"/>
              </w:rPr>
              <w:t xml:space="preserve"> </w:t>
            </w:r>
          </w:p>
        </w:tc>
      </w:tr>
      <w:bookmarkEnd w:id="4"/>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水利工程档案的保管期限分为（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）三种。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永久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长期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短期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混凝土拌合物的和易性包括（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）三个方面的内容。</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施工单位要推行全面质量管理，就必须（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提高资质等级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建立健全质量保证体系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制定和完善岗位质量规范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质量责任及考核办法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落实质量责任制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根据《水电建设工程质量管理暂行办法》，下列有关施工质量管理的说法正确的是（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近一年内工程发生特大质量事故施工单位不得独立中标承建大型水电站主体工程的施工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非水电专业施工单位不能独立承担有水工特点的工程项目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大型水电项目的非主体工程可以转包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水电项目分包部分不宜超过合同工作量的30%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临时合同工不能作为劳务由施工单位统一管理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水利系统文明建设工地建设管理水平考核的内容包括(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基本建设程序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内部管理制度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ABC</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施工单位在堤防施工过程中的质量检验工作制度包括(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班组初检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作业队复检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项目部终检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单位抽检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质检员平行检验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hint="eastAsia" w:ascii="宋体" w:hAnsi="宋体" w:cs="宋体"/>
                <w:kern w:val="0"/>
                <w:sz w:val="18"/>
                <w:szCs w:val="18"/>
              </w:rPr>
              <w:t>BC</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水利水电工程常用的灌浆浆液有(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水泥黏土浆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黏土浆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水泥黏土砂浆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固化灰浆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以下关于后退法相较于进占法卸料的优点，正确的是（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可以加快施工进度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对轮胎磨损比较轻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可以减轻物料的分离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会增大物料的分离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可显著减轻推土机的摊平工作量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BC</w:t>
            </w:r>
            <w:r>
              <w:rPr>
                <w:rFonts w:hint="eastAsia" w:ascii="宋体" w:hAnsi="宋体" w:cs="宋体"/>
                <w:kern w:val="0"/>
                <w:sz w:val="18"/>
                <w:szCs w:val="18"/>
                <w:lang w:val="en-US" w:eastAsia="zh-CN"/>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下列关于水电工程事故调查权限和处理方案的说法，正确的是（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一般事故由施工单位负责调查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较大事故可由监理单位负责调查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特大事故由质监总站负责组织专家组进行调查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一般事故及较大事故的处理方案均由事故单位提出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重、特大事故由项目法人委托设计单位提出，项目法人组织专家审查批准后实施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土石围堰的防渗结构形式有（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斜墙式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灌浆帷幕式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垂直防渗墙式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斜墙带水平铺盖式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灌浆带水平铺盖式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确定临时性水工建筑物的级别应考虑的因素主要有（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临时建筑物的结构形式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保护对象的重要性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临时建筑物的规模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失事后果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w:t>
            </w:r>
            <w:r>
              <w:rPr>
                <w:rFonts w:hint="eastAsia" w:ascii="宋体" w:hAnsi="宋体" w:cs="宋体"/>
                <w:kern w:val="0"/>
                <w:sz w:val="18"/>
                <w:szCs w:val="18"/>
                <w:lang w:val="en-US" w:eastAsia="zh-CN"/>
              </w:rPr>
              <w:t>D</w:t>
            </w:r>
            <w:r>
              <w:rPr>
                <w:rFonts w:ascii="宋体" w:hAnsi="宋体" w:cs="宋体"/>
                <w:kern w:val="0"/>
                <w:sz w:val="18"/>
                <w:szCs w:val="18"/>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对建设项目的稽察，主要包括（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项目建设管理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资金使用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全面质量管理的核心是“三全”控制管理，也就是（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全面质量控制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全过程质量控制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全方位质量控制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全员参与控制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w:t>
            </w:r>
            <w:r>
              <w:rPr>
                <w:rFonts w:hint="eastAsia" w:ascii="宋体" w:hAnsi="宋体" w:cs="宋体"/>
                <w:kern w:val="0"/>
                <w:sz w:val="18"/>
                <w:szCs w:val="18"/>
                <w:lang w:val="en-US" w:eastAsia="zh-CN"/>
              </w:rPr>
              <w:t>社会</w:t>
            </w:r>
            <w:r>
              <w:rPr>
                <w:rFonts w:hint="eastAsia" w:ascii="宋体" w:hAnsi="宋体" w:eastAsia="宋体" w:cs="宋体"/>
                <w:kern w:val="0"/>
                <w:sz w:val="18"/>
                <w:szCs w:val="18"/>
                <w:lang w:eastAsia="zh-CN"/>
              </w:rPr>
              <w:t>参与控制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混凝土坝施工，若坝身在汛前不能浇筑到拦洪高程，可采取的措施有（    ）才能不停工。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坝面预留缺口渡汛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基坑淹没导流，坝身过水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采用临时断面拦洪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坝体预留底孔渡汛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坝体预留梳齿渡汛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关键部位单元工程是指对工程(    )有显著影响的单元工程。</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大坝混凝土浇筑，分块尺寸和铺层厚度已定，解决层间不出现冷缝的措施有（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增大运输浇筑能力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采用斜层浇筑法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采用阶梯浇筑法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采用平层浇筑法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增加振捣时间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均质土坝最常用的土料是(    )，要求其应具有一定的抗渗性和强度。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砂质黏土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砂砾石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壤土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 xml:space="preserve">AE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护坡工程常见的结构形式有(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浆砌块石护坡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干砌块石护坡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混凝土板护坡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模袋混凝土板护坡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土工膜护坡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软土基坑施工中，为防止边坡失稳，保证施工安全，通常采取措施有（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采取合理坡度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设置边坡护面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基坑支护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降低地下水位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抬高地下水位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)是确定混凝土拌和设备容量和台数时要考虑的内容。</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能满足同时拌制不同强度等级的混凝土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容量与骨料最大粒径相适应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容量与运载重量和装料容器的大小相匹配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有利于整体安装，整体转移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减少堆料场地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《水利工程质量管理规定》指出，水利工程质量实行（   ）相结合的质量管理体制。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项目法人负责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设计单位负责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监理单位控制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施工单位保证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政府监督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ACDE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关于工程项目的质量责任，下列说法正确的是（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工程产品生产者对工程产品负有直接责任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谁设计，谁负责；谁施工，谁负责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监理人也应承担直接责任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监理人承担监理责任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监理人没有责任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钢筋拉力检验项目中，应包括（   ）三个指标。</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屈服点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重量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高喷灌浆的形式，目前可分为（  ）三种。</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旋喷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摆喷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直喷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定喷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面喷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水利工程质量监督机构的设置分别是(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质量监督总站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质量监督中心站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质量监督省站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质量监督项目站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首次疏干基坑时所需排除的水量，包括基坑中(  )等汇集到基坑中的水量。</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积水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地下渗流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堰体渗漏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降雨径流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生活用水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混凝土坝层间间歇超过混凝土初凝时间，会出现冷缝，从而使层间的（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）明显降低。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抗渗能力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抗拉能力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抗压强度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抗冻能力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ABC</w:t>
            </w:r>
            <w:r>
              <w:rPr>
                <w:rFonts w:hint="eastAsia" w:ascii="宋体" w:hAnsi="宋体" w:cs="宋体"/>
                <w:kern w:val="0"/>
                <w:sz w:val="18"/>
                <w:szCs w:val="18"/>
                <w:lang w:val="en-US" w:eastAsia="zh-CN"/>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基坑排水分为(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初期排水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经常性排水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基坑渗水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降雨雨水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河道水流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建设工程施工承包合同的计价方式主要有</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总价合同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成本补偿合同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调价合同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成本加利润合同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施工项目安全检查的主要形式有（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定期检查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经常性检查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节假日检查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对于施工项目存在的安全隐患，相关单位应制定整改方案，方案必须做到（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定验收程序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46"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施工质量缺陷处理的基本方法有（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表面处理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加固处理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返工处理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返修处理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不作处理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影响建设工程项目质量的可控因素包括（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人的因素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技术因素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管理因素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社会因素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自然因素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在对施工项目进行进度检查与分析时发现原有进度计划必须进行调整，调整的内容主要有（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工程</w:t>
            </w:r>
            <w:r>
              <w:rPr>
                <w:rFonts w:hint="eastAsia" w:ascii="宋体" w:hAnsi="宋体" w:cs="宋体"/>
                <w:kern w:val="0"/>
                <w:sz w:val="18"/>
                <w:szCs w:val="18"/>
              </w:rPr>
              <w:t>质量</w:t>
            </w:r>
            <w:r>
              <w:rPr>
                <w:rFonts w:hint="eastAsia" w:ascii="宋体" w:hAnsi="宋体" w:cs="宋体"/>
                <w:kern w:val="0"/>
                <w:sz w:val="18"/>
                <w:szCs w:val="18"/>
                <w:lang w:eastAsia="zh-CN"/>
              </w:rPr>
              <w:t>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资源供给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工作起止时间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原材料供应商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流水施工根据各施工过程时间参数的不同特点分类包括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eastAsia="zh-CN"/>
              </w:rPr>
              <w:t>施工</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异节拍流水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无节奏流水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等节奏流水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常用的风险应对对策包括</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风险规避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风险减轻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风险自留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风险转移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根据《建筑施工组织设计规范》，施工管理计划包括</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进度管理计划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质量管理计划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安全管理计划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环境管理计划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设备管理计划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hint="eastAsia"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按照我国《企业伤亡事故分类标准》的规定，职业伤害事故分20类，其中与建筑业有关的包括（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辐射伤害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物体打击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触电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火药爆炸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高空坠落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r>
              <w:rPr>
                <w:rFonts w:hint="eastAsia" w:ascii="宋体" w:hAnsi="宋体" w:cs="宋体"/>
                <w:kern w:val="0"/>
                <w:sz w:val="18"/>
                <w:szCs w:val="18"/>
                <w:lang w:val="en-US" w:eastAsia="zh-CN"/>
              </w:rPr>
              <w:t>E</w:t>
            </w:r>
            <w:r>
              <w:rPr>
                <w:rFonts w:ascii="宋体" w:hAnsi="宋体" w:cs="宋体"/>
                <w:kern w:val="0"/>
                <w:sz w:val="18"/>
                <w:szCs w:val="18"/>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YTVjN2QwYTIxZjY4NWI1ODVhODBkMmRlZDFkNDMifQ=="/>
  </w:docVars>
  <w:rsids>
    <w:rsidRoot w:val="00013FBB"/>
    <w:rsid w:val="00013FBB"/>
    <w:rsid w:val="0002106B"/>
    <w:rsid w:val="00021DB9"/>
    <w:rsid w:val="000272AB"/>
    <w:rsid w:val="0003774C"/>
    <w:rsid w:val="00075C0A"/>
    <w:rsid w:val="00094448"/>
    <w:rsid w:val="000A56A8"/>
    <w:rsid w:val="000A7D9C"/>
    <w:rsid w:val="000B0531"/>
    <w:rsid w:val="000F4EC0"/>
    <w:rsid w:val="001011C3"/>
    <w:rsid w:val="001354EB"/>
    <w:rsid w:val="00167A8F"/>
    <w:rsid w:val="00181EBC"/>
    <w:rsid w:val="0018214C"/>
    <w:rsid w:val="001C7B6D"/>
    <w:rsid w:val="001D26F4"/>
    <w:rsid w:val="0021748C"/>
    <w:rsid w:val="002912C0"/>
    <w:rsid w:val="002A35CB"/>
    <w:rsid w:val="002D10D2"/>
    <w:rsid w:val="002F0731"/>
    <w:rsid w:val="00360914"/>
    <w:rsid w:val="00362EF0"/>
    <w:rsid w:val="00372F3D"/>
    <w:rsid w:val="00392355"/>
    <w:rsid w:val="003B7D12"/>
    <w:rsid w:val="003D514A"/>
    <w:rsid w:val="003E1946"/>
    <w:rsid w:val="0044093C"/>
    <w:rsid w:val="00470FAB"/>
    <w:rsid w:val="004851DE"/>
    <w:rsid w:val="004904D9"/>
    <w:rsid w:val="004A236E"/>
    <w:rsid w:val="004D1BF5"/>
    <w:rsid w:val="0050740D"/>
    <w:rsid w:val="00514962"/>
    <w:rsid w:val="005464D4"/>
    <w:rsid w:val="00557002"/>
    <w:rsid w:val="00571517"/>
    <w:rsid w:val="00571C15"/>
    <w:rsid w:val="00583A96"/>
    <w:rsid w:val="00587CF4"/>
    <w:rsid w:val="005A6EA0"/>
    <w:rsid w:val="005B6EAE"/>
    <w:rsid w:val="005E7BB8"/>
    <w:rsid w:val="005F7956"/>
    <w:rsid w:val="0060437A"/>
    <w:rsid w:val="00612C54"/>
    <w:rsid w:val="0066631D"/>
    <w:rsid w:val="00677A0B"/>
    <w:rsid w:val="00697EA5"/>
    <w:rsid w:val="006C4D52"/>
    <w:rsid w:val="006D3D69"/>
    <w:rsid w:val="006E55C4"/>
    <w:rsid w:val="006E66E1"/>
    <w:rsid w:val="006F2289"/>
    <w:rsid w:val="006F3402"/>
    <w:rsid w:val="00761CE4"/>
    <w:rsid w:val="007C0FFB"/>
    <w:rsid w:val="00812ADE"/>
    <w:rsid w:val="00840F49"/>
    <w:rsid w:val="008453FC"/>
    <w:rsid w:val="0084644B"/>
    <w:rsid w:val="0085049E"/>
    <w:rsid w:val="00850E7F"/>
    <w:rsid w:val="0085614E"/>
    <w:rsid w:val="00877783"/>
    <w:rsid w:val="00890A25"/>
    <w:rsid w:val="00894E25"/>
    <w:rsid w:val="008A7E5B"/>
    <w:rsid w:val="008B716B"/>
    <w:rsid w:val="008D048C"/>
    <w:rsid w:val="008E3E28"/>
    <w:rsid w:val="008E6067"/>
    <w:rsid w:val="008F532C"/>
    <w:rsid w:val="00906084"/>
    <w:rsid w:val="0092295E"/>
    <w:rsid w:val="00965A88"/>
    <w:rsid w:val="00982715"/>
    <w:rsid w:val="009A1BD7"/>
    <w:rsid w:val="00A32D88"/>
    <w:rsid w:val="00A337A7"/>
    <w:rsid w:val="00B378A9"/>
    <w:rsid w:val="00BA54FF"/>
    <w:rsid w:val="00BA7512"/>
    <w:rsid w:val="00BB0523"/>
    <w:rsid w:val="00BD1BD8"/>
    <w:rsid w:val="00C005F2"/>
    <w:rsid w:val="00C54C40"/>
    <w:rsid w:val="00C57E62"/>
    <w:rsid w:val="00CC7185"/>
    <w:rsid w:val="00CF5548"/>
    <w:rsid w:val="00D032E9"/>
    <w:rsid w:val="00D505E4"/>
    <w:rsid w:val="00D974B1"/>
    <w:rsid w:val="00DA1824"/>
    <w:rsid w:val="00DE3D50"/>
    <w:rsid w:val="00E27224"/>
    <w:rsid w:val="00E277DD"/>
    <w:rsid w:val="00E50076"/>
    <w:rsid w:val="00E63942"/>
    <w:rsid w:val="00EE184F"/>
    <w:rsid w:val="00F61378"/>
    <w:rsid w:val="00F6365D"/>
    <w:rsid w:val="00F6468D"/>
    <w:rsid w:val="00F723D7"/>
    <w:rsid w:val="00FC05AA"/>
    <w:rsid w:val="00FC1FF5"/>
    <w:rsid w:val="00FE46C1"/>
    <w:rsid w:val="0FEA17A5"/>
    <w:rsid w:val="118B31FC"/>
    <w:rsid w:val="1B3C7587"/>
    <w:rsid w:val="1E5A1FF1"/>
    <w:rsid w:val="209E000B"/>
    <w:rsid w:val="263F0093"/>
    <w:rsid w:val="26AA1972"/>
    <w:rsid w:val="2C5D75B5"/>
    <w:rsid w:val="332C3799"/>
    <w:rsid w:val="340E0D3F"/>
    <w:rsid w:val="35B55DC3"/>
    <w:rsid w:val="35C90532"/>
    <w:rsid w:val="41975CA3"/>
    <w:rsid w:val="4CC379C8"/>
    <w:rsid w:val="4D336B23"/>
    <w:rsid w:val="5681086B"/>
    <w:rsid w:val="59E57D02"/>
    <w:rsid w:val="5C232B6E"/>
    <w:rsid w:val="5D5178D0"/>
    <w:rsid w:val="5EC35A67"/>
    <w:rsid w:val="61651F0C"/>
    <w:rsid w:val="6A7F502E"/>
    <w:rsid w:val="744A1D09"/>
    <w:rsid w:val="769F4CB6"/>
    <w:rsid w:val="7759205F"/>
    <w:rsid w:val="7B8B4B71"/>
    <w:rsid w:val="7C891FED"/>
    <w:rsid w:val="7D355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rFonts w:ascii="Times New Roman" w:hAnsi="Times New Roman" w:eastAsia="宋体" w:cs="Times New Roman"/>
      <w:sz w:val="18"/>
      <w:szCs w:val="18"/>
    </w:rPr>
  </w:style>
  <w:style w:type="character" w:customStyle="1" w:styleId="11">
    <w:name w:val="页脚 字符"/>
    <w:basedOn w:val="7"/>
    <w:link w:val="3"/>
    <w:qFormat/>
    <w:uiPriority w:val="99"/>
    <w:rPr>
      <w:rFonts w:ascii="Times New Roman" w:hAnsi="Times New Roman" w:eastAsia="宋体" w:cs="Times New Roman"/>
      <w:sz w:val="18"/>
      <w:szCs w:val="18"/>
    </w:rPr>
  </w:style>
  <w:style w:type="paragraph" w:styleId="12">
    <w:name w:val="No Spacing"/>
    <w:qFormat/>
    <w:uiPriority w:val="0"/>
    <w:pPr>
      <w:widowControl w:val="0"/>
    </w:pPr>
    <w:rPr>
      <w:rFonts w:ascii="Arial Unicode MS" w:hAnsi="Arial Unicode MS" w:eastAsia="Arial Unicode MS" w:cs="Arial Unicode MS"/>
      <w:color w:val="000000"/>
      <w:sz w:val="24"/>
      <w:szCs w:val="24"/>
      <w:lang w:val="zh-TW" w:eastAsia="zh-TW" w:bidi="zh-TW"/>
    </w:rPr>
  </w:style>
  <w:style w:type="character" w:customStyle="1" w:styleId="13">
    <w:name w:val="Body text (36) + Arial Unicode MS"/>
    <w:basedOn w:val="14"/>
    <w:qFormat/>
    <w:uiPriority w:val="0"/>
    <w:rPr>
      <w:rFonts w:ascii="Arial Unicode MS" w:hAnsi="Arial Unicode MS" w:eastAsia="Arial Unicode MS" w:cs="Arial Unicode MS"/>
      <w:color w:val="000000"/>
      <w:spacing w:val="0"/>
      <w:w w:val="100"/>
      <w:position w:val="0"/>
      <w:sz w:val="13"/>
      <w:szCs w:val="13"/>
      <w:lang w:val="en-US" w:eastAsia="en-US" w:bidi="en-US"/>
    </w:rPr>
  </w:style>
  <w:style w:type="character" w:customStyle="1" w:styleId="14">
    <w:name w:val="Body text (36)_"/>
    <w:basedOn w:val="7"/>
    <w:qFormat/>
    <w:uiPriority w:val="0"/>
    <w:rPr>
      <w:rFonts w:ascii="宋体" w:hAnsi="宋体" w:eastAsia="宋体" w:cs="宋体"/>
      <w:sz w:val="14"/>
      <w:szCs w:val="14"/>
      <w:u w:val="none"/>
    </w:rPr>
  </w:style>
  <w:style w:type="character" w:customStyle="1" w:styleId="15">
    <w:name w:val="Body text (36)"/>
    <w:basedOn w:val="14"/>
    <w:qFormat/>
    <w:uiPriority w:val="0"/>
    <w:rPr>
      <w:color w:val="000000"/>
      <w:spacing w:val="0"/>
      <w:w w:val="100"/>
      <w:position w:val="0"/>
      <w:lang w:val="zh-TW" w:eastAsia="zh-TW" w:bidi="zh-TW"/>
    </w:rPr>
  </w:style>
  <w:style w:type="character" w:customStyle="1" w:styleId="16">
    <w:name w:val="Body text (36) + 7.5 pt"/>
    <w:basedOn w:val="14"/>
    <w:qFormat/>
    <w:uiPriority w:val="0"/>
    <w:rPr>
      <w:color w:val="000000"/>
      <w:spacing w:val="0"/>
      <w:w w:val="100"/>
      <w:position w:val="0"/>
      <w:sz w:val="15"/>
      <w:szCs w:val="15"/>
      <w:lang w:val="en-US"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5344</Words>
  <Characters>6588</Characters>
  <Lines>118</Lines>
  <Paragraphs>33</Paragraphs>
  <TotalTime>0</TotalTime>
  <ScaleCrop>false</ScaleCrop>
  <LinksUpToDate>false</LinksUpToDate>
  <CharactersWithSpaces>7416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2022-12-29T01:55:00Z</dcterms:created>
  <dc:creator>青 师</dc:creator>
  <cp:lastModifiedBy>勇者无畏</cp:lastModifiedBy>
  <dcterms:modified xsi:type="dcterms:W3CDTF">2023-07-29T00:44:36Z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D78533DF55F8484687F12D1F3EC88155_13</vt:lpwstr>
  </property>
</Properties>
</file>