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after="120" w:afterLines="50" w:line="600" w:lineRule="exact"/>
        <w:jc w:val="center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年度部门整体支出绩效评价基础数据表</w:t>
      </w:r>
    </w:p>
    <w:tbl>
      <w:tblPr>
        <w:tblStyle w:val="2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  <w:t>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42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  <w:t>年预算数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0"/>
                <w:szCs w:val="20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21.3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18.45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20.28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30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17.63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1.02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10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0.82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/>
                <w:sz w:val="21"/>
                <w:lang w:val="en"/>
              </w:rPr>
              <w:t>816.45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541.58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942.87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/>
                <w:sz w:val="21"/>
                <w:lang w:val="en"/>
              </w:rPr>
              <w:t>816.45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 xml:space="preserve">  541.58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"/>
              </w:rPr>
              <w:t>942.87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3、省级专项资金（一个专项一行）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/>
                <w:color w:val="auto"/>
                <w:sz w:val="21"/>
                <w:lang w:val="en"/>
              </w:rPr>
              <w:t>255.54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"/>
              </w:rPr>
              <w:t>270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"/>
              </w:rPr>
              <w:t>254.88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"/>
              </w:rPr>
            </w:pPr>
            <w:r>
              <w:rPr>
                <w:rFonts w:hint="default"/>
                <w:color w:val="auto"/>
                <w:sz w:val="21"/>
                <w:lang w:val="en"/>
              </w:rPr>
              <w:t>27.02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"/>
              </w:rPr>
              <w:t>36.34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"/>
              </w:rPr>
            </w:pPr>
            <w:r>
              <w:rPr>
                <w:rFonts w:hint="default"/>
                <w:color w:val="auto"/>
                <w:sz w:val="21"/>
                <w:lang w:val="en"/>
              </w:rPr>
              <w:t>20.86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"/>
              </w:rPr>
              <w:t>16.78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"/>
              </w:rPr>
            </w:pPr>
            <w:r>
              <w:rPr>
                <w:rFonts w:hint="default"/>
                <w:color w:val="auto"/>
                <w:sz w:val="21"/>
                <w:lang w:val="en"/>
              </w:rPr>
              <w:t>0.08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"/>
              </w:rPr>
              <w:t>1.2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"/>
              </w:rPr>
              <w:t>1.13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"/>
              </w:rPr>
            </w:pPr>
            <w:r>
              <w:rPr>
                <w:rFonts w:hint="default"/>
                <w:color w:val="auto"/>
                <w:sz w:val="21"/>
                <w:lang w:val="en"/>
              </w:rPr>
              <w:t>9.2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"/>
              </w:rPr>
              <w:t>11.25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val="en"/>
              </w:rPr>
              <w:t>11.25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楼堂馆所控制情况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（202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  <w:t>批复规模</w:t>
            </w:r>
            <w:r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  <w:t>实际规模（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0"/>
                <w:szCs w:val="20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Arial"/>
                <w:sz w:val="21"/>
              </w:rPr>
              <w:t>我会依据《湖南省作家协会国内公务接待暂行办法》、《湖南省作家协会公务用车使用管理办法》等一系列管理制度强化日常节约管理，严格控制会议等一般性支出，切实履行厉行节约。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　</w:t>
            </w:r>
          </w:p>
        </w:tc>
      </w:tr>
    </w:tbl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ZTJiNjY4YjE1ZWNiNTY1NGViNzljYjI4YjdlYjgifQ=="/>
  </w:docVars>
  <w:rsids>
    <w:rsidRoot w:val="00000000"/>
    <w:rsid w:val="7491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2023-06-27T08:00:56Z</dcterms:created>
  <dc:creator>Administrator</dc:creator>
  <cp:lastModifiedBy>Administrator</cp:lastModifiedBy>
  <dcterms:modified xsi:type="dcterms:W3CDTF">2023-06-27T08:01:24Z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CDAFF4331BFE460799814968BB5767C1_12</vt:lpwstr>
  </property>
</Properties>
</file>