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黑体"/>
          <w:bCs/>
          <w:color w:val="000000"/>
          <w:sz w:val="32"/>
          <w:szCs w:val="32"/>
          <w:lang w:val="en-US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/>
          <w14:ligatures w14:val="none"/>
        </w:rPr>
        <w:t>附件4</w:t>
      </w:r>
    </w:p>
    <w:p>
      <w:pPr>
        <w:widowControl w:val="0"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en-US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  <w14:ligatures w14:val="none"/>
        </w:rPr>
        <w:t>中国新闻奖参评作品推荐表</w:t>
      </w:r>
    </w:p>
    <w:tbl>
      <w:tblPr>
        <w:tblStyle w:val="3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450" w:type="dxa"/>
            <w:vMerge w:val="restart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“双抢” 之变：从“累得脱层皮”到“当甩手掌柜”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jc w:val="both"/>
              <w:rPr>
                <w:rFonts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450" w:type="dxa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jc w:val="both"/>
              <w:rPr>
                <w:rFonts w:ascii="FangSong_GB2312" w:hAnsi="仿宋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450" w:type="dxa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widowControl w:val="0"/>
              <w:spacing w:line="380" w:lineRule="exact"/>
              <w:ind w:firstLine="56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widowControl w:val="0"/>
              <w:spacing w:line="240" w:lineRule="atLeast"/>
              <w:jc w:val="both"/>
              <w:rPr>
                <w:rFonts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  <w:t>作  者</w:t>
            </w:r>
          </w:p>
          <w:p>
            <w:pPr>
              <w:widowControl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华文中宋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周 楠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编辑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仿宋" w:hAnsi="仿宋" w:eastAsia="仿宋" w:cs="Times New Roman"/>
                <w:color w:val="000000"/>
                <w:w w:val="95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方立新、谢锐佳、黄海波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450" w:type="dxa"/>
            <w:vAlign w:val="center"/>
          </w:tcPr>
          <w:p>
            <w:pPr>
              <w:widowControl w:val="0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新华社新华每日电讯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刊播单位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仿宋" w:eastAsia="FangSong_GB2312" w:cs="Times New Roman"/>
                <w:color w:val="000000"/>
                <w:sz w:val="18"/>
                <w:szCs w:val="18"/>
                <w:highlight w:val="green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新华每日电讯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</w:trPr>
        <w:tc>
          <w:tcPr>
            <w:tcW w:w="1450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刊播版面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 w:val="28"/>
                <w:szCs w:val="22"/>
                <w:lang w:val="en-US"/>
                <w14:ligatures w14:val="none"/>
              </w:rPr>
              <w:t>(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12"/>
                <w:szCs w:val="22"/>
                <w:lang w:val="en-US"/>
                <w14:ligatures w14:val="none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调查观察（第7版）</w:t>
            </w:r>
          </w:p>
        </w:tc>
        <w:tc>
          <w:tcPr>
            <w:tcW w:w="8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刊播日期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  <w14:ligatures w14:val="none"/>
              </w:rPr>
              <w:t>2022年9月9日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827" w:type="dxa"/>
            <w:gridSpan w:val="2"/>
            <w:vAlign w:val="center"/>
          </w:tcPr>
          <w:p>
            <w:pPr>
              <w:widowControl w:val="0"/>
              <w:spacing w:line="340" w:lineRule="exact"/>
              <w:jc w:val="both"/>
              <w:rPr>
                <w:rFonts w:ascii="FangSong_GB2312" w:hAnsi="仿宋" w:eastAsia="FangSong_GB2312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新媒体作品填报网址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fldChar w:fldCharType="begin"/>
            </w:r>
            <w:r>
              <w:instrText xml:space="preserve"> HYPERLINK "https://h.xinhuaxmt.com/vh512/share/11104100?d=1348bed"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000000"/>
                <w:szCs w:val="18"/>
              </w:rPr>
              <w:t>https://h.xinhuaxmt.com/vh512/share/11104100?d=1348bed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0" w:type="dxa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︵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作采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品编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简过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介程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︶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Cs w:val="18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这是党的二十大召开前夕最具传播力的农业通讯报道之一。一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18"/>
                <w:lang w:val="en-US"/>
              </w:rPr>
              <w:t>是独家挖掘出典型意象，通过为“双抢”（抢种抢收）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18"/>
                <w:lang w:val="en-US"/>
              </w:rPr>
              <w:t>立传”，反映时代变迁。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在南方稻作区，“双抢”被称为“最辛苦的农活”，它近年来发生翻天覆地之变，是反映南方水稻生产变革乃至我国农业发展成就的典型样本。但是，鲜见对该主题的深度报道。作者结合少年时参加“双抢”的经历，以及多年研究“三农”的积累，挖掘出该意象，生动充分反映了时代变迁的伟大成就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18"/>
                <w:lang w:val="en-US"/>
              </w:rPr>
              <w:t>二是充分体现了调查研究的作风。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在多年深耕农业报道的基础上，作者深入采访老中青三代粮农、农业干部、农业院士学者、有“双抢”经历的城市居民等50余人，精心谋篇布局，从策划到采写编历时半年之久，推出了钩沉历史、连接当下、探讨未来的深度报道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18"/>
                <w:lang w:val="en-US"/>
              </w:rPr>
              <w:t>三是文字鲜活，情怀质朴，共情效应突出。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对于在南方农村长大的“50后”到“80后”四代人，“吃得‘双抢’苦，何事不可为”这句话，是每代人努力“进城”的精神动力。报道讲述“‘双抢’之苦、乐、变”故事，勾起读者回忆、映照时代巨变、连接当下幸福，产生强烈的情感冲击。尤其以《告别被称为“农人炼狱”的“双抢”，中国农业正在经历什么？》为新媒体标题，催泪共情，成功实现农业报道传播“出圈”。</w:t>
            </w:r>
          </w:p>
          <w:p>
            <w:pPr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0" w:type="dxa"/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社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会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效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果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widowControl w:val="0"/>
              <w:ind w:firstLine="420"/>
              <w:jc w:val="both"/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</w:pPr>
          </w:p>
          <w:p>
            <w:pPr>
              <w:ind w:firstLine="42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</w:rPr>
              <w:t>稿件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在《新华每日电讯》整版刊登，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被130多家媒体转载。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学习强国、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新华社客户端在首页展示，客户端总阅读量累计312万人次；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微信公众号的阅读量达到10万+，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新华每日电讯、半月谈、瞭望智库、财经国家周刊、瞭望东方等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多家媒体的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微信公众号转发；《安徽日报》《湖南日报》等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省级党委机关报在报纸上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转载，《湖南卫视新闻联播》口播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报道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人民网、新华网、中国网等大量网站转发；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今日头条、百度新闻、腾讯、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凤凰网、搜狐、网易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大量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市场媒体转载。</w:t>
            </w:r>
          </w:p>
          <w:p>
            <w:pPr>
              <w:ind w:firstLine="42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该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报道在“三农”领域引发高度关注。《农民日报》微信头条推送，《南方农村报》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在报纸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头版转载。难能可贵的是，“三农”学术界给予高度肯定，中国人民大学程国强教授、武汉大学贺雪峰教授、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中国农业大学朱启臻教授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等多位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知名“三农”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专家，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在其官方学术平台、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学院官方微信公号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头条转发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或在其个人实名微博微信号上广泛推崇</w:t>
            </w:r>
            <w:r>
              <w:rPr>
                <w:rFonts w:hint="eastAsia" w:ascii="仿宋" w:hAnsi="仿宋" w:eastAsia="仿宋" w:cs="仿宋"/>
                <w:color w:val="000000"/>
                <w:szCs w:val="18"/>
              </w:rPr>
              <w:t>。业界专家点评该报道“是一篇新闻调查，也是乡村散文、报告文学和农业论文”。</w:t>
            </w: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>同时还获评新华社社级好稿。</w:t>
            </w:r>
          </w:p>
          <w:p>
            <w:pPr>
              <w:widowControl w:val="0"/>
              <w:ind w:firstLine="420"/>
              <w:jc w:val="both"/>
              <w:rPr>
                <w:rFonts w:ascii="仿宋" w:hAnsi="仿宋" w:eastAsia="仿宋" w:cs="仿宋"/>
                <w:color w:val="000000"/>
                <w:szCs w:val="18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exact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︵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初推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评荐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评理</w:t>
            </w:r>
          </w:p>
          <w:p>
            <w:pPr>
              <w:widowControl w:val="0"/>
              <w:spacing w:line="38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语由</w:t>
            </w:r>
          </w:p>
          <w:p>
            <w:pPr>
              <w:widowControl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︶</w:t>
            </w:r>
          </w:p>
        </w:tc>
        <w:tc>
          <w:tcPr>
            <w:tcW w:w="817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Cs w:val="18"/>
              </w:rPr>
            </w:pPr>
          </w:p>
          <w:p>
            <w:pPr>
              <w:ind w:firstLine="420"/>
              <w:rPr>
                <w:rFonts w:ascii="仿宋" w:hAnsi="仿宋" w:eastAsia="仿宋" w:cs="仿宋"/>
                <w:color w:val="000000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Cs w:val="18"/>
                <w:lang w:val="en-US"/>
              </w:rPr>
              <w:t xml:space="preserve">“三农”记者多年深耕基层，结合深入扎实的调查研究，让这篇农业通讯不仅有故事和细节，有情感和温度，更有高度和格局；独家挖掘出“双抢”这一典型意象，巧妙借鉴“立传”等表现手法，在具有历史纵深感的讲述中，充分有力展现我国农业现代化取得的伟大成就；通过讲述三代人具有时代烙印的故事，勾起读者回忆、映照时代巨变、连接当下幸福、展望未来方向，催泪共情，成功实现农业报道立意出彩、传播“出圈”。   </w:t>
            </w:r>
          </w:p>
          <w:p>
            <w:pPr>
              <w:widowControl w:val="0"/>
              <w:spacing w:line="360" w:lineRule="exact"/>
              <w:jc w:val="both"/>
              <w:rPr>
                <w:rFonts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  <w:t xml:space="preserve">                      </w:t>
            </w:r>
          </w:p>
          <w:p>
            <w:pPr>
              <w:widowControl w:val="0"/>
              <w:spacing w:line="360" w:lineRule="exact"/>
              <w:jc w:val="both"/>
              <w:rPr>
                <w:rFonts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  <w:szCs w:val="22"/>
                <w:lang w:val="en-US"/>
                <w14:ligatures w14:val="none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（盖单位公章）</w:t>
            </w:r>
          </w:p>
          <w:p>
            <w:pPr>
              <w:widowControl w:val="0"/>
              <w:jc w:val="both"/>
              <w:rPr>
                <w:rFonts w:ascii="仿宋" w:hAnsi="仿宋" w:eastAsia="仿宋" w:cs="Times New Roman"/>
                <w:color w:val="000000"/>
                <w:sz w:val="32"/>
                <w:szCs w:val="21"/>
                <w:lang w:val="en-US"/>
                <w14:ligatures w14:val="none"/>
              </w:rPr>
            </w:pPr>
            <w:r>
              <w:rPr>
                <w:rFonts w:hint="eastAsia" w:ascii="FangSong_GB2312" w:hAnsi="Calibri" w:eastAsia="FangSong_GB2312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                               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20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23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年  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月</w:t>
            </w:r>
            <w:r>
              <w:rPr>
                <w:rFonts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  <w:lang w:val="en-US"/>
                <w14:ligatures w14:val="none"/>
              </w:rPr>
              <w:t>日</w:t>
            </w:r>
          </w:p>
        </w:tc>
      </w:tr>
    </w:tbl>
    <w:p>
      <w:pPr>
        <w:widowControl w:val="0"/>
        <w:jc w:val="both"/>
        <w:rPr>
          <w:rFonts w:ascii="华文仿宋" w:hAnsi="华文仿宋" w:eastAsia="华文仿宋" w:cs="Times New Roman"/>
          <w:color w:val="000000"/>
          <w:sz w:val="32"/>
          <w:szCs w:val="32"/>
          <w:lang w:val="en-US"/>
          <w14:ligatures w14:val="none"/>
        </w:rPr>
        <w:sectPr>
          <w:headerReference r:id="rId3" w:type="default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rPr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04"/>
    <w:rsid w:val="000C1380"/>
    <w:rsid w:val="00126003"/>
    <w:rsid w:val="00212C04"/>
    <w:rsid w:val="00273011"/>
    <w:rsid w:val="00301BA5"/>
    <w:rsid w:val="0039769A"/>
    <w:rsid w:val="00444F97"/>
    <w:rsid w:val="005A7A41"/>
    <w:rsid w:val="00682490"/>
    <w:rsid w:val="006B3072"/>
    <w:rsid w:val="006E5451"/>
    <w:rsid w:val="00700A29"/>
    <w:rsid w:val="00710538"/>
    <w:rsid w:val="00721050"/>
    <w:rsid w:val="00726E81"/>
    <w:rsid w:val="007A204A"/>
    <w:rsid w:val="008B53FD"/>
    <w:rsid w:val="008F70B5"/>
    <w:rsid w:val="009469E5"/>
    <w:rsid w:val="00A26BCA"/>
    <w:rsid w:val="00A5143D"/>
    <w:rsid w:val="00A9468D"/>
    <w:rsid w:val="00AF0650"/>
    <w:rsid w:val="00BD1F6A"/>
    <w:rsid w:val="00E75244"/>
    <w:rsid w:val="00EF7A0F"/>
    <w:rsid w:val="00F26217"/>
    <w:rsid w:val="00F76CFC"/>
    <w:rsid w:val="00F87644"/>
    <w:rsid w:val="260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AU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6"/>
    <w:unhideWhenUsed/>
    <w:qFormat/>
    <w:uiPriority w:val="99"/>
    <w:pPr>
      <w:widowControl w:val="0"/>
      <w:spacing w:after="120"/>
      <w:jc w:val="both"/>
    </w:pPr>
    <w:rPr>
      <w:rFonts w:eastAsia="FangSong_GB2312"/>
      <w:sz w:val="16"/>
      <w:szCs w:val="16"/>
      <w:lang w:val="en-US"/>
      <w14:ligatures w14:val="none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Body Text 3 Char"/>
    <w:basedOn w:val="4"/>
    <w:link w:val="2"/>
    <w:qFormat/>
    <w:uiPriority w:val="99"/>
    <w:rPr>
      <w:rFonts w:eastAsia="FangSong_GB2312"/>
      <w:sz w:val="16"/>
      <w:szCs w:val="16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1343</Characters>
  <Lines>11</Lines>
  <Paragraphs>3</Paragraphs>
  <TotalTime>17</TotalTime>
  <ScaleCrop>false</ScaleCrop>
  <LinksUpToDate>false</LinksUpToDate>
  <CharactersWithSpaces>1444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2023-05-22T02:29:00Z</dcterms:created>
  <dc:creator>yini_wang@hnu.edu.cn</dc:creator>
  <cp:lastModifiedBy>yanjuan</cp:lastModifiedBy>
  <dcterms:modified xsi:type="dcterms:W3CDTF">2023-05-26T02:02:51Z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667A4F9487454B71AD8A6CA597EA138A_13</vt:lpwstr>
  </property>
</Properties>
</file>