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lang w:eastAsia="zh-CN"/>
        </w:rPr>
        <w:t>湖南</w:t>
      </w:r>
      <w:r>
        <w:rPr>
          <w:rFonts w:hint="eastAsia" w:ascii="方正小标宋简体" w:hAnsi="方正小标宋简体" w:eastAsia="方正小标宋简体" w:cs="方正小标宋简体"/>
          <w:color w:val="000000"/>
          <w:sz w:val="44"/>
          <w:szCs w:val="44"/>
        </w:rPr>
        <w:t>新闻奖参评作品推荐表</w:t>
      </w:r>
      <w:bookmarkEnd w:id="0"/>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1450" w:type="dxa"/>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spacing w:line="260" w:lineRule="exact"/>
              <w:rPr>
                <w:rFonts w:ascii="华文中宋" w:hAnsi="华文中宋" w:eastAsia="华文中宋"/>
                <w:color w:val="000000"/>
                <w:sz w:val="28"/>
              </w:rPr>
            </w:pPr>
            <w:r>
              <w:rPr>
                <w:rFonts w:hint="eastAsia" w:ascii="仿宋" w:hAnsi="仿宋" w:eastAsia="仿宋"/>
                <w:color w:val="000000" w:themeColor="text1"/>
                <w:sz w:val="21"/>
                <w:szCs w:val="21"/>
                <w:lang w:eastAsia="zh-CN"/>
                <w14:textFill>
                  <w14:solidFill>
                    <w14:schemeClr w14:val="tx1"/>
                  </w14:solidFill>
                </w14:textFill>
              </w:rPr>
              <w:t>常德石门：包“邮”到家 包“邮”到岗</w:t>
            </w: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left"/>
              <w:rPr>
                <w:rFonts w:hint="eastAsia" w:ascii="仿宋" w:hAnsi="仿宋" w:eastAsia="仿宋" w:cs="仿宋"/>
                <w:color w:val="000000"/>
                <w:sz w:val="24"/>
                <w:szCs w:val="18"/>
                <w:lang w:eastAsia="zh-CN"/>
              </w:rPr>
            </w:pPr>
            <w:r>
              <w:rPr>
                <w:rFonts w:hint="eastAsia" w:hAnsi="仿宋_GB2312" w:cs="仿宋_GB2312"/>
                <w:color w:val="000000"/>
                <w:spacing w:val="-6"/>
                <w:sz w:val="21"/>
                <w:szCs w:val="21"/>
                <w:lang w:eastAsia="zh-CN"/>
              </w:rPr>
              <w:t>县融优秀作品奖（</w:t>
            </w:r>
            <w:r>
              <w:rPr>
                <w:rFonts w:hint="eastAsia" w:ascii="仿宋_GB2312" w:hAnsi="仿宋_GB2312" w:eastAsia="仿宋_GB2312" w:cs="仿宋_GB2312"/>
                <w:color w:val="000000" w:themeColor="text1"/>
                <w:sz w:val="21"/>
                <w:szCs w:val="21"/>
                <w14:textFill>
                  <w14:solidFill>
                    <w14:schemeClr w14:val="tx1"/>
                  </w14:solidFill>
                </w14:textFill>
              </w:rPr>
              <w:t>融合报道</w:t>
            </w:r>
            <w:r>
              <w:rPr>
                <w:rFonts w:hint="eastAsia" w:hAnsi="仿宋_GB2312" w:cs="仿宋_GB2312"/>
                <w:color w:val="000000"/>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left"/>
              <w:rPr>
                <w:rFonts w:hint="default" w:ascii="仿宋_GB2312" w:hAnsi="仿宋" w:eastAsia="仿宋_GB2312"/>
                <w:color w:val="000000"/>
                <w:sz w:val="28"/>
                <w:lang w:val="en-US" w:eastAsia="zh-CN"/>
              </w:rPr>
            </w:pPr>
            <w:r>
              <w:rPr>
                <w:rFonts w:hint="eastAsia" w:hAnsi="仿宋"/>
                <w:color w:val="000000"/>
                <w:sz w:val="21"/>
                <w:szCs w:val="21"/>
                <w:lang w:eastAsia="zh-CN"/>
              </w:rPr>
              <w:t>新媒体</w:t>
            </w:r>
            <w:r>
              <w:rPr>
                <w:rFonts w:hint="eastAsia" w:hAnsi="仿宋"/>
                <w:color w:val="000000"/>
                <w:sz w:val="21"/>
                <w:szCs w:val="21"/>
                <w:lang w:val="en-US"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left"/>
              <w:rPr>
                <w:rFonts w:hint="eastAsia" w:ascii="仿宋_GB2312" w:eastAsia="仿宋_GB2312"/>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spacing w:line="260" w:lineRule="exact"/>
              <w:jc w:val="left"/>
              <w:rPr>
                <w:rFonts w:hint="default" w:ascii="仿宋_GB2312" w:hAnsi="华文中宋" w:eastAsia="仿宋_GB2312"/>
                <w:color w:val="000000"/>
                <w:sz w:val="28"/>
                <w:lang w:val="en-US" w:eastAsia="zh-CN"/>
              </w:rPr>
            </w:pPr>
            <w:r>
              <w:rPr>
                <w:rFonts w:hint="eastAsia" w:hAnsi="华文中宋"/>
                <w:color w:val="000000"/>
                <w:sz w:val="21"/>
                <w:szCs w:val="21"/>
                <w:lang w:eastAsia="zh-CN"/>
              </w:rPr>
              <w:t>池琳、易姣妃、张黎明、胡颖</w:t>
            </w:r>
          </w:p>
        </w:tc>
        <w:tc>
          <w:tcPr>
            <w:tcW w:w="855"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spacing w:line="240" w:lineRule="exact"/>
              <w:ind w:firstLine="199" w:firstLineChars="100"/>
              <w:jc w:val="both"/>
              <w:rPr>
                <w:rFonts w:hint="eastAsia" w:ascii="仿宋" w:hAnsi="仿宋" w:eastAsia="仿宋"/>
                <w:color w:val="000000"/>
                <w:w w:val="95"/>
                <w:szCs w:val="21"/>
                <w:lang w:eastAsia="zh-CN"/>
              </w:rPr>
            </w:pPr>
            <w:r>
              <w:rPr>
                <w:rFonts w:hint="eastAsia" w:ascii="仿宋" w:hAnsi="仿宋" w:eastAsia="仿宋"/>
                <w:color w:val="000000"/>
                <w:w w:val="95"/>
                <w:sz w:val="21"/>
                <w:szCs w:val="21"/>
                <w:lang w:eastAsia="zh-CN"/>
              </w:rPr>
              <w:t>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both"/>
              <w:rPr>
                <w:rFonts w:hint="eastAsia" w:ascii="仿宋_GB2312" w:hAnsi="仿宋" w:eastAsia="仿宋_GB2312"/>
                <w:color w:val="000000"/>
                <w:sz w:val="21"/>
                <w:szCs w:val="21"/>
                <w:lang w:eastAsia="zh-CN"/>
              </w:rPr>
            </w:pPr>
            <w:r>
              <w:rPr>
                <w:rFonts w:hint="eastAsia" w:hAnsi="仿宋"/>
                <w:color w:val="000000"/>
                <w:sz w:val="21"/>
                <w:szCs w:val="21"/>
                <w:lang w:eastAsia="zh-CN"/>
              </w:rPr>
              <w:t>石门县融媒体中心</w:t>
            </w:r>
          </w:p>
        </w:tc>
        <w:tc>
          <w:tcPr>
            <w:tcW w:w="855"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kern w:val="2"/>
                <w:sz w:val="21"/>
                <w:szCs w:val="21"/>
                <w:lang w:val="en-US" w:eastAsia="zh-CN" w:bidi="ar-SA"/>
              </w:rPr>
              <w:t>石门县融媒体中心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1450" w:type="dxa"/>
            <w:vAlign w:val="center"/>
          </w:tcPr>
          <w:p>
            <w:pPr>
              <w:spacing w:line="44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 w:eastAsia="仿宋_GB2312"/>
                <w:color w:val="000000"/>
                <w:sz w:val="21"/>
                <w:szCs w:val="21"/>
                <w:lang w:eastAsia="zh-CN"/>
              </w:rPr>
            </w:pPr>
            <w:r>
              <w:rPr>
                <w:rFonts w:hint="eastAsia" w:hAnsi="仿宋"/>
                <w:color w:val="000000"/>
                <w:sz w:val="21"/>
                <w:szCs w:val="21"/>
                <w:lang w:eastAsia="zh-CN"/>
              </w:rPr>
              <w:t>新湖南石门频道</w:t>
            </w:r>
          </w:p>
        </w:tc>
        <w:tc>
          <w:tcPr>
            <w:tcW w:w="855"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spacing w:line="260" w:lineRule="exact"/>
              <w:rPr>
                <w:rFonts w:ascii="仿宋_GB2312" w:hAnsi="仿宋"/>
                <w:color w:val="000000"/>
                <w:szCs w:val="21"/>
              </w:rPr>
            </w:pPr>
            <w:r>
              <w:rPr>
                <w:rFonts w:hint="eastAsia" w:ascii="仿宋_GB2312" w:hAnsi="仿宋_GB2312" w:eastAsia="仿宋_GB2312" w:cs="仿宋_GB2312"/>
                <w:sz w:val="21"/>
                <w:szCs w:val="21"/>
                <w:lang w:val="en-US" w:eastAsia="zh-CN"/>
              </w:rPr>
              <w:t>2022</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eastAsia="zh-CN"/>
              </w:rPr>
              <w:t>02</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lang w:val="en-US" w:eastAsia="zh-CN"/>
              </w:rPr>
              <w:t>09</w:t>
            </w:r>
            <w:r>
              <w:rPr>
                <w:rFonts w:hint="eastAsia" w:ascii="仿宋_GB2312" w:hAnsi="仿宋_GB2312" w:eastAsia="仿宋_GB2312" w:cs="仿宋_GB2312"/>
                <w:sz w:val="21"/>
                <w:szCs w:val="21"/>
              </w:rPr>
              <w:t>日</w:t>
            </w:r>
            <w:r>
              <w:rPr>
                <w:rFonts w:hint="eastAsia" w:ascii="仿宋_GB2312" w:hAnsi="仿宋_GB2312" w:eastAsia="仿宋_GB2312" w:cs="仿宋_GB2312"/>
                <w:sz w:val="21"/>
                <w:szCs w:val="21"/>
                <w:lang w:val="en-US" w:eastAsia="zh-CN"/>
              </w:rPr>
              <w:t>16</w:t>
            </w:r>
            <w:r>
              <w:rPr>
                <w:rFonts w:hint="eastAsia" w:ascii="仿宋_GB2312" w:hAnsi="仿宋_GB2312" w:eastAsia="仿宋_GB2312" w:cs="仿宋_GB2312"/>
                <w:sz w:val="21"/>
                <w:szCs w:val="21"/>
              </w:rPr>
              <w:t>时</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2827" w:type="dxa"/>
            <w:gridSpan w:val="2"/>
            <w:vAlign w:val="center"/>
          </w:tcPr>
          <w:p>
            <w:pPr>
              <w:spacing w:line="34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"https://m.voc.com.cn/rmt/article/3371503.html" </w:instrText>
            </w:r>
            <w:r>
              <w:rPr>
                <w:rFonts w:hint="eastAsia" w:ascii="仿宋_GB2312" w:hAnsi="仿宋_GB2312" w:eastAsia="仿宋_GB2312" w:cs="仿宋_GB2312"/>
                <w:sz w:val="21"/>
                <w:szCs w:val="21"/>
              </w:rPr>
              <w:fldChar w:fldCharType="separate"/>
            </w:r>
            <w:r>
              <w:rPr>
                <w:rStyle w:val="7"/>
                <w:rFonts w:hint="eastAsia" w:ascii="仿宋_GB2312" w:hAnsi="仿宋_GB2312" w:eastAsia="仿宋_GB2312" w:cs="仿宋_GB2312"/>
                <w:sz w:val="21"/>
                <w:szCs w:val="21"/>
              </w:rPr>
              <w:t>https://m.voc.com.cn/rmt/article/3371503.html</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 xml:space="preserve">  </w:t>
            </w:r>
            <w:r>
              <w:rPr>
                <w:rFonts w:hint="eastAsia" w:ascii="仿宋" w:hAnsi="仿宋" w:eastAsia="仿宋_GB2312"/>
                <w:sz w:val="24"/>
                <w:lang w:eastAsia="zh-CN"/>
              </w:rPr>
              <w:drawing>
                <wp:anchor distT="0" distB="0" distL="114300" distR="114300" simplePos="0" relativeHeight="251659264" behindDoc="0" locked="0" layoutInCell="1" allowOverlap="1">
                  <wp:simplePos x="0" y="0"/>
                  <wp:positionH relativeFrom="column">
                    <wp:posOffset>3408680</wp:posOffset>
                  </wp:positionH>
                  <wp:positionV relativeFrom="paragraph">
                    <wp:posOffset>-46355</wp:posOffset>
                  </wp:positionV>
                  <wp:extent cx="488315" cy="474980"/>
                  <wp:effectExtent l="0" t="0" r="6985" b="1270"/>
                  <wp:wrapSquare wrapText="bothSides"/>
                  <wp:docPr id="2" name="图片 2" descr="包邮到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包邮到家"/>
                          <pic:cNvPicPr>
                            <a:picLocks noChangeAspect="1"/>
                          </pic:cNvPicPr>
                        </pic:nvPicPr>
                        <pic:blipFill>
                          <a:blip r:embed="rId6"/>
                          <a:stretch>
                            <a:fillRect/>
                          </a:stretch>
                        </pic:blipFill>
                        <pic:spPr>
                          <a:xfrm>
                            <a:off x="0" y="0"/>
                            <a:ext cx="488315" cy="4749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1450"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疫情期间，务工人员顺利返岗和务工地快速复工是万千打工人和各个企业切身关注的焦点，面对车票一票难求的问题，石门县组织邮政暖心大巴“包邮到岗，包邮到家”，通过点对点接送，减少了群众外出中转车，实现了疫情防控闭环管控，有助于工人返岗及务工地快速复工复产。这也是该县第5年开展此类公益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仿宋" w:hAnsi="仿宋" w:eastAsia="仿宋"/>
                <w:color w:val="000000"/>
                <w:w w:val="95"/>
                <w:szCs w:val="21"/>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在采集新闻过程中，记者早早赶赴现场详细了解并拍摄全程。在标题选择上详细斟酌，最终选用“包邮到家，包邮到岗”，结合邮政的行业类型以及返岗复工的迫切情况，体现了给返岗复工民众带来的及时、便捷。作品</w:t>
            </w:r>
            <w:r>
              <w:rPr>
                <w:rFonts w:hint="eastAsia" w:eastAsia="仿宋_GB2312"/>
                <w:sz w:val="21"/>
                <w:szCs w:val="21"/>
                <w:lang w:val="en-US" w:eastAsia="zh-CN"/>
              </w:rPr>
              <w:t>使用短视频＋图文并茂的形式更加具有现场感。新闻在本地平台点击量5万以上，作品还被人民日报、新华社、红网、网易等客户端网站竞相转载，总阅读量超130万次。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仿宋" w:hAnsi="仿宋" w:eastAsia="仿宋"/>
                <w:color w:val="000000"/>
                <w:szCs w:val="21"/>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在疫情防控特殊时期，作品</w:t>
            </w:r>
            <w:r>
              <w:rPr>
                <w:rFonts w:hint="eastAsia" w:eastAsia="仿宋_GB2312"/>
                <w:sz w:val="21"/>
                <w:szCs w:val="21"/>
                <w:lang w:val="en-US" w:eastAsia="zh-CN"/>
              </w:rPr>
              <w:t>“包邮到岗，包邮到家”，通过点对点接送，实现了疫情防控闭环管控，这一举措实实在在解决了很多务工人的难题和困境，获得众多支持与转发。</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弘扬社会正能量，打造了务工经济石门模式，一经发布，吸引</w:t>
            </w:r>
            <w:r>
              <w:rPr>
                <w:rFonts w:hint="eastAsia" w:eastAsia="仿宋_GB2312"/>
                <w:sz w:val="21"/>
                <w:szCs w:val="21"/>
                <w:lang w:val="en-US" w:eastAsia="zh-CN"/>
              </w:rPr>
              <w:t>人民日报、新华社、红网、网易等客户端网站竞相转载，总阅读量超130万次。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spacing w:line="380" w:lineRule="exact"/>
              <w:jc w:val="left"/>
              <w:rPr>
                <w:rFonts w:ascii="华文中宋" w:hAnsi="华文中宋" w:eastAsia="华文中宋"/>
                <w:color w:val="000000"/>
                <w:spacing w:val="-2"/>
                <w:sz w:val="28"/>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“包邮到家，包邮到岗”在选题上，突出民生关注焦点；在标题上，具有创新意识，立意巧妙，既体现了邮政行业的便捷、快速特点，又反映了此次活动为返岗复工民众带来的便利；</w:t>
            </w:r>
            <w:r>
              <w:rPr>
                <w:rFonts w:hint="eastAsia" w:eastAsia="仿宋_GB2312"/>
                <w:sz w:val="21"/>
                <w:szCs w:val="21"/>
                <w:lang w:val="en-US" w:eastAsia="zh-CN"/>
              </w:rPr>
              <w:t>在产品形态和传播平台的选择上，使用短视频＋图文并茂的形式更加具有现场感。</w:t>
            </w:r>
            <w:r>
              <w:rPr>
                <w:rFonts w:hint="eastAsia" w:ascii="华文中宋" w:hAnsi="华文中宋" w:eastAsia="华文中宋"/>
                <w:color w:val="000000"/>
                <w:spacing w:val="-2"/>
                <w:sz w:val="28"/>
              </w:rPr>
              <w:t xml:space="preserve">                      </w:t>
            </w:r>
          </w:p>
          <w:p>
            <w:pPr>
              <w:spacing w:line="360" w:lineRule="exact"/>
              <w:ind w:leftChars="1600"/>
              <w:jc w:val="center"/>
              <w:rPr>
                <w:rFonts w:ascii="华文中宋" w:hAnsi="华文中宋" w:eastAsia="华文中宋"/>
                <w:color w:val="000000"/>
                <w:sz w:val="28"/>
              </w:rPr>
            </w:pPr>
            <w:r>
              <w:rPr>
                <w:rFonts w:hint="eastAsia" w:ascii="华文中宋" w:hAnsi="华文中宋" w:eastAsia="华文中宋"/>
                <w:color w:val="000000"/>
                <w:spacing w:val="-2"/>
                <w:sz w:val="28"/>
              </w:rPr>
              <w:t>签名：</w:t>
            </w:r>
          </w:p>
          <w:p>
            <w:pPr>
              <w:ind w:leftChars="1600"/>
              <w:jc w:val="center"/>
              <w:rPr>
                <w:rFonts w:ascii="仿宋" w:hAnsi="仿宋" w:eastAsia="仿宋"/>
                <w:color w:val="000000"/>
                <w:szCs w:val="21"/>
              </w:rPr>
            </w:pPr>
            <w:r>
              <w:rPr>
                <w:rFonts w:ascii="华文中宋" w:hAnsi="华文中宋" w:eastAsia="华文中宋"/>
                <w:color w:val="000000"/>
                <w:sz w:val="28"/>
              </w:rPr>
              <w:t>年</w:t>
            </w:r>
            <w:r>
              <w:rPr>
                <w:rFonts w:hint="eastAsia" w:ascii="华文中宋" w:hAnsi="华文中宋" w:eastAsia="华文中宋"/>
                <w:color w:val="000000"/>
                <w:sz w:val="28"/>
                <w:lang w:val="en-US" w:eastAsia="zh-CN"/>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lang w:val="en-US" w:eastAsia="zh-CN"/>
              </w:rPr>
              <w:t xml:space="preserve"> </w:t>
            </w:r>
            <w:r>
              <w:rPr>
                <w:rFonts w:hint="eastAsia" w:ascii="华文中宋" w:hAnsi="华文中宋" w:eastAsia="华文中宋"/>
                <w:color w:val="000000"/>
                <w:sz w:val="28"/>
              </w:rPr>
              <w:t>日</w:t>
            </w:r>
          </w:p>
        </w:tc>
      </w:tr>
    </w:tbl>
    <w:p>
      <w:pPr>
        <w:spacing w:after="100" w:afterAutospacing="1"/>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mFmOWY0ZDM3MzE1ODRjMmU1MWJlNDU2MmQ4MjEifQ=="/>
  </w:docVars>
  <w:rsids>
    <w:rsidRoot w:val="5A320333"/>
    <w:rsid w:val="02771B83"/>
    <w:rsid w:val="0B0A682C"/>
    <w:rsid w:val="29A42A5E"/>
    <w:rsid w:val="5A320333"/>
    <w:rsid w:val="718C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spacing w:line="240" w:lineRule="auto"/>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1492</Words>
  <Characters>1632</Characters>
  <Lines>0</Lines>
  <Paragraphs>0</Paragraphs>
  <TotalTime>18</TotalTime>
  <ScaleCrop>false</ScaleCrop>
  <LinksUpToDate>false</LinksUpToDate>
  <CharactersWithSpaces>1685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2023-03-09T06:55:00Z</dcterms:created>
  <dc:creator>阿狸～</dc:creator>
  <cp:lastModifiedBy>阿狸～</cp:lastModifiedBy>
  <dcterms:modified xsi:type="dcterms:W3CDTF">2023-03-09T09:15:43Z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8FEB58D77EF845118F0F55686B79DE6C</vt:lpwstr>
  </property>
</Properties>
</file>