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新闻奖参评作品推荐表</w:t>
      </w:r>
      <w:bookmarkEnd w:id="0"/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《湖南屋脊上的屋场会》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基础类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电视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欧阳志慧、文晓辉、马业富、唐小婷、覃瑾杰、郭刚、</w:t>
            </w:r>
          </w:p>
          <w:p>
            <w:pPr>
              <w:spacing w:line="260" w:lineRule="exact"/>
              <w:jc w:val="left"/>
              <w:rPr>
                <w:rFonts w:hint="default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熊立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欧阳志慧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、文晓辉、马业富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石门县融媒体中心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石门县融媒体中心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eastAsia="zh-CN"/>
              </w:rPr>
              <w:t>石门新闻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11月3日19时38分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https://m-xhncloud.voc.com.cn/portal/news/show?id=5933290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党的二十大召开以后，石门县积极开展党的二十大精神学习宣传贯彻，多角度、多载体、多渠道引导广大基层群众学习领会党的二十大精神，推动党的二十大精神接地气、入人心。在与湖南屋脊壶瓶山一脉相承的金家河村，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驻村帮扶工作队队长张忠富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第一时间组织召开屋场会宣讲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党的二十大精神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，这是近几年来石门县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积极探索基层治理的新模式，在村组创新建立屋场会制度，屋场听民意，聚力解民忧。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2016年，张忠富来到这里，带领当地群众以“有一块钱就修一寸路”的愚公移山的精神，让小山村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脱贫摘帽，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焕发了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新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生机。该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新闻专题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以纪实的形式，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以“屋场会学习宣传贯彻党的二十大精神”巧妙切入，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较好地展现了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驻村工作队在群众家门口宣讲政策、听取民意、化解矛盾、排忧解难、谋划发展的基层治理新模式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该新闻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专题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于202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日在《石门新闻》播出以后，受到了社会各界的广泛认可，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张忠富及其团队受到上级组织的表扬与推介。该新闻专题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相继在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常德新闻联播、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湖南卫视新闻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联播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、湖南经视新闻、学习强国、红网时刻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人民网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等平台推出。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初评评语</w:t>
            </w:r>
          </w:p>
          <w:p>
            <w:pPr>
              <w:spacing w:line="380" w:lineRule="exact"/>
              <w:jc w:val="both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（推荐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理由）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该新闻事实典型、语言精炼、镜头精美、逻辑清晰，值得推荐。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</w:t>
            </w:r>
          </w:p>
          <w:p>
            <w:pPr>
              <w:spacing w:line="360" w:lineRule="exact"/>
              <w:ind w:leftChars="16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</w:p>
          <w:p>
            <w:pPr>
              <w:ind w:leftChars="160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马业富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15073652282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YzAyZDcyOWY0ZmI2YmI2MjU2MGMxOWEzM2VlYzgifQ=="/>
  </w:docVars>
  <w:rsids>
    <w:rsidRoot w:val="2CDD3F30"/>
    <w:rsid w:val="2CD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2023-03-09T10:30:00Z</dcterms:created>
  <dc:creator>WPS_202008636</dc:creator>
  <cp:lastModifiedBy>WPS_202008636</cp:lastModifiedBy>
  <dcterms:modified xsi:type="dcterms:W3CDTF">2023-03-09T10:32:08Z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C5C8B378CB554B9699FCDF3FB709A3B1</vt:lpwstr>
  </property>
</Properties>
</file>