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color w:val="auto"/>
          <w:kern w:val="0"/>
          <w:sz w:val="32"/>
          <w:szCs w:val="32"/>
          <w:highlight w:val="none"/>
        </w:rPr>
      </w:pPr>
    </w:p>
    <w:p>
      <w:pPr>
        <w:spacing w:line="600" w:lineRule="exact"/>
        <w:rPr>
          <w:rFonts w:ascii="Times New Roman" w:hAnsi="Times New Roman" w:eastAsia="黑体" w:cs="Times New Roman"/>
          <w:color w:val="auto"/>
          <w:kern w:val="0"/>
          <w:sz w:val="32"/>
          <w:szCs w:val="32"/>
          <w:highlight w:val="none"/>
        </w:rPr>
      </w:pPr>
    </w:p>
    <w:p>
      <w:pPr>
        <w:spacing w:line="600" w:lineRule="exact"/>
        <w:rPr>
          <w:rFonts w:ascii="Times New Roman" w:hAnsi="Times New Roman" w:eastAsia="黑体" w:cs="Times New Roman"/>
          <w:color w:val="auto"/>
          <w:kern w:val="0"/>
          <w:sz w:val="32"/>
          <w:szCs w:val="32"/>
          <w:highlight w:val="none"/>
        </w:rPr>
      </w:pPr>
    </w:p>
    <w:p>
      <w:pPr>
        <w:spacing w:line="600" w:lineRule="exact"/>
        <w:rPr>
          <w:rFonts w:ascii="Times New Roman" w:hAnsi="Times New Roman" w:eastAsia="黑体" w:cs="Times New Roman"/>
          <w:color w:val="auto"/>
          <w:kern w:val="0"/>
          <w:sz w:val="32"/>
          <w:szCs w:val="32"/>
          <w:highlight w:val="none"/>
        </w:rPr>
      </w:pPr>
    </w:p>
    <w:p>
      <w:pPr>
        <w:jc w:val="center"/>
        <w:rPr>
          <w:rFonts w:hint="eastAsia" w:ascii="方正小标宋_GBK" w:hAnsi="Times New Roman" w:eastAsia="方正小标宋_GBK" w:cs="Times New Roman"/>
          <w:color w:val="auto"/>
          <w:sz w:val="52"/>
          <w:szCs w:val="52"/>
          <w:highlight w:val="none"/>
          <w:lang w:eastAsia="zh-CN"/>
        </w:rPr>
      </w:pPr>
      <w:r>
        <w:rPr>
          <w:rFonts w:hint="eastAsia" w:ascii="方正小标宋_GBK" w:hAnsi="Times New Roman" w:eastAsia="方正小标宋_GBK" w:cs="Times New Roman"/>
          <w:color w:val="auto"/>
          <w:sz w:val="52"/>
          <w:szCs w:val="52"/>
          <w:highlight w:val="none"/>
          <w:lang w:val="en-US" w:eastAsia="zh-CN"/>
        </w:rPr>
        <w:t>202</w:t>
      </w:r>
      <w:r>
        <w:rPr>
          <w:rFonts w:hint="eastAsia" w:ascii="方正小标宋_GBK" w:eastAsia="方正小标宋_GBK" w:cs="Times New Roman"/>
          <w:color w:val="auto"/>
          <w:sz w:val="52"/>
          <w:szCs w:val="52"/>
          <w:highlight w:val="none"/>
          <w:lang w:val="en-US" w:eastAsia="zh-CN"/>
        </w:rPr>
        <w:t>0</w:t>
      </w:r>
      <w:bookmarkStart w:id="0" w:name="_GoBack"/>
      <w:bookmarkEnd w:id="0"/>
      <w:r>
        <w:rPr>
          <w:rFonts w:hint="eastAsia" w:ascii="方正小标宋_GBK" w:hAnsi="Times New Roman" w:eastAsia="方正小标宋_GBK" w:cs="Times New Roman"/>
          <w:color w:val="auto"/>
          <w:sz w:val="52"/>
          <w:szCs w:val="52"/>
          <w:highlight w:val="none"/>
        </w:rPr>
        <w:t>年</w:t>
      </w:r>
      <w:r>
        <w:rPr>
          <w:rFonts w:hint="eastAsia" w:ascii="方正小标宋_GBK" w:hAnsi="Times New Roman" w:eastAsia="方正小标宋_GBK" w:cs="Times New Roman"/>
          <w:color w:val="auto"/>
          <w:sz w:val="52"/>
          <w:szCs w:val="52"/>
          <w:highlight w:val="none"/>
          <w:lang w:eastAsia="zh-CN"/>
        </w:rPr>
        <w:t>度湖南建工集团有限公司</w:t>
      </w:r>
    </w:p>
    <w:p>
      <w:pPr>
        <w:jc w:val="center"/>
        <w:rPr>
          <w:rFonts w:ascii="方正小标宋_GBK" w:hAnsi="Times New Roman" w:eastAsia="方正小标宋_GBK" w:cs="Times New Roman"/>
          <w:color w:val="auto"/>
          <w:sz w:val="52"/>
          <w:szCs w:val="52"/>
          <w:highlight w:val="none"/>
        </w:rPr>
      </w:pPr>
      <w:r>
        <w:rPr>
          <w:rFonts w:hint="eastAsia" w:ascii="方正小标宋_GBK" w:hAnsi="Times New Roman" w:eastAsia="方正小标宋_GBK" w:cs="Times New Roman"/>
          <w:color w:val="auto"/>
          <w:sz w:val="52"/>
          <w:szCs w:val="52"/>
          <w:highlight w:val="none"/>
        </w:rPr>
        <w:t>部门整体支出绩效自评报告</w:t>
      </w:r>
    </w:p>
    <w:p>
      <w:pPr>
        <w:jc w:val="both"/>
        <w:rPr>
          <w:rFonts w:ascii="Times New Roman" w:hAnsi="Times New Roman" w:eastAsia="楷体_GB2312" w:cs="Times New Roman"/>
          <w:b/>
          <w:color w:val="auto"/>
          <w:sz w:val="32"/>
          <w:szCs w:val="32"/>
          <w:highlight w:val="none"/>
        </w:rPr>
      </w:pPr>
    </w:p>
    <w:p>
      <w:pPr>
        <w:jc w:val="center"/>
        <w:rPr>
          <w:rFonts w:ascii="Times New Roman" w:hAnsi="Times New Roman" w:eastAsia="黑体" w:cs="Times New Roman"/>
          <w:color w:val="auto"/>
          <w:sz w:val="32"/>
          <w:szCs w:val="32"/>
          <w:highlight w:val="none"/>
        </w:rPr>
      </w:pPr>
    </w:p>
    <w:p>
      <w:pPr>
        <w:jc w:val="center"/>
        <w:rPr>
          <w:rFonts w:ascii="Times New Roman" w:hAnsi="Times New Roman" w:eastAsia="黑体" w:cs="Times New Roman"/>
          <w:color w:val="auto"/>
          <w:sz w:val="32"/>
          <w:szCs w:val="32"/>
          <w:highlight w:val="none"/>
        </w:rPr>
      </w:pPr>
    </w:p>
    <w:p>
      <w:pPr>
        <w:jc w:val="center"/>
        <w:rPr>
          <w:rFonts w:ascii="Times New Roman" w:hAnsi="Times New Roman" w:eastAsia="黑体" w:cs="Times New Roman"/>
          <w:color w:val="auto"/>
          <w:sz w:val="32"/>
          <w:szCs w:val="32"/>
          <w:highlight w:val="none"/>
        </w:rPr>
      </w:pPr>
    </w:p>
    <w:p>
      <w:pPr>
        <w:jc w:val="center"/>
        <w:rPr>
          <w:rFonts w:ascii="Times New Roman" w:hAnsi="Times New Roman" w:eastAsia="黑体" w:cs="Times New Roman"/>
          <w:color w:val="auto"/>
          <w:sz w:val="32"/>
          <w:szCs w:val="32"/>
          <w:highlight w:val="none"/>
        </w:rPr>
      </w:pPr>
    </w:p>
    <w:p>
      <w:pPr>
        <w:jc w:val="center"/>
        <w:rPr>
          <w:rFonts w:ascii="Times New Roman" w:hAnsi="Times New Roman" w:eastAsia="黑体" w:cs="Times New Roman"/>
          <w:color w:val="auto"/>
          <w:sz w:val="32"/>
          <w:szCs w:val="32"/>
          <w:highlight w:val="none"/>
        </w:rPr>
      </w:pPr>
    </w:p>
    <w:p>
      <w:pPr>
        <w:jc w:val="center"/>
        <w:rPr>
          <w:rFonts w:ascii="Times New Roman" w:hAnsi="Times New Roman" w:eastAsia="黑体" w:cs="Times New Roman"/>
          <w:color w:val="auto"/>
          <w:sz w:val="32"/>
          <w:szCs w:val="32"/>
          <w:highlight w:val="none"/>
        </w:rPr>
      </w:pPr>
    </w:p>
    <w:p>
      <w:pPr>
        <w:jc w:val="center"/>
        <w:rPr>
          <w:rFonts w:ascii="Times New Roman" w:hAnsi="Times New Roman" w:eastAsia="黑体" w:cs="Times New Roman"/>
          <w:color w:val="auto"/>
          <w:sz w:val="32"/>
          <w:szCs w:val="32"/>
          <w:highlight w:val="none"/>
        </w:rPr>
      </w:pPr>
    </w:p>
    <w:p>
      <w:pPr>
        <w:jc w:val="center"/>
        <w:rPr>
          <w:rFonts w:ascii="Times New Roman" w:hAnsi="Times New Roman" w:eastAsia="黑体" w:cs="Times New Roman"/>
          <w:color w:val="auto"/>
          <w:sz w:val="32"/>
          <w:szCs w:val="32"/>
          <w:highlight w:val="none"/>
        </w:rPr>
      </w:pPr>
    </w:p>
    <w:p>
      <w:pPr>
        <w:jc w:val="center"/>
        <w:rPr>
          <w:rFonts w:ascii="Times New Roman" w:hAnsi="Times New Roman" w:eastAsia="黑体" w:cs="Times New Roman"/>
          <w:color w:val="auto"/>
          <w:sz w:val="32"/>
          <w:szCs w:val="32"/>
          <w:highlight w:val="none"/>
        </w:rPr>
      </w:pPr>
    </w:p>
    <w:p>
      <w:pPr>
        <w:spacing w:line="600" w:lineRule="exact"/>
        <w:jc w:val="center"/>
        <w:rPr>
          <w:rFonts w:ascii="Times New Roman" w:hAnsi="Times New Roman" w:eastAsia="仿宋_GB2312" w:cs="Times New Roman"/>
          <w:color w:val="auto"/>
          <w:sz w:val="32"/>
          <w:szCs w:val="32"/>
          <w:highlight w:val="none"/>
          <w:u w:val="single"/>
        </w:rPr>
      </w:pPr>
      <w:r>
        <w:rPr>
          <w:rFonts w:ascii="Times New Roman" w:hAnsi="Times New Roman" w:eastAsia="仿宋_GB2312" w:cs="Times New Roman"/>
          <w:color w:val="auto"/>
          <w:sz w:val="32"/>
          <w:szCs w:val="32"/>
          <w:highlight w:val="none"/>
        </w:rPr>
        <w:t>单位名称：</w:t>
      </w:r>
      <w:r>
        <w:rPr>
          <w:rFonts w:hint="eastAsia" w:ascii="Times New Roman" w:hAnsi="Times New Roman" w:eastAsia="仿宋_GB2312" w:cs="Times New Roman"/>
          <w:color w:val="auto"/>
          <w:sz w:val="32"/>
          <w:szCs w:val="32"/>
          <w:highlight w:val="none"/>
          <w:u w:val="single"/>
          <w:lang w:eastAsia="zh-CN"/>
        </w:rPr>
        <w:t>湖南建工集团有限公司</w:t>
      </w:r>
    </w:p>
    <w:p>
      <w:pPr>
        <w:spacing w:line="600" w:lineRule="exact"/>
        <w:jc w:val="center"/>
        <w:rPr>
          <w:rFonts w:ascii="Times New Roman" w:hAnsi="Times New Roman" w:eastAsia="楷体_GB2312" w:cs="Times New Roman"/>
          <w:color w:val="auto"/>
          <w:sz w:val="32"/>
          <w:szCs w:val="32"/>
          <w:highlight w:val="none"/>
        </w:rPr>
      </w:pPr>
      <w:r>
        <w:rPr>
          <w:rFonts w:hint="eastAsia" w:ascii="Times New Roman" w:hAnsi="Times New Roman" w:eastAsia="仿宋_GB2312" w:cs="Times New Roman"/>
          <w:color w:val="auto"/>
          <w:sz w:val="32"/>
          <w:szCs w:val="32"/>
          <w:highlight w:val="none"/>
          <w:u w:val="none"/>
          <w:lang w:val="en-US" w:eastAsia="zh-CN"/>
        </w:rPr>
        <w:t>2021</w:t>
      </w:r>
      <w:r>
        <w:rPr>
          <w:rFonts w:ascii="Times New Roman" w:hAnsi="Times New Roman" w:eastAsia="楷体_GB2312" w:cs="Times New Roman"/>
          <w:color w:val="auto"/>
          <w:sz w:val="32"/>
          <w:szCs w:val="32"/>
          <w:highlight w:val="none"/>
        </w:rPr>
        <w:t>年</w:t>
      </w:r>
      <w:r>
        <w:rPr>
          <w:rFonts w:hint="eastAsia" w:ascii="Times New Roman" w:hAnsi="Times New Roman" w:eastAsia="楷体_GB2312" w:cs="Times New Roman"/>
          <w:color w:val="auto"/>
          <w:sz w:val="32"/>
          <w:szCs w:val="32"/>
          <w:highlight w:val="none"/>
          <w:lang w:val="en-US" w:eastAsia="zh-CN"/>
        </w:rPr>
        <w:t>5</w:t>
      </w:r>
      <w:r>
        <w:rPr>
          <w:rFonts w:ascii="Times New Roman" w:hAnsi="Times New Roman" w:eastAsia="楷体_GB2312" w:cs="Times New Roman"/>
          <w:color w:val="auto"/>
          <w:sz w:val="32"/>
          <w:szCs w:val="32"/>
          <w:highlight w:val="none"/>
        </w:rPr>
        <w:t>月</w:t>
      </w:r>
      <w:r>
        <w:rPr>
          <w:rFonts w:hint="eastAsia" w:ascii="Times New Roman" w:hAnsi="Times New Roman" w:eastAsia="楷体_GB2312" w:cs="Times New Roman"/>
          <w:color w:val="auto"/>
          <w:sz w:val="32"/>
          <w:szCs w:val="32"/>
          <w:highlight w:val="none"/>
          <w:lang w:val="en-US" w:eastAsia="zh-CN"/>
        </w:rPr>
        <w:t>27</w:t>
      </w:r>
      <w:r>
        <w:rPr>
          <w:rFonts w:ascii="Times New Roman" w:hAnsi="Times New Roman" w:eastAsia="楷体_GB2312" w:cs="Times New Roman"/>
          <w:color w:val="auto"/>
          <w:sz w:val="32"/>
          <w:szCs w:val="32"/>
          <w:highlight w:val="none"/>
        </w:rPr>
        <w:t>日</w:t>
      </w:r>
    </w:p>
    <w:p>
      <w:pPr>
        <w:jc w:val="center"/>
        <w:rPr>
          <w:rFonts w:ascii="Times New Roman" w:hAnsi="Times New Roman" w:eastAsia="黑体" w:cs="Times New Roman"/>
          <w:color w:val="auto"/>
          <w:sz w:val="32"/>
          <w:szCs w:val="32"/>
          <w:highlight w:val="none"/>
        </w:rPr>
      </w:pPr>
    </w:p>
    <w:p>
      <w:pPr>
        <w:rPr>
          <w:rFonts w:ascii="Times New Roman" w:hAnsi="Times New Roman" w:eastAsia="仿宋_GB2312" w:cs="Times New Roman"/>
          <w:color w:val="auto"/>
          <w:sz w:val="32"/>
          <w:szCs w:val="32"/>
          <w:highlight w:val="none"/>
        </w:rPr>
      </w:pPr>
    </w:p>
    <w:p>
      <w:pPr>
        <w:pStyle w:val="2"/>
        <w:rPr>
          <w:rFonts w:ascii="Times New Roman" w:hAnsi="Times New Roman" w:eastAsia="仿宋_GB2312" w:cs="Times New Roman"/>
          <w:color w:val="auto"/>
          <w:sz w:val="32"/>
          <w:szCs w:val="32"/>
          <w:highlight w:val="none"/>
        </w:rPr>
      </w:pPr>
    </w:p>
    <w:p>
      <w:pPr>
        <w:pStyle w:val="2"/>
        <w:rPr>
          <w:rFonts w:ascii="Times New Roman" w:hAnsi="Times New Roman" w:eastAsia="仿宋_GB2312" w:cs="Times New Roman"/>
          <w:color w:val="auto"/>
          <w:sz w:val="32"/>
          <w:szCs w:val="32"/>
          <w:highlight w:val="none"/>
        </w:rPr>
      </w:pPr>
    </w:p>
    <w:p>
      <w:pPr>
        <w:numPr>
          <w:ilvl w:val="0"/>
          <w:numId w:val="1"/>
        </w:numPr>
        <w:rPr>
          <w:rFonts w:hint="eastAsia"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部门（单位）基本情况</w:t>
      </w:r>
    </w:p>
    <w:p>
      <w:pPr>
        <w:pStyle w:val="2"/>
        <w:numPr>
          <w:ilvl w:val="0"/>
          <w:numId w:val="0"/>
        </w:numPr>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湖南建工集团成立于1952年，前身为湖南建工局， 1985年经湖南省人民政府批准，由政府机构转体为国有企业，1992年与所属企事业单位组建成立湖南省建筑工程集团总公司，2017年6月改制更名为湖南建工集团有限公司。目前，集团下辖14家二级子公司(中湘海外建设发展有限公司、湖南省建筑科学研究院、湖南省第一工程有限公司、湖南省第三工程有限公司、湖南省第四工程有限公司、湖南省第五工程有限公司、湖南省第六工程有限公司、湖南省工业设备安装有限公司、湖南建工地产投资有限公司、湖南建工交通建设有限公司、湖南建工装饰有限公司、湖南建工物业发展集团、湖南建工建筑材料有限公司、大连港湾工程有限公司) ，湖南建工环保有限公司、湖南中拓建工物流有限公司、湖南建工德顺电子有限公司3家参股公司和湖南城建职业技术学院、湖南建筑高级技工学校两所学校组成。纳入部门预算的单位有三家，即集团本部和两所学校，基本情况如下：</w:t>
      </w:r>
    </w:p>
    <w:p>
      <w:pPr>
        <w:pStyle w:val="2"/>
        <w:numPr>
          <w:ilvl w:val="0"/>
          <w:numId w:val="0"/>
        </w:numP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    1</w:t>
      </w:r>
      <w:r>
        <w:rPr>
          <w:rFonts w:hint="eastAsia"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湖南建工集团有限公司本部属企业性质，为湖南省首家房屋建筑工程总承包特级企业，具有勘察设计、工程投资、施工运营、建筑科学研究、高等职业教育、建筑安装、路桥施工、水利水电施工、新能源建设、工程设备制造、房地产开发、对外工程承包、劳务合作、进出口贸易、城市综合运营等综合实力。因前身是湖南建工局，部分离退休人员为原建工局公务员身份离退休，2019年共有符合条件的财政供养人员</w:t>
      </w:r>
      <w:r>
        <w:rPr>
          <w:rFonts w:hint="eastAsia" w:cs="Times New Roman"/>
          <w:color w:val="auto"/>
          <w:kern w:val="2"/>
          <w:sz w:val="32"/>
          <w:szCs w:val="32"/>
          <w:highlight w:val="none"/>
          <w:lang w:val="en-US" w:eastAsia="zh-CN" w:bidi="ar-SA"/>
        </w:rPr>
        <w:t>81</w:t>
      </w:r>
      <w:r>
        <w:rPr>
          <w:rFonts w:hint="eastAsia" w:ascii="Times New Roman" w:hAnsi="Times New Roman" w:eastAsia="仿宋_GB2312" w:cs="Times New Roman"/>
          <w:color w:val="auto"/>
          <w:kern w:val="2"/>
          <w:sz w:val="32"/>
          <w:szCs w:val="32"/>
          <w:highlight w:val="none"/>
          <w:lang w:val="en-US" w:eastAsia="zh-CN" w:bidi="ar-SA"/>
        </w:rPr>
        <w:t>人，其中离休人员</w:t>
      </w:r>
      <w:r>
        <w:rPr>
          <w:rFonts w:hint="eastAsia" w:cs="Times New Roman"/>
          <w:color w:val="auto"/>
          <w:kern w:val="2"/>
          <w:sz w:val="32"/>
          <w:szCs w:val="32"/>
          <w:highlight w:val="none"/>
          <w:lang w:val="en-US" w:eastAsia="zh-CN" w:bidi="ar-SA"/>
        </w:rPr>
        <w:t>8</w:t>
      </w:r>
      <w:r>
        <w:rPr>
          <w:rFonts w:hint="eastAsia" w:ascii="Times New Roman" w:hAnsi="Times New Roman" w:eastAsia="仿宋_GB2312" w:cs="Times New Roman"/>
          <w:color w:val="auto"/>
          <w:kern w:val="2"/>
          <w:sz w:val="32"/>
          <w:szCs w:val="32"/>
          <w:highlight w:val="none"/>
          <w:lang w:val="en-US" w:eastAsia="zh-CN" w:bidi="ar-SA"/>
        </w:rPr>
        <w:t>人，退休人员</w:t>
      </w:r>
      <w:r>
        <w:rPr>
          <w:rFonts w:hint="eastAsia" w:cs="Times New Roman"/>
          <w:color w:val="auto"/>
          <w:kern w:val="2"/>
          <w:sz w:val="32"/>
          <w:szCs w:val="32"/>
          <w:highlight w:val="none"/>
          <w:lang w:val="en-US" w:eastAsia="zh-CN" w:bidi="ar-SA"/>
        </w:rPr>
        <w:t>73</w:t>
      </w:r>
      <w:r>
        <w:rPr>
          <w:rFonts w:hint="eastAsia" w:ascii="Times New Roman" w:hAnsi="Times New Roman" w:eastAsia="仿宋_GB2312" w:cs="Times New Roman"/>
          <w:color w:val="auto"/>
          <w:kern w:val="2"/>
          <w:sz w:val="32"/>
          <w:szCs w:val="32"/>
          <w:highlight w:val="none"/>
          <w:lang w:val="en-US" w:eastAsia="zh-CN" w:bidi="ar-SA"/>
        </w:rPr>
        <w:t>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湖南城建职业技术学院前身是1958年成立的湖南省土木建筑学校，2003年，经湖南省人民政府批准，由湖南省建筑学校与湖南省建材工业学校合并组建湖南城建职业技术学院。2008年，原长沙职工大学（湖南建筑高级技工学校）并入学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学院现设有建筑系、建筑工程系、建筑设备工程系、管理工程系、市政与路桥工程系、公共基础课教学部、思想政治理论课教学部和1所建筑高级技校、1所继续教育学院。2011年成为湖南省示范性高职院校、湖南省职业教育与成人教育学会高职土木建筑类专业委员会主任单位。2018年学院立项为湖南省“卓越高职院校”建设单位。学院开设23个高职专业，建筑工程技术专业群、建筑设计技术专业群、建筑工程管理专业群为湖南省一流特色专业群；以建筑工程技术专业为核心的建筑工程施工与管理专业群为省级示范性特色专业群；工程造价、建筑设计技术专业为省级特色专业和省级精品专业；建筑工程技术实习实训基地为中央财政支持的职教实训基地、湖南省职教重点实习实训基地；建筑设备工程技术专业为省级生产性实习实训（教师认证培训）基地项目；工程造价专业为省级校企合作生产性实习实训基地项目；学院牵头组建的湖南建筑职业教育集团为省级示范性职教集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学院秉承“明德建业、精作筑能”的校训，坚持“塑造人格，培养技能，张扬个性，服务社会”的办学理念，确立“具有自主知识产权、城建高职教育特色鲜明、省内领先、国内一流、国际有影响的卓越高职院校”的发展目标，以“真心求学、实意做事”为校风，以“弘德精业、正己立人”为教风，以“尚学尚能、成人成才”为学风，培养德智体美劳全面发展，基础扎实，技能过硬，素质优良，适应城乡建设行业生产、建设、服务、管理第一线需要的“首选高素质技术技能人才”。在60多年办学历程中，学院励精图治，艰苦奋斗，为社会培养了十二万多名高素质技术技能人才，培训了数万名企业经理、项目经理和建筑业专业技术人员，被誉为湖南建设人才的摇篮和百万建筑湘军的“黄埔军校”。现有全日制高职在校生11722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学院现有教职工628人，其中教师429人，正高职称14人，副高职称157人；具有研究生学历或硕士学位300人。省级专业带头人3人，省级青年骨干教师8人，省级优秀教学团队2个，国家一级注册建筑师、一级注册结构工程师、一级注册建造师等“双师素质”教师258名；多名教师在教育部、住建部、中国建设教育协会和省教育厅、省住建厅、省建设人力资源协会等部门（机构）担任专家。</w:t>
      </w:r>
    </w:p>
    <w:p>
      <w:pPr>
        <w:widowControl/>
        <w:snapToGrid w:val="0"/>
        <w:spacing w:line="600" w:lineRule="exact"/>
        <w:ind w:firstLine="624"/>
        <w:rPr>
          <w:rFonts w:hint="default" w:ascii="Times New Roman" w:hAnsi="Times New Roman" w:eastAsia="仿宋_GB2312"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3.</w:t>
      </w:r>
      <w:r>
        <w:rPr>
          <w:rFonts w:ascii="仿宋_GB2312" w:eastAsia="仿宋_GB2312"/>
          <w:color w:val="auto"/>
          <w:sz w:val="32"/>
          <w:highlight w:val="none"/>
        </w:rPr>
        <w:t>湖南建筑高级技工学校是一所由湖南建工集团有限公司主办的全日制重点建筑类技工学校，为省公益二类事业单位。</w:t>
      </w:r>
      <w:r>
        <w:rPr>
          <w:rFonts w:hint="eastAsia" w:ascii="仿宋_GB2312" w:eastAsia="仿宋_GB2312"/>
          <w:color w:val="auto"/>
          <w:sz w:val="32"/>
          <w:highlight w:val="none"/>
        </w:rPr>
        <w:t>学校</w:t>
      </w:r>
      <w:r>
        <w:rPr>
          <w:rFonts w:ascii="仿宋_GB2312" w:eastAsia="仿宋_GB2312"/>
          <w:color w:val="auto"/>
          <w:sz w:val="32"/>
          <w:highlight w:val="none"/>
        </w:rPr>
        <w:t>内设7个党政管理机构，7个教学教辅机构，3个群团、纪检机构。</w:t>
      </w:r>
      <w:r>
        <w:rPr>
          <w:rFonts w:hint="eastAsia" w:ascii="仿宋_GB2312" w:eastAsia="仿宋_GB2312"/>
          <w:color w:val="auto"/>
          <w:sz w:val="32"/>
          <w:highlight w:val="none"/>
        </w:rPr>
        <w:t>2020年</w:t>
      </w:r>
      <w:r>
        <w:rPr>
          <w:rFonts w:hint="eastAsia" w:ascii="仿宋_GB2312" w:hAnsi="Verdana" w:eastAsia="仿宋_GB2312" w:cs="宋体"/>
          <w:color w:val="auto"/>
          <w:kern w:val="0"/>
          <w:sz w:val="32"/>
          <w:szCs w:val="32"/>
          <w:highlight w:val="none"/>
        </w:rPr>
        <w:t>年末实有人数322人，其中在编职工190人，经费自理12人，退休人员120人</w:t>
      </w:r>
      <w:r>
        <w:rPr>
          <w:rFonts w:ascii="仿宋_GB2312" w:eastAsia="仿宋_GB2312"/>
          <w:color w:val="auto"/>
          <w:sz w:val="32"/>
          <w:highlight w:val="none"/>
        </w:rPr>
        <w:t>。现有在校学生近</w:t>
      </w:r>
      <w:r>
        <w:rPr>
          <w:rFonts w:hint="eastAsia" w:ascii="仿宋_GB2312" w:eastAsia="仿宋_GB2312"/>
          <w:color w:val="auto"/>
          <w:sz w:val="32"/>
          <w:highlight w:val="none"/>
        </w:rPr>
        <w:t>3500</w:t>
      </w:r>
      <w:r>
        <w:rPr>
          <w:rFonts w:ascii="仿宋_GB2312" w:eastAsia="仿宋_GB2312"/>
          <w:color w:val="auto"/>
          <w:sz w:val="32"/>
          <w:highlight w:val="none"/>
        </w:rPr>
        <w:t>人，校舍建筑面积5万余平方米。自1979年恢复办学以来，我校充分发挥行业</w:t>
      </w:r>
      <w:r>
        <w:rPr>
          <w:rFonts w:hint="eastAsia" w:ascii="仿宋_GB2312" w:eastAsia="仿宋_GB2312"/>
          <w:color w:val="auto"/>
          <w:sz w:val="32"/>
          <w:highlight w:val="none"/>
        </w:rPr>
        <w:t>特色和服务</w:t>
      </w:r>
      <w:r>
        <w:rPr>
          <w:rFonts w:ascii="仿宋_GB2312" w:eastAsia="仿宋_GB2312"/>
          <w:color w:val="auto"/>
          <w:sz w:val="32"/>
          <w:highlight w:val="none"/>
        </w:rPr>
        <w:t>社会的</w:t>
      </w:r>
      <w:r>
        <w:rPr>
          <w:rFonts w:hint="eastAsia" w:ascii="仿宋_GB2312" w:eastAsia="仿宋_GB2312"/>
          <w:color w:val="auto"/>
          <w:sz w:val="32"/>
          <w:highlight w:val="none"/>
        </w:rPr>
        <w:t>理念</w:t>
      </w:r>
      <w:r>
        <w:rPr>
          <w:rFonts w:ascii="仿宋_GB2312" w:eastAsia="仿宋_GB2312"/>
          <w:color w:val="auto"/>
          <w:sz w:val="32"/>
          <w:highlight w:val="none"/>
        </w:rPr>
        <w:t>，能对电焊、管道、测量放线、装饰装修、工程电气设备调试、机械设备安装、钳工、砌筑、抹灰等近20个工种进行考核鉴定，为湖南省建设系统和地方经济建设培养了上万名优质实用的技能人才</w:t>
      </w:r>
      <w:r>
        <w:rPr>
          <w:rFonts w:hint="eastAsia" w:ascii="仿宋_GB2312" w:eastAsia="仿宋_GB2312"/>
          <w:color w:val="auto"/>
          <w:sz w:val="32"/>
          <w:highlight w:val="none"/>
        </w:rPr>
        <w:t>。</w:t>
      </w:r>
      <w:r>
        <w:rPr>
          <w:rFonts w:ascii="仿宋_GB2312" w:eastAsia="仿宋_GB2312"/>
          <w:color w:val="auto"/>
          <w:sz w:val="32"/>
          <w:highlight w:val="none"/>
        </w:rPr>
        <w:t>学校</w:t>
      </w:r>
      <w:r>
        <w:rPr>
          <w:rFonts w:hint="eastAsia" w:ascii="仿宋_GB2312" w:eastAsia="仿宋_GB2312"/>
          <w:color w:val="auto"/>
          <w:sz w:val="32"/>
          <w:highlight w:val="none"/>
        </w:rPr>
        <w:t>先后被授予湖南省示范技工学校、湖南省高技能人才培训基地、全国建设类技能型紧缺人才培训基地、全国职工教育培训优秀示范点等荣誉称号。</w:t>
      </w:r>
    </w:p>
    <w:p>
      <w:pPr>
        <w:widowControl/>
        <w:spacing w:line="600" w:lineRule="exact"/>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二、</w:t>
      </w:r>
      <w:r>
        <w:rPr>
          <w:rFonts w:ascii="Times New Roman" w:hAnsi="Times New Roman" w:eastAsia="黑体" w:cs="Times New Roman"/>
          <w:color w:val="auto"/>
          <w:sz w:val="32"/>
          <w:szCs w:val="32"/>
          <w:highlight w:val="none"/>
        </w:rPr>
        <w:t>一般公共预算支出情况</w:t>
      </w:r>
    </w:p>
    <w:p>
      <w:pPr>
        <w:widowControl/>
        <w:spacing w:line="600" w:lineRule="exact"/>
        <w:rPr>
          <w:rFonts w:hint="eastAsia"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（一）基本支出情况</w:t>
      </w:r>
    </w:p>
    <w:p>
      <w:pPr>
        <w:pStyle w:val="2"/>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基本支出总额2</w:t>
      </w:r>
      <w:r>
        <w:rPr>
          <w:rFonts w:hint="eastAsia" w:ascii="仿宋_GB2312" w:hAnsi="黑体"/>
          <w:color w:val="auto"/>
          <w:sz w:val="32"/>
          <w:szCs w:val="32"/>
          <w:highlight w:val="none"/>
          <w:lang w:val="en-US" w:eastAsia="zh-CN"/>
        </w:rPr>
        <w:t>1375.39</w:t>
      </w:r>
      <w:r>
        <w:rPr>
          <w:rFonts w:hint="eastAsia" w:ascii="仿宋_GB2312" w:hAnsi="黑体" w:eastAsia="仿宋_GB2312"/>
          <w:color w:val="auto"/>
          <w:sz w:val="32"/>
          <w:szCs w:val="32"/>
          <w:highlight w:val="none"/>
        </w:rPr>
        <w:t>万元，其中：工资福利支出</w:t>
      </w:r>
      <w:r>
        <w:rPr>
          <w:rFonts w:hint="eastAsia" w:ascii="仿宋_GB2312" w:hAnsi="黑体"/>
          <w:color w:val="auto"/>
          <w:sz w:val="32"/>
          <w:szCs w:val="32"/>
          <w:highlight w:val="none"/>
          <w:lang w:val="en-US" w:eastAsia="zh-CN"/>
        </w:rPr>
        <w:t>14020.24</w:t>
      </w:r>
      <w:r>
        <w:rPr>
          <w:rFonts w:hint="eastAsia" w:ascii="仿宋_GB2312" w:hAnsi="黑体" w:eastAsia="仿宋_GB2312"/>
          <w:color w:val="auto"/>
          <w:sz w:val="32"/>
          <w:szCs w:val="32"/>
          <w:highlight w:val="none"/>
        </w:rPr>
        <w:t>万元，占总基本支出的6</w:t>
      </w:r>
      <w:r>
        <w:rPr>
          <w:rFonts w:hint="eastAsia" w:ascii="仿宋_GB2312" w:hAnsi="黑体"/>
          <w:color w:val="auto"/>
          <w:sz w:val="32"/>
          <w:szCs w:val="32"/>
          <w:highlight w:val="none"/>
          <w:lang w:val="en-US" w:eastAsia="zh-CN"/>
        </w:rPr>
        <w:t>5.59</w:t>
      </w:r>
      <w:r>
        <w:rPr>
          <w:rFonts w:hint="eastAsia" w:ascii="仿宋_GB2312" w:hAnsi="黑体" w:eastAsia="仿宋_GB2312"/>
          <w:color w:val="auto"/>
          <w:sz w:val="32"/>
          <w:szCs w:val="32"/>
          <w:highlight w:val="none"/>
        </w:rPr>
        <w:t xml:space="preserve">%，支出分布情况如下： </w:t>
      </w:r>
    </w:p>
    <w:p>
      <w:pPr>
        <w:pStyle w:val="2"/>
        <w:rPr>
          <w:rFonts w:hint="eastAsia" w:ascii="仿宋_GB2312" w:hAnsi="黑体" w:eastAsia="仿宋_GB2312"/>
          <w:color w:val="auto"/>
          <w:sz w:val="32"/>
          <w:szCs w:val="32"/>
          <w:highlight w:val="none"/>
          <w:lang w:val="en-US" w:eastAsia="zh-CN"/>
        </w:rPr>
      </w:pPr>
    </w:p>
    <w:p>
      <w:pPr>
        <w:widowControl/>
        <w:ind w:left="420" w:leftChars="200" w:firstLine="0" w:firstLineChars="0"/>
        <w:jc w:val="left"/>
        <w:rPr>
          <w:rFonts w:ascii="仿宋_GB2312" w:hAnsi="黑体" w:eastAsia="仿宋_GB2312"/>
          <w:color w:val="auto"/>
          <w:sz w:val="32"/>
          <w:szCs w:val="32"/>
          <w:highlight w:val="none"/>
        </w:rPr>
      </w:pPr>
      <w:r>
        <w:rPr>
          <w:color w:val="auto"/>
          <w:highlight w:val="none"/>
        </w:rPr>
        <w:drawing>
          <wp:inline distT="0" distB="0" distL="114300" distR="114300">
            <wp:extent cx="5457190" cy="2743200"/>
            <wp:effectExtent l="4445" t="4445" r="571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eastAsia" w:ascii="仿宋_GB2312" w:hAnsi="黑体" w:eastAsia="仿宋_GB2312"/>
          <w:color w:val="auto"/>
          <w:sz w:val="32"/>
          <w:szCs w:val="32"/>
          <w:highlight w:val="none"/>
        </w:rPr>
        <w:t>商品和服务支出5</w:t>
      </w:r>
      <w:r>
        <w:rPr>
          <w:rFonts w:hint="eastAsia" w:ascii="仿宋_GB2312" w:hAnsi="黑体" w:eastAsia="仿宋_GB2312"/>
          <w:color w:val="auto"/>
          <w:sz w:val="32"/>
          <w:szCs w:val="32"/>
          <w:highlight w:val="none"/>
          <w:lang w:val="en-US" w:eastAsia="zh-CN"/>
        </w:rPr>
        <w:t>828.63</w:t>
      </w:r>
      <w:r>
        <w:rPr>
          <w:rFonts w:hint="eastAsia" w:ascii="仿宋_GB2312" w:hAnsi="黑体" w:eastAsia="仿宋_GB2312"/>
          <w:color w:val="auto"/>
          <w:sz w:val="32"/>
          <w:szCs w:val="32"/>
          <w:highlight w:val="none"/>
        </w:rPr>
        <w:t>万元，占总基本支出的27.</w:t>
      </w:r>
      <w:r>
        <w:rPr>
          <w:rFonts w:hint="eastAsia" w:ascii="仿宋_GB2312" w:hAnsi="黑体" w:eastAsia="仿宋_GB2312"/>
          <w:color w:val="auto"/>
          <w:sz w:val="32"/>
          <w:szCs w:val="32"/>
          <w:highlight w:val="none"/>
          <w:lang w:val="en-US" w:eastAsia="zh-CN"/>
        </w:rPr>
        <w:t>27</w:t>
      </w:r>
      <w:r>
        <w:rPr>
          <w:rFonts w:hint="eastAsia" w:ascii="仿宋_GB2312" w:hAnsi="黑体" w:eastAsia="仿宋_GB2312"/>
          <w:color w:val="auto"/>
          <w:sz w:val="32"/>
          <w:szCs w:val="32"/>
          <w:highlight w:val="none"/>
        </w:rPr>
        <w:t>%，</w:t>
      </w:r>
    </w:p>
    <w:p>
      <w:pPr>
        <w:widowControl/>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支出分布情况如下： </w:t>
      </w:r>
    </w:p>
    <w:p>
      <w:pPr>
        <w:pStyle w:val="2"/>
        <w:rPr>
          <w:rFonts w:hint="eastAsia" w:ascii="仿宋_GB2312" w:hAnsi="黑体" w:eastAsia="仿宋_GB2312"/>
          <w:color w:val="auto"/>
          <w:sz w:val="32"/>
          <w:szCs w:val="32"/>
          <w:highlight w:val="none"/>
        </w:rPr>
      </w:pPr>
    </w:p>
    <w:p>
      <w:pPr>
        <w:pStyle w:val="2"/>
        <w:rPr>
          <w:rFonts w:hint="eastAsia" w:ascii="仿宋_GB2312" w:hAnsi="黑体" w:eastAsia="仿宋_GB2312"/>
          <w:color w:val="auto"/>
          <w:sz w:val="32"/>
          <w:szCs w:val="32"/>
          <w:highlight w:val="none"/>
        </w:rPr>
      </w:pPr>
    </w:p>
    <w:p>
      <w:pPr>
        <w:pStyle w:val="2"/>
        <w:rPr>
          <w:rFonts w:hint="eastAsia" w:ascii="仿宋_GB2312" w:hAnsi="黑体" w:eastAsia="仿宋_GB2312"/>
          <w:color w:val="auto"/>
          <w:sz w:val="32"/>
          <w:szCs w:val="32"/>
          <w:highlight w:val="none"/>
        </w:rPr>
      </w:pPr>
    </w:p>
    <w:p>
      <w:pPr>
        <w:pStyle w:val="2"/>
        <w:rPr>
          <w:rFonts w:hint="eastAsia" w:ascii="仿宋_GB2312" w:hAnsi="黑体" w:eastAsia="仿宋_GB2312"/>
          <w:color w:val="auto"/>
          <w:sz w:val="32"/>
          <w:szCs w:val="32"/>
          <w:highlight w:val="none"/>
        </w:rPr>
      </w:pPr>
      <w:r>
        <w:rPr>
          <w:color w:val="auto"/>
          <w:highlight w:val="none"/>
        </w:rPr>
        <w:drawing>
          <wp:inline distT="0" distB="0" distL="114300" distR="114300">
            <wp:extent cx="5361940" cy="3216910"/>
            <wp:effectExtent l="4445" t="4445" r="5715" b="1714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rPr>
          <w:color w:val="auto"/>
          <w:highlight w:val="none"/>
        </w:rPr>
      </w:pPr>
    </w:p>
    <w:p>
      <w:pPr>
        <w:widowControl/>
        <w:spacing w:line="600" w:lineRule="exact"/>
        <w:ind w:firstLine="640" w:firstLineChars="200"/>
        <w:rPr>
          <w:color w:val="auto"/>
          <w:highlight w:val="none"/>
        </w:rPr>
      </w:pPr>
      <w:r>
        <w:rPr>
          <w:rFonts w:hint="eastAsia" w:ascii="仿宋_GB2312" w:hAnsi="黑体" w:eastAsia="仿宋_GB2312"/>
          <w:color w:val="auto"/>
          <w:sz w:val="32"/>
          <w:szCs w:val="32"/>
          <w:highlight w:val="none"/>
        </w:rPr>
        <w:t>对个人和家庭补助支出</w:t>
      </w:r>
      <w:r>
        <w:rPr>
          <w:rFonts w:hint="eastAsia" w:ascii="仿宋_GB2312" w:hAnsi="黑体" w:eastAsia="仿宋_GB2312"/>
          <w:color w:val="auto"/>
          <w:sz w:val="32"/>
          <w:szCs w:val="32"/>
          <w:highlight w:val="none"/>
          <w:lang w:val="en-US" w:eastAsia="zh-CN"/>
        </w:rPr>
        <w:t>1526.52</w:t>
      </w:r>
      <w:r>
        <w:rPr>
          <w:rFonts w:hint="eastAsia" w:ascii="仿宋_GB2312" w:hAnsi="黑体" w:eastAsia="仿宋_GB2312"/>
          <w:color w:val="auto"/>
          <w:sz w:val="32"/>
          <w:szCs w:val="32"/>
          <w:highlight w:val="none"/>
        </w:rPr>
        <w:t>万元，占总基本支出的</w:t>
      </w:r>
      <w:r>
        <w:rPr>
          <w:rFonts w:hint="eastAsia" w:ascii="仿宋_GB2312" w:hAnsi="黑体" w:eastAsia="仿宋_GB2312"/>
          <w:color w:val="auto"/>
          <w:sz w:val="32"/>
          <w:szCs w:val="32"/>
          <w:highlight w:val="none"/>
          <w:lang w:val="en-US" w:eastAsia="zh-CN"/>
        </w:rPr>
        <w:t>7.14</w:t>
      </w:r>
      <w:r>
        <w:rPr>
          <w:rFonts w:hint="eastAsia" w:ascii="仿宋_GB2312" w:hAnsi="黑体" w:eastAsia="仿宋_GB2312"/>
          <w:color w:val="auto"/>
          <w:sz w:val="32"/>
          <w:szCs w:val="32"/>
          <w:highlight w:val="none"/>
        </w:rPr>
        <w:t>%，支出分布情况如下 ：</w:t>
      </w:r>
    </w:p>
    <w:p>
      <w:pPr>
        <w:widowControl/>
        <w:spacing w:line="600" w:lineRule="exact"/>
        <w:rPr>
          <w:rFonts w:hint="eastAsia" w:ascii="楷体_GB2312" w:hAnsi="Times New Roman" w:eastAsia="楷体_GB2312" w:cs="Times New Roman"/>
          <w:b/>
          <w:color w:val="auto"/>
          <w:sz w:val="32"/>
          <w:szCs w:val="32"/>
          <w:highlight w:val="none"/>
        </w:rPr>
      </w:pPr>
    </w:p>
    <w:p>
      <w:pPr>
        <w:pStyle w:val="2"/>
        <w:rPr>
          <w:rFonts w:hint="eastAsia" w:ascii="楷体_GB2312" w:hAnsi="Times New Roman" w:eastAsia="楷体_GB2312" w:cs="Times New Roman"/>
          <w:b/>
          <w:color w:val="auto"/>
          <w:sz w:val="32"/>
          <w:szCs w:val="32"/>
          <w:highlight w:val="none"/>
        </w:rPr>
      </w:pPr>
      <w:r>
        <w:rPr>
          <w:color w:val="auto"/>
          <w:highlight w:val="none"/>
        </w:rPr>
        <w:drawing>
          <wp:inline distT="0" distB="0" distL="114300" distR="114300">
            <wp:extent cx="5419090" cy="2484120"/>
            <wp:effectExtent l="4445" t="4445" r="5715" b="698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line="600" w:lineRule="exact"/>
        <w:ind w:firstLine="640" w:firstLineChars="200"/>
        <w:jc w:val="left"/>
        <w:rPr>
          <w:rFonts w:hint="eastAsia" w:ascii="楷体_GB2312" w:hAnsi="Times New Roman" w:eastAsia="楷体_GB2312" w:cs="Times New Roman"/>
          <w:b/>
          <w:color w:val="auto"/>
          <w:sz w:val="32"/>
          <w:szCs w:val="32"/>
          <w:highlight w:val="none"/>
        </w:rPr>
      </w:pPr>
      <w:r>
        <w:rPr>
          <w:rFonts w:hint="eastAsia" w:ascii="仿宋_GB2312" w:hAnsi="黑体" w:eastAsia="仿宋_GB2312"/>
          <w:color w:val="auto"/>
          <w:sz w:val="32"/>
          <w:szCs w:val="32"/>
          <w:highlight w:val="none"/>
        </w:rPr>
        <w:t>基本支出按照“量入为出，收支平衡，统筹兼顾，厉行节约”的原则，通过建立的部门预算核算体系，加强内部成本控制，提高核算能力，努力节约和控制支出。</w:t>
      </w:r>
    </w:p>
    <w:p>
      <w:pPr>
        <w:widowControl/>
        <w:spacing w:line="600" w:lineRule="exact"/>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（二）</w:t>
      </w:r>
      <w:r>
        <w:rPr>
          <w:rFonts w:ascii="楷体_GB2312" w:hAnsi="Times New Roman" w:eastAsia="楷体_GB2312" w:cs="Times New Roman"/>
          <w:b/>
          <w:color w:val="auto"/>
          <w:sz w:val="32"/>
          <w:szCs w:val="32"/>
          <w:highlight w:val="none"/>
        </w:rPr>
        <w:t>项目支出情况</w:t>
      </w:r>
    </w:p>
    <w:p>
      <w:pPr>
        <w:widowControl/>
        <w:spacing w:line="600" w:lineRule="exact"/>
        <w:ind w:firstLine="640" w:firstLineChars="200"/>
        <w:jc w:val="left"/>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1、项目支出整体情况</w:t>
      </w:r>
    </w:p>
    <w:p>
      <w:pPr>
        <w:pStyle w:val="20"/>
        <w:widowControl/>
        <w:spacing w:line="600" w:lineRule="exact"/>
        <w:ind w:firstLine="64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rPr>
        <w:t>项目支出总额</w:t>
      </w:r>
      <w:r>
        <w:rPr>
          <w:rFonts w:hint="eastAsia" w:ascii="仿宋_GB2312" w:hAnsi="黑体" w:eastAsia="仿宋_GB2312"/>
          <w:color w:val="auto"/>
          <w:sz w:val="32"/>
          <w:szCs w:val="32"/>
          <w:highlight w:val="none"/>
          <w:lang w:val="en-US" w:eastAsia="zh-CN"/>
        </w:rPr>
        <w:t>10811.91</w:t>
      </w:r>
      <w:r>
        <w:rPr>
          <w:rFonts w:hint="eastAsia" w:ascii="仿宋_GB2312" w:hAnsi="黑体" w:eastAsia="仿宋_GB2312"/>
          <w:color w:val="auto"/>
          <w:sz w:val="32"/>
          <w:szCs w:val="32"/>
          <w:highlight w:val="none"/>
        </w:rPr>
        <w:t>万元，包括：商品及服务支出</w:t>
      </w:r>
      <w:r>
        <w:rPr>
          <w:rFonts w:hint="eastAsia" w:ascii="仿宋_GB2312" w:hAnsi="黑体" w:eastAsia="仿宋_GB2312"/>
          <w:color w:val="auto"/>
          <w:sz w:val="32"/>
          <w:szCs w:val="32"/>
          <w:highlight w:val="none"/>
          <w:lang w:val="en-US" w:eastAsia="zh-CN"/>
        </w:rPr>
        <w:t>685.13</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对个人和家庭的补助支出</w:t>
      </w:r>
      <w:r>
        <w:rPr>
          <w:rFonts w:hint="eastAsia" w:ascii="仿宋_GB2312" w:hAnsi="黑体" w:eastAsia="仿宋_GB2312"/>
          <w:color w:val="auto"/>
          <w:sz w:val="32"/>
          <w:szCs w:val="32"/>
          <w:highlight w:val="none"/>
          <w:lang w:val="en-US" w:eastAsia="zh-CN"/>
        </w:rPr>
        <w:t>1062.24</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资本性支出</w:t>
      </w:r>
      <w:r>
        <w:rPr>
          <w:rFonts w:hint="eastAsia" w:ascii="仿宋_GB2312" w:hAnsi="黑体" w:eastAsia="仿宋_GB2312"/>
          <w:color w:val="auto"/>
          <w:sz w:val="32"/>
          <w:szCs w:val="32"/>
          <w:highlight w:val="none"/>
          <w:lang w:val="en-US" w:eastAsia="zh-CN"/>
        </w:rPr>
        <w:t>9022.53</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、对企业的补助</w:t>
      </w:r>
      <w:r>
        <w:rPr>
          <w:rFonts w:hint="eastAsia" w:ascii="仿宋_GB2312" w:hAnsi="黑体" w:eastAsia="仿宋_GB2312"/>
          <w:color w:val="auto"/>
          <w:sz w:val="32"/>
          <w:szCs w:val="32"/>
          <w:highlight w:val="none"/>
          <w:lang w:val="en-US" w:eastAsia="zh-CN"/>
        </w:rPr>
        <w:t>40万元、其他支出2万元。</w:t>
      </w:r>
      <w:r>
        <w:rPr>
          <w:rFonts w:hint="eastAsia" w:ascii="仿宋_GB2312" w:hAnsi="黑体" w:eastAsia="仿宋_GB2312"/>
          <w:color w:val="auto"/>
          <w:sz w:val="32"/>
          <w:szCs w:val="32"/>
          <w:highlight w:val="none"/>
        </w:rPr>
        <w:t>主要用于高等职业教育、社会保障和就业支出、一般行政管理事务等方面。其中：集团本部</w:t>
      </w:r>
      <w:r>
        <w:rPr>
          <w:rFonts w:hint="eastAsia" w:ascii="仿宋_GB2312" w:hAnsi="黑体" w:eastAsia="仿宋_GB2312"/>
          <w:color w:val="auto"/>
          <w:sz w:val="32"/>
          <w:szCs w:val="32"/>
          <w:highlight w:val="none"/>
          <w:lang w:val="en-US" w:eastAsia="zh-CN"/>
        </w:rPr>
        <w:t>529.9</w:t>
      </w:r>
      <w:r>
        <w:rPr>
          <w:rFonts w:hint="eastAsia" w:ascii="仿宋_GB2312" w:hAnsi="黑体" w:eastAsia="仿宋_GB2312"/>
          <w:color w:val="auto"/>
          <w:sz w:val="32"/>
          <w:szCs w:val="32"/>
          <w:highlight w:val="none"/>
        </w:rPr>
        <w:t>1万元，主要包括装配式建筑设备购置</w:t>
      </w:r>
      <w:r>
        <w:rPr>
          <w:rFonts w:hint="eastAsia" w:ascii="仿宋_GB2312" w:hAnsi="黑体" w:eastAsia="仿宋_GB2312"/>
          <w:color w:val="auto"/>
          <w:sz w:val="32"/>
          <w:szCs w:val="32"/>
          <w:highlight w:val="none"/>
          <w:lang w:val="en-US" w:eastAsia="zh-CN"/>
        </w:rPr>
        <w:t>16.14</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信息化系统运营维护升级</w:t>
      </w:r>
      <w:r>
        <w:rPr>
          <w:rFonts w:hint="eastAsia" w:ascii="仿宋_GB2312" w:hAnsi="黑体" w:eastAsia="仿宋_GB2312"/>
          <w:color w:val="auto"/>
          <w:sz w:val="32"/>
          <w:szCs w:val="32"/>
          <w:highlight w:val="none"/>
          <w:lang w:val="en-US" w:eastAsia="zh-CN"/>
        </w:rPr>
        <w:t>84.5</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、工程数值分析软件购置</w:t>
      </w:r>
      <w:r>
        <w:rPr>
          <w:rFonts w:hint="eastAsia" w:ascii="仿宋_GB2312" w:hAnsi="黑体" w:eastAsia="仿宋_GB2312"/>
          <w:color w:val="auto"/>
          <w:sz w:val="32"/>
          <w:szCs w:val="32"/>
          <w:highlight w:val="none"/>
          <w:lang w:val="en-US" w:eastAsia="zh-CN"/>
        </w:rPr>
        <w:t>347.26万元、住房城乡建设引导专项支出40万元、中央外经贸发展基金40万元、湖南省2019年度生产奖励资金2万元。</w:t>
      </w:r>
    </w:p>
    <w:p>
      <w:pPr>
        <w:pStyle w:val="20"/>
        <w:widowControl/>
        <w:spacing w:line="600" w:lineRule="exact"/>
        <w:ind w:firstLine="64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湖南</w:t>
      </w:r>
      <w:r>
        <w:rPr>
          <w:rFonts w:hint="eastAsia" w:ascii="仿宋_GB2312" w:hAnsi="黑体" w:eastAsia="仿宋_GB2312"/>
          <w:color w:val="auto"/>
          <w:sz w:val="32"/>
          <w:szCs w:val="32"/>
          <w:highlight w:val="none"/>
        </w:rPr>
        <w:t>城建职业技术学院项目支出9582.12万元，主要包括省级财政专项资金：①高校“双一流”建设专项1070.28万；②高校“双一流”建设专项(高校思想政治工作质量提升工程)6.2万元；③高校国家奖助学金、学生资助补助高校助学贷款奖补资金1000.59万；④应征入伍服义务兵役国家资助、应征入伍服义务兵役学费补偿贷款代偿154.06万元；⑤职业院校教师素质提高计划（中央）1.51万元；⑥职业院校教师素质提高计划-“双师型”教师BIM证书实施方案26.4万元；⑦就业补助专项（省级）21.6万元；⑧省社科基金课题经费1.8万元。学院专项⑨学生公寓（7、8号）4583.36万元；➉图书、软件、固定资产购置896.9万元；⑪基础设施不动产建设1819.42万元。</w:t>
      </w:r>
    </w:p>
    <w:p>
      <w:pPr>
        <w:pStyle w:val="20"/>
        <w:spacing w:line="600" w:lineRule="exact"/>
        <w:ind w:firstLine="64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湖南建筑高级技工学校</w:t>
      </w:r>
      <w:r>
        <w:rPr>
          <w:rFonts w:hint="eastAsia" w:ascii="仿宋_GB2312" w:hAnsi="仿宋" w:eastAsia="仿宋_GB2312"/>
          <w:color w:val="auto"/>
          <w:sz w:val="32"/>
          <w:highlight w:val="none"/>
        </w:rPr>
        <w:t>年度项目支出决算699.88万元。</w:t>
      </w:r>
      <w:r>
        <w:rPr>
          <w:rFonts w:ascii="仿宋_GB2312" w:hAnsi="仿宋" w:eastAsia="仿宋_GB2312"/>
          <w:color w:val="auto"/>
          <w:sz w:val="32"/>
          <w:highlight w:val="none"/>
        </w:rPr>
        <w:t>其中：设备购置支出</w:t>
      </w:r>
      <w:r>
        <w:rPr>
          <w:rFonts w:hint="eastAsia" w:ascii="仿宋_GB2312" w:hAnsi="仿宋" w:eastAsia="仿宋_GB2312"/>
          <w:color w:val="auto"/>
          <w:sz w:val="32"/>
          <w:highlight w:val="none"/>
        </w:rPr>
        <w:t>447.52</w:t>
      </w:r>
      <w:r>
        <w:rPr>
          <w:rFonts w:ascii="仿宋_GB2312" w:hAnsi="仿宋" w:eastAsia="仿宋_GB2312"/>
          <w:color w:val="auto"/>
          <w:sz w:val="32"/>
          <w:highlight w:val="none"/>
        </w:rPr>
        <w:t>万元，</w:t>
      </w:r>
      <w:r>
        <w:rPr>
          <w:rFonts w:hint="eastAsia" w:ascii="仿宋_GB2312" w:hAnsi="仿宋" w:eastAsia="仿宋_GB2312"/>
          <w:color w:val="auto"/>
          <w:sz w:val="32"/>
          <w:highlight w:val="none"/>
        </w:rPr>
        <w:t>大型修缮243.04</w:t>
      </w:r>
      <w:r>
        <w:rPr>
          <w:rFonts w:ascii="仿宋_GB2312" w:hAnsi="仿宋" w:eastAsia="仿宋_GB2312"/>
          <w:color w:val="auto"/>
          <w:sz w:val="32"/>
          <w:highlight w:val="none"/>
        </w:rPr>
        <w:t>万元</w:t>
      </w:r>
      <w:r>
        <w:rPr>
          <w:rFonts w:hint="eastAsia" w:ascii="仿宋_GB2312" w:hAnsi="仿宋" w:eastAsia="仿宋_GB2312"/>
          <w:color w:val="auto"/>
          <w:sz w:val="32"/>
          <w:highlight w:val="none"/>
        </w:rPr>
        <w:t>，信息网络及软件信息更新3.56万元，无形资产购置5.76万元。</w:t>
      </w:r>
    </w:p>
    <w:p>
      <w:pPr>
        <w:widowControl/>
        <w:spacing w:line="600" w:lineRule="exact"/>
        <w:ind w:firstLine="640" w:firstLineChars="200"/>
        <w:jc w:val="left"/>
        <w:rPr>
          <w:color w:val="auto"/>
          <w:highlight w:val="none"/>
        </w:rPr>
      </w:pPr>
      <w:r>
        <w:rPr>
          <w:rFonts w:hint="eastAsia" w:ascii="仿宋_GB2312" w:hAnsi="黑体" w:eastAsia="仿宋_GB2312"/>
          <w:color w:val="auto"/>
          <w:sz w:val="32"/>
          <w:szCs w:val="32"/>
          <w:highlight w:val="none"/>
          <w:lang w:eastAsia="zh-CN"/>
        </w:rPr>
        <w:t>综上，我部门</w:t>
      </w:r>
      <w:r>
        <w:rPr>
          <w:rFonts w:hint="eastAsia" w:ascii="仿宋_GB2312" w:hAnsi="黑体" w:eastAsia="仿宋_GB2312"/>
          <w:color w:val="auto"/>
          <w:sz w:val="32"/>
          <w:szCs w:val="32"/>
          <w:highlight w:val="none"/>
        </w:rPr>
        <w:t>项目支出均有相关的审批手续，资金拨付严格审批程序和验收手续，使用规范，会计核算结果真实、准确。建立健全财务管理制度和会计核算制度，无截留、挤占或挪用项目资金的情况。</w:t>
      </w:r>
    </w:p>
    <w:p>
      <w:pPr>
        <w:widowControl/>
        <w:spacing w:line="600" w:lineRule="exact"/>
        <w:ind w:firstLine="640" w:firstLineChars="200"/>
        <w:jc w:val="left"/>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2、省级专项资金分配安排和使用管理情况</w:t>
      </w:r>
    </w:p>
    <w:p>
      <w:pPr>
        <w:pStyle w:val="2"/>
        <w:ind w:firstLine="640" w:firstLineChars="200"/>
        <w:rPr>
          <w:color w:val="auto"/>
          <w:highlight w:val="none"/>
        </w:rPr>
      </w:pPr>
      <w:r>
        <w:rPr>
          <w:rFonts w:hint="eastAsia" w:ascii="仿宋_GB2312" w:hAnsi="黑体" w:eastAsia="仿宋_GB2312"/>
          <w:color w:val="auto"/>
          <w:sz w:val="32"/>
          <w:szCs w:val="32"/>
          <w:highlight w:val="none"/>
        </w:rPr>
        <w:t>集团20</w:t>
      </w:r>
      <w:r>
        <w:rPr>
          <w:rFonts w:hint="eastAsia" w:ascii="仿宋_GB2312" w:hAnsi="黑体" w:eastAsia="仿宋_GB2312"/>
          <w:color w:val="auto"/>
          <w:sz w:val="32"/>
          <w:szCs w:val="32"/>
          <w:highlight w:val="none"/>
          <w:lang w:val="en-US" w:eastAsia="zh-CN"/>
        </w:rPr>
        <w:t>20</w:t>
      </w:r>
      <w:r>
        <w:rPr>
          <w:rFonts w:hint="eastAsia" w:ascii="仿宋_GB2312" w:hAnsi="黑体" w:eastAsia="仿宋_GB2312"/>
          <w:color w:val="auto"/>
          <w:sz w:val="32"/>
          <w:szCs w:val="32"/>
          <w:highlight w:val="none"/>
        </w:rPr>
        <w:t>年度省级专项资金主要是</w:t>
      </w:r>
      <w:r>
        <w:rPr>
          <w:rFonts w:hint="eastAsia" w:ascii="仿宋_GB2312" w:hAnsi="黑体" w:eastAsia="仿宋_GB2312"/>
          <w:color w:val="auto"/>
          <w:sz w:val="32"/>
          <w:szCs w:val="32"/>
          <w:highlight w:val="none"/>
          <w:lang w:eastAsia="zh-CN"/>
        </w:rPr>
        <w:t>湖南</w:t>
      </w:r>
      <w:r>
        <w:rPr>
          <w:rFonts w:hint="eastAsia" w:ascii="仿宋_GB2312" w:hAnsi="黑体" w:eastAsia="仿宋_GB2312"/>
          <w:color w:val="auto"/>
          <w:sz w:val="32"/>
          <w:szCs w:val="32"/>
          <w:highlight w:val="none"/>
        </w:rPr>
        <w:t>城建职业技术学院取得的“双一流”建设专项、高校国家奖助学金、学生资助补助高校助学贷款奖补</w:t>
      </w:r>
      <w:r>
        <w:rPr>
          <w:rFonts w:hint="eastAsia" w:ascii="仿宋_GB2312" w:hAnsi="黑体" w:eastAsia="仿宋_GB2312"/>
          <w:color w:val="auto"/>
          <w:sz w:val="32"/>
          <w:szCs w:val="32"/>
          <w:highlight w:val="none"/>
          <w:lang w:eastAsia="zh-CN"/>
        </w:rPr>
        <w:t>等</w:t>
      </w:r>
      <w:r>
        <w:rPr>
          <w:rFonts w:hint="eastAsia" w:ascii="仿宋_GB2312" w:hAnsi="黑体" w:eastAsia="仿宋_GB2312"/>
          <w:color w:val="auto"/>
          <w:sz w:val="32"/>
          <w:szCs w:val="32"/>
          <w:highlight w:val="none"/>
        </w:rPr>
        <w:t>，以及</w:t>
      </w:r>
      <w:r>
        <w:rPr>
          <w:rFonts w:hint="eastAsia" w:ascii="仿宋_GB2312" w:hAnsi="黑体" w:eastAsia="仿宋_GB2312"/>
          <w:color w:val="auto"/>
          <w:sz w:val="32"/>
          <w:szCs w:val="32"/>
          <w:highlight w:val="none"/>
          <w:lang w:eastAsia="zh-CN"/>
        </w:rPr>
        <w:t>湖南建筑</w:t>
      </w:r>
      <w:r>
        <w:rPr>
          <w:rFonts w:hint="eastAsia" w:ascii="仿宋_GB2312" w:hAnsi="黑体" w:eastAsia="仿宋_GB2312"/>
          <w:color w:val="auto"/>
          <w:sz w:val="32"/>
          <w:szCs w:val="32"/>
          <w:highlight w:val="none"/>
        </w:rPr>
        <w:t>高级技校取得的“就业补助省级专项”五项专项资金</w:t>
      </w:r>
      <w:r>
        <w:rPr>
          <w:rFonts w:hint="eastAsia" w:ascii="仿宋_GB2312" w:hAnsi="黑体"/>
          <w:color w:val="auto"/>
          <w:sz w:val="32"/>
          <w:szCs w:val="32"/>
          <w:highlight w:val="none"/>
          <w:lang w:eastAsia="zh-CN"/>
        </w:rPr>
        <w:t>。</w:t>
      </w:r>
      <w:r>
        <w:rPr>
          <w:rFonts w:hint="eastAsia" w:ascii="仿宋_GB2312" w:hAnsi="黑体" w:eastAsia="仿宋_GB2312"/>
          <w:color w:val="auto"/>
          <w:sz w:val="32"/>
          <w:szCs w:val="32"/>
          <w:highlight w:val="none"/>
          <w:lang w:eastAsia="zh-CN"/>
        </w:rPr>
        <w:t>湖南</w:t>
      </w:r>
      <w:r>
        <w:rPr>
          <w:rFonts w:hint="eastAsia" w:ascii="仿宋_GB2312" w:hAnsi="黑体" w:eastAsia="仿宋_GB2312"/>
          <w:color w:val="auto"/>
          <w:sz w:val="32"/>
          <w:szCs w:val="32"/>
          <w:highlight w:val="none"/>
        </w:rPr>
        <w:t>城建职业技术学院具体情况如下：</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（1）高校“双一流”建设专项</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双一流资金1104万元用于项目建设（含省级专项资金1094万元，其他渠道资金10万），实际到位资金1113.55万元（含省级专项资金1094万元，其他渠道资金19.55万），项目资金支出1070.28万元（含省级专项资金1060.29万元，其他渠道资金9.99万元）。省级专项资金到位率为100%，省级专项资金预算执行率为96.11%。项目资金使用严格按《湖南省高校“双一流”建设专项资金管理办法》（湘财教【2019】2号）文件、学院相关财务制度合理安排使用，坚决杜绝无预算和不在任务安排列表中的资金开支，对大额资金使用认真做好前期调研和论证，资金严格按财务资金使用审批程序进行审批，财务处定期公布项目资金执行情况，督促各部门科学安排前期论证、招标采购相关事宜，提高资金开支效率。</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专项资金产出情况</w:t>
      </w:r>
      <w:r>
        <w:rPr>
          <w:rFonts w:hint="eastAsia" w:ascii="仿宋_GB2312" w:hAnsi="黑体" w:eastAsia="仿宋_GB2312"/>
          <w:color w:val="auto"/>
          <w:sz w:val="32"/>
          <w:szCs w:val="32"/>
          <w:highlight w:val="none"/>
          <w:lang w:eastAsia="zh-CN"/>
        </w:rPr>
        <w:t>如下：</w:t>
      </w:r>
      <w:r>
        <w:rPr>
          <w:rFonts w:hint="eastAsia" w:ascii="仿宋_GB2312" w:hAnsi="黑体" w:eastAsia="仿宋_GB2312"/>
          <w:color w:val="auto"/>
          <w:sz w:val="32"/>
          <w:szCs w:val="32"/>
          <w:highlight w:val="none"/>
        </w:rPr>
        <w:t>①.师资队伍建设方面。实现学院专任教师总数438人，引进国家级人才0人，完成引进省级人才4人，博士学位教师占比达0.7%，45周岁以下青年教师占比达70.8%，立项3个省级专业教学团队。②.人才培养方面。完成省级教学平台建设0个、实现学生就业率达82.41%，学生本省就业率达52.7%，成功申报省级教学成果奖1项，立项国家规划教材10部，省级及以上竞赛获奖26项（教师教学能力竞赛获省级以上奖项14项，学生技能竞赛获省级以上奖项12项），专业生师比达20.5。③.科学研究成效显著。立项省部级以上科研项目21项，实现师均科研经费达0.1475万元，在SCI、SSCI、EI、MEDLINE、A&amp;HCI、CSCD、CSSCI收录期刊和一级期刊及以上期刊发表论文数11篇，其中国内权威期刊发表论文11篇，出版著作34部，立项横向课题项目1个，构建产学研平台2个。</w:t>
      </w:r>
    </w:p>
    <w:p>
      <w:pPr>
        <w:widowControl/>
        <w:spacing w:line="600" w:lineRule="exact"/>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④.卓越院校项目建设成果丰硕。</w:t>
      </w:r>
      <w:r>
        <w:rPr>
          <w:rFonts w:hint="eastAsia" w:ascii="仿宋_GB2312" w:hAnsi="黑体" w:eastAsia="仿宋_GB2312"/>
          <w:b/>
          <w:bCs/>
          <w:color w:val="auto"/>
          <w:sz w:val="32"/>
          <w:szCs w:val="32"/>
          <w:highlight w:val="none"/>
        </w:rPr>
        <w:t>一是</w:t>
      </w:r>
      <w:r>
        <w:rPr>
          <w:rFonts w:hint="eastAsia" w:ascii="仿宋_GB2312" w:hAnsi="黑体" w:eastAsia="仿宋_GB2312"/>
          <w:color w:val="auto"/>
          <w:sz w:val="32"/>
          <w:szCs w:val="32"/>
          <w:highlight w:val="none"/>
        </w:rPr>
        <w:t>人才培养质量方面。实现学生初次就业率达到湖南省前40%，为82.41%（省79.41%）、毕业生自主创业率达到湖南省前40%，为1.5%（省0.8%），学生技能抽查合格率达100%、学生毕业设计考核合格率达100%。</w:t>
      </w:r>
    </w:p>
    <w:p>
      <w:pPr>
        <w:widowControl/>
        <w:spacing w:line="600" w:lineRule="exact"/>
        <w:jc w:val="left"/>
        <w:rPr>
          <w:rFonts w:hint="eastAsia" w:ascii="仿宋_GB2312" w:hAnsi="黑体" w:eastAsia="仿宋_GB2312"/>
          <w:color w:val="auto"/>
          <w:sz w:val="32"/>
          <w:szCs w:val="32"/>
          <w:highlight w:val="none"/>
        </w:rPr>
      </w:pPr>
      <w:r>
        <w:rPr>
          <w:rFonts w:hint="eastAsia" w:ascii="仿宋_GB2312" w:hAnsi="黑体" w:eastAsia="仿宋_GB2312"/>
          <w:b/>
          <w:bCs/>
          <w:color w:val="auto"/>
          <w:sz w:val="32"/>
          <w:szCs w:val="32"/>
          <w:highlight w:val="none"/>
        </w:rPr>
        <w:t>二是</w:t>
      </w:r>
      <w:r>
        <w:rPr>
          <w:rFonts w:hint="eastAsia" w:ascii="仿宋_GB2312" w:hAnsi="黑体" w:eastAsia="仿宋_GB2312"/>
          <w:color w:val="auto"/>
          <w:sz w:val="32"/>
          <w:szCs w:val="32"/>
          <w:highlight w:val="none"/>
        </w:rPr>
        <w:t>人才培养模式改革方面。新增探索1+X证书试点数1个，物业管理专业实施现代学徒制培养56人。</w:t>
      </w:r>
      <w:r>
        <w:rPr>
          <w:rFonts w:hint="eastAsia" w:ascii="仿宋_GB2312" w:hAnsi="黑体" w:eastAsia="仿宋_GB2312"/>
          <w:b/>
          <w:bCs/>
          <w:color w:val="auto"/>
          <w:sz w:val="32"/>
          <w:szCs w:val="32"/>
          <w:highlight w:val="none"/>
        </w:rPr>
        <w:t>三是</w:t>
      </w:r>
      <w:r>
        <w:rPr>
          <w:rFonts w:hint="eastAsia" w:ascii="仿宋_GB2312" w:hAnsi="黑体" w:eastAsia="仿宋_GB2312"/>
          <w:color w:val="auto"/>
          <w:sz w:val="32"/>
          <w:szCs w:val="32"/>
          <w:highlight w:val="none"/>
        </w:rPr>
        <w:t>专业与课程建设方面。完成共享的专业核心课程配套的网络课程22门，院级专业教学资源库6个，国家级规划教材10门，省级名师空间课程5门因省厅未设置该项目而未完成，院级优质精品课程43门，职业教育标准5个，省级优质教学标准5个。实施了私有云建设及教学诊改信息化建设。</w:t>
      </w:r>
      <w:r>
        <w:rPr>
          <w:rFonts w:hint="eastAsia" w:ascii="仿宋_GB2312" w:hAnsi="黑体" w:eastAsia="仿宋_GB2312"/>
          <w:b/>
          <w:bCs/>
          <w:color w:val="auto"/>
          <w:sz w:val="32"/>
          <w:szCs w:val="32"/>
          <w:highlight w:val="none"/>
        </w:rPr>
        <w:t>四是</w:t>
      </w:r>
      <w:r>
        <w:rPr>
          <w:rFonts w:hint="eastAsia" w:ascii="仿宋_GB2312" w:hAnsi="黑体" w:eastAsia="仿宋_GB2312"/>
          <w:color w:val="auto"/>
          <w:sz w:val="32"/>
          <w:szCs w:val="32"/>
          <w:highlight w:val="none"/>
        </w:rPr>
        <w:t>国际交流方面。完成国际化合作项目1个。</w:t>
      </w:r>
      <w:r>
        <w:rPr>
          <w:rFonts w:hint="eastAsia" w:ascii="仿宋_GB2312" w:hAnsi="黑体" w:eastAsia="仿宋_GB2312"/>
          <w:b/>
          <w:bCs/>
          <w:color w:val="auto"/>
          <w:sz w:val="32"/>
          <w:szCs w:val="32"/>
          <w:highlight w:val="none"/>
        </w:rPr>
        <w:t>五是</w:t>
      </w:r>
      <w:r>
        <w:rPr>
          <w:rFonts w:hint="eastAsia" w:ascii="仿宋_GB2312" w:hAnsi="黑体" w:eastAsia="仿宋_GB2312"/>
          <w:color w:val="auto"/>
          <w:sz w:val="32"/>
          <w:szCs w:val="32"/>
          <w:highlight w:val="none"/>
        </w:rPr>
        <w:t>教师队伍建设方面。完成从企业聘请领军人才2人，培养正高职称教师5人，省级青年骨干教师2人，专任教师全部具有本科以上学历和高等院校教师资格比例达100%，实现副高以上专业技术职务、双师素质的骨干教师比例达58.7%，实现5名骨干教师培训或者访学1年，承办1个省级以上教师培训项目。</w:t>
      </w:r>
      <w:r>
        <w:rPr>
          <w:rFonts w:hint="eastAsia" w:ascii="仿宋_GB2312" w:hAnsi="黑体" w:eastAsia="仿宋_GB2312"/>
          <w:b/>
          <w:bCs/>
          <w:color w:val="auto"/>
          <w:sz w:val="32"/>
          <w:szCs w:val="32"/>
          <w:highlight w:val="none"/>
        </w:rPr>
        <w:t>六是</w:t>
      </w:r>
      <w:r>
        <w:rPr>
          <w:rFonts w:hint="eastAsia" w:ascii="仿宋_GB2312" w:hAnsi="黑体" w:eastAsia="仿宋_GB2312"/>
          <w:color w:val="auto"/>
          <w:sz w:val="32"/>
          <w:szCs w:val="32"/>
          <w:highlight w:val="none"/>
        </w:rPr>
        <w:t>实习实训条件建设方面。建设1个校内大型的综合生产性实训基地、2个智慧教室，实训项目开出率达100%，实施了建筑实体信息模型展示区建设及“三室两厅”建设。</w:t>
      </w:r>
      <w:r>
        <w:rPr>
          <w:rFonts w:hint="eastAsia" w:ascii="仿宋_GB2312" w:hAnsi="黑体" w:eastAsia="仿宋_GB2312"/>
          <w:b/>
          <w:bCs/>
          <w:color w:val="auto"/>
          <w:sz w:val="32"/>
          <w:szCs w:val="32"/>
          <w:highlight w:val="none"/>
        </w:rPr>
        <w:t>七是</w:t>
      </w:r>
      <w:r>
        <w:rPr>
          <w:rFonts w:hint="eastAsia" w:ascii="仿宋_GB2312" w:hAnsi="黑体" w:eastAsia="仿宋_GB2312"/>
          <w:color w:val="auto"/>
          <w:sz w:val="32"/>
          <w:szCs w:val="32"/>
          <w:highlight w:val="none"/>
        </w:rPr>
        <w:t>科研与社会服务方面。立项省级纵向科研项目21个、立项国家级纵向项目1个，实现职业培训人数54178人次。</w:t>
      </w:r>
      <w:r>
        <w:rPr>
          <w:rFonts w:hint="eastAsia" w:ascii="仿宋_GB2312" w:hAnsi="黑体" w:eastAsia="仿宋_GB2312"/>
          <w:b/>
          <w:bCs/>
          <w:color w:val="auto"/>
          <w:sz w:val="32"/>
          <w:szCs w:val="32"/>
          <w:highlight w:val="none"/>
        </w:rPr>
        <w:t>八是</w:t>
      </w:r>
      <w:r>
        <w:rPr>
          <w:rFonts w:hint="eastAsia" w:ascii="仿宋_GB2312" w:hAnsi="黑体" w:eastAsia="仿宋_GB2312"/>
          <w:color w:val="auto"/>
          <w:sz w:val="32"/>
          <w:szCs w:val="32"/>
          <w:highlight w:val="none"/>
        </w:rPr>
        <w:t>标志性成果方面。完成国家级标志性成果13项，省级标志性成果60项。</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附件3-1：高校“双一流”建设专项项目支出绩效自评表1</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2</w:t>
      </w:r>
      <w:r>
        <w:rPr>
          <w:rFonts w:hint="eastAsia" w:ascii="仿宋_GB2312" w:hAnsi="黑体" w:eastAsia="仿宋_GB2312"/>
          <w:color w:val="auto"/>
          <w:sz w:val="32"/>
          <w:szCs w:val="32"/>
          <w:highlight w:val="none"/>
        </w:rPr>
        <w:t>）高校“双一流”建设专项(高校思想政治工作质量提升工程)</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项目省级资助金额为16.6万，分别是中青骨干建设项目8.7万，高校思想政治工作精品项目4.3万，高校思想政治工作研究项目2.6万，高校辅导员骨干专项项目1万。项目建设经费均已单列，并划拨至项目负责人，项目建设文件下发后，均已严格按照省级、学院相关经费管理办法，制定项目建设经费预算，专项资金均已制定使用预算，分别人才队伍建设 2.2万元，科学研究9.5万元；学术交流合作1.8万元；日常运行及其他3.1万元。</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根据项目建设实施步骤，4个项目已完成2020年相关工作，并产生了6.2万元费用，但均未在财务报账。一是因为疫情影响，相关调研工作稍微滞后；二是因财务报销的原始佐证材料暂未收到，相关已发生费用资金暂有由项目负责人个人垫付，尚未报销。</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专项资金产出情况</w:t>
      </w:r>
      <w:r>
        <w:rPr>
          <w:rFonts w:hint="eastAsia" w:ascii="仿宋_GB2312" w:hAnsi="黑体" w:eastAsia="仿宋_GB2312"/>
          <w:color w:val="auto"/>
          <w:sz w:val="32"/>
          <w:szCs w:val="32"/>
          <w:highlight w:val="none"/>
          <w:lang w:eastAsia="zh-CN"/>
        </w:rPr>
        <w:t>如下：</w:t>
      </w:r>
      <w:r>
        <w:rPr>
          <w:rFonts w:hint="eastAsia" w:ascii="仿宋_GB2312" w:hAnsi="黑体" w:eastAsia="仿宋_GB2312"/>
          <w:color w:val="auto"/>
          <w:sz w:val="32"/>
          <w:szCs w:val="32"/>
          <w:highlight w:val="none"/>
        </w:rPr>
        <w:t>①</w:t>
      </w:r>
      <w:r>
        <w:rPr>
          <w:rFonts w:hint="eastAsia" w:ascii="仿宋_GB2312" w:hAnsi="黑体" w:eastAsia="仿宋_GB2312"/>
          <w:color w:val="auto"/>
          <w:sz w:val="32"/>
          <w:szCs w:val="32"/>
          <w:highlight w:val="none"/>
          <w:lang w:val="en-US" w:eastAsia="zh-CN"/>
        </w:rPr>
        <w:t>.</w:t>
      </w:r>
      <w:r>
        <w:rPr>
          <w:rFonts w:hint="eastAsia" w:ascii="仿宋_GB2312" w:hAnsi="黑体" w:eastAsia="仿宋_GB2312"/>
          <w:color w:val="auto"/>
          <w:sz w:val="32"/>
          <w:szCs w:val="32"/>
          <w:highlight w:val="none"/>
        </w:rPr>
        <w:t>课题《基于新冠疫情防控的大学生家国情怀培养路径研究》（项目号：20C44）截止目前，完成前期信息采集工作，通过收集整理资料、进行理论学习和政策研讨，目前已建立项目研究的理论框架，调研工作也稳步进行中。②</w:t>
      </w:r>
      <w:r>
        <w:rPr>
          <w:rFonts w:hint="eastAsia" w:ascii="仿宋_GB2312" w:hAnsi="黑体" w:eastAsia="仿宋_GB2312"/>
          <w:color w:val="auto"/>
          <w:sz w:val="32"/>
          <w:szCs w:val="32"/>
          <w:highlight w:val="none"/>
          <w:lang w:val="en-US" w:eastAsia="zh-CN"/>
        </w:rPr>
        <w:t>.</w:t>
      </w:r>
      <w:r>
        <w:rPr>
          <w:rFonts w:hint="eastAsia" w:ascii="仿宋_GB2312" w:hAnsi="黑体" w:eastAsia="仿宋_GB2312"/>
          <w:color w:val="auto"/>
          <w:sz w:val="32"/>
          <w:szCs w:val="32"/>
          <w:highlight w:val="none"/>
        </w:rPr>
        <w:t>课题《基于学生期望视角下的高职院校辅导员胜任力研究》（项目号：20F51）截止目前，已经完成相关问卷调查设计、数据分析、资料整理，论文提纲撰写。③</w:t>
      </w:r>
      <w:r>
        <w:rPr>
          <w:rFonts w:hint="eastAsia" w:ascii="仿宋_GB2312" w:hAnsi="黑体" w:eastAsia="仿宋_GB2312"/>
          <w:color w:val="auto"/>
          <w:sz w:val="32"/>
          <w:szCs w:val="32"/>
          <w:highlight w:val="none"/>
          <w:lang w:val="en-US" w:eastAsia="zh-CN"/>
        </w:rPr>
        <w:t>.</w:t>
      </w:r>
      <w:r>
        <w:rPr>
          <w:rFonts w:hint="eastAsia" w:ascii="仿宋_GB2312" w:hAnsi="黑体" w:eastAsia="仿宋_GB2312"/>
          <w:color w:val="auto"/>
          <w:sz w:val="32"/>
          <w:szCs w:val="32"/>
          <w:highlight w:val="none"/>
        </w:rPr>
        <w:t>项目中青骨干建设，已围绕团队文化传承与创新、特色校园文化建设开展研讨1次，围绕学习党的光辉历史、增强“四个自信”面向学生开展宣讲2场，围绕高校文化育人质量提升体系建设进行了调研并形成了调研报告，撰写了《文化自信视域下高校思政课教学创新研究》论文1篇，已收到用稿通知。④</w:t>
      </w:r>
      <w:r>
        <w:rPr>
          <w:rFonts w:hint="eastAsia" w:ascii="仿宋_GB2312" w:hAnsi="黑体" w:eastAsia="仿宋_GB2312"/>
          <w:color w:val="auto"/>
          <w:sz w:val="32"/>
          <w:szCs w:val="32"/>
          <w:highlight w:val="none"/>
          <w:lang w:val="en-US" w:eastAsia="zh-CN"/>
        </w:rPr>
        <w:t>.</w:t>
      </w:r>
      <w:r>
        <w:rPr>
          <w:rFonts w:hint="eastAsia" w:ascii="仿宋_GB2312" w:hAnsi="黑体" w:eastAsia="仿宋_GB2312"/>
          <w:color w:val="auto"/>
          <w:sz w:val="32"/>
          <w:szCs w:val="32"/>
          <w:highlight w:val="none"/>
        </w:rPr>
        <w:t>《路桥专业“八大工程”课程育人模式构建》（项目号：20JP020），出版学术著作2部，《路桥专业核心课程“课程思政”教学案例设计》（书号ISBN 978-7-5692-6214-8）、《高职土建类专业“课程思政”教学案例设计》（书号ISBN 978-7-5692-6261-2），荣获湖南省职业院校职业院校教师职业能力竞赛思想政治教育教学比赛课程思政说课赛项获“一等奖”1项，完成《桥梁施工技术》《路基路面施工技术》《隧道施工技术》三门课程“课程思政”第一批教学资源库建设，完成40个“课程思政”案例段视频微课制作，并已申请软著，《基于桥梁施工技术课程思政的设计与实施》线上课程在国家行政学院课程思政网络培训上线。分别在高职院校交流、省级课程思政培训、国家级协会年会上做课程思政建设经验分享6次。</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个课题项目均已完成前期调研、数据整理、学术论文提纲撰写；中青队伍骨干项目已围绕项目团队文化传承与创新、特色校园文化建设，开展理论宣讲、调研报告撰写、学术论文刊发；思想政治工作精品项目出版学术专著2部，完成三门课程的课程思政教学案例设计，荣获省级课程思政说课竞赛一等奖1项，完成40余个课程思政案例段视频微课制作，先后在省级课程思政培训做典型经验交流分享6次，产生了较好的社会效益，达到了预期建设目标。</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附件3-2：高校“双一流”建设专项(高校思想政治工作质量提升工程)项目支出绩效自评表2</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3</w:t>
      </w:r>
      <w:r>
        <w:rPr>
          <w:rFonts w:hint="eastAsia" w:ascii="仿宋_GB2312" w:hAnsi="黑体" w:eastAsia="仿宋_GB2312"/>
          <w:color w:val="auto"/>
          <w:sz w:val="32"/>
          <w:szCs w:val="32"/>
          <w:highlight w:val="none"/>
        </w:rPr>
        <w:t>）.高校国家奖助学金、学生资助补助、高校助学贷款奖补资金</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2020年学生资助专项资金分别是高校国家奖助学金826万、学生资助补助13.42万元、奖补资金1万元和往年中职奖助学金预拨资金160.175万已全部用于2020年国家奖助学金发放，共计发放金额1000.59万元。</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国奖奖助学金5201人次，均严格按照国家和省教育厅制定的政策标准对家庭经济困难学生进行资助补助，完成了既定的数量指标、质量指标和时效指标。根据《学生资助资金管理办法》（财科教〔2019〕19号）精神进行资助，减轻了家庭经济困难学生的经济负担，改变了家庭经济困难学生及其家庭的命运，通过入学前资助政策的宣传，没有一例因贫困失学的现象，保障了教育事业健康快速发展。</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附件3-3：高校国家奖助学金、学生资助补助、高校助学贷款奖补资金项目支出绩效自评表3</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4</w:t>
      </w:r>
      <w:r>
        <w:rPr>
          <w:rFonts w:hint="eastAsia" w:ascii="仿宋_GB2312" w:hAnsi="黑体" w:eastAsia="仿宋_GB2312"/>
          <w:color w:val="auto"/>
          <w:sz w:val="32"/>
          <w:szCs w:val="32"/>
          <w:highlight w:val="none"/>
        </w:rPr>
        <w:t>）.应征入伍服义务兵役国家资助、应征入伍服义务兵役学费补偿贷款代偿</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应征入伍服义务兵役国家资助149.64万元和应征入伍服义务兵役学费补偿贷款代偿58.3万元已全部用于发放应征入伍服兵役国家教育资助，共计发放金额154.066万元，剩余部分在2021年发放。</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2020年，应征入伍服义务兵役国家资助136人，退役士兵学费资助7人，均严格按照国家和省教育厅制定的政策标准对家庭经济困难学生和入伍学生进行资助补助，完成了既定的数量指标、质量指标和时效指标。根据《学生资助资金管理办法》（财科教〔2019〕19号）精神，为退役士兵学费减免、入伍学生学费补偿提供资助。</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附件3-4：应征入伍服义务兵役国家资助、应征入伍服义务兵役学费补偿贷款代偿项目支出绩效自评表4</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5</w:t>
      </w:r>
      <w:r>
        <w:rPr>
          <w:rFonts w:hint="eastAsia" w:ascii="仿宋_GB2312" w:hAnsi="黑体" w:eastAsia="仿宋_GB2312"/>
          <w:color w:val="auto"/>
          <w:sz w:val="32"/>
          <w:szCs w:val="32"/>
          <w:highlight w:val="none"/>
        </w:rPr>
        <w:t>）.职业院校教师素质提高计划（中央）</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职业院校教师素质提高计划（教学副校长专题培训、教务处长专题培训、科研副校长专题培训、科研处长专题培训）计划培训4人次，实际完成培训4人次，完成率为100%。项目预算资金为9000元，实际支出15144元。其中教学副校长专题培训预算2800元，实际支出3917元；教务处长专题培训专题培训预算2800元，实际支出3967元；科研副校长专题培训预算1700元，实际支出3947元；科研处长专题培训预算1700元，实际支出3363元。</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附件3-5：职业院校教师素质提高计划（中央）项目支出绩效自评表5</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6</w:t>
      </w:r>
      <w:r>
        <w:rPr>
          <w:rFonts w:hint="eastAsia" w:ascii="仿宋_GB2312" w:hAnsi="黑体" w:eastAsia="仿宋_GB2312"/>
          <w:color w:val="auto"/>
          <w:sz w:val="32"/>
          <w:szCs w:val="32"/>
          <w:highlight w:val="none"/>
        </w:rPr>
        <w:t>）.职业院校教师素质提高计划-“双师型”教师BIM证书实施方案</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职业院校教师素养提高计划--2020年第二批国家级培训项目“双师型”教师专业技能训练（中高职项目）建筑信息模型（BIM）课证融通培训补助资金26.4万，培训人数为60人，培训时间10天。费用明细如下：</w:t>
      </w:r>
    </w:p>
    <w:p>
      <w:pPr>
        <w:pStyle w:val="2"/>
        <w:rPr>
          <w:rFonts w:hint="eastAsia" w:ascii="仿宋_GB2312" w:hAnsi="黑体" w:eastAsia="仿宋_GB2312"/>
          <w:color w:val="auto"/>
          <w:sz w:val="32"/>
          <w:szCs w:val="32"/>
          <w:highlight w:val="none"/>
        </w:rPr>
      </w:pPr>
    </w:p>
    <w:p>
      <w:pPr>
        <w:pStyle w:val="2"/>
        <w:rPr>
          <w:rFonts w:hint="eastAsia" w:ascii="仿宋_GB2312" w:hAnsi="黑体" w:eastAsia="仿宋_GB2312"/>
          <w:color w:val="auto"/>
          <w:sz w:val="32"/>
          <w:szCs w:val="32"/>
          <w:highlight w:val="none"/>
        </w:rPr>
      </w:pPr>
    </w:p>
    <w:p>
      <w:pPr>
        <w:pStyle w:val="2"/>
        <w:rPr>
          <w:rFonts w:hint="eastAsia" w:ascii="仿宋_GB2312" w:hAnsi="黑体" w:eastAsia="仿宋_GB2312"/>
          <w:color w:val="auto"/>
          <w:sz w:val="32"/>
          <w:szCs w:val="32"/>
          <w:highlight w:val="none"/>
        </w:rPr>
      </w:pPr>
    </w:p>
    <w:p>
      <w:pPr>
        <w:pStyle w:val="2"/>
        <w:rPr>
          <w:rFonts w:hint="eastAsia" w:ascii="仿宋_GB2312" w:hAnsi="黑体" w:eastAsia="仿宋_GB2312"/>
          <w:color w:val="auto"/>
          <w:sz w:val="32"/>
          <w:szCs w:val="32"/>
          <w:highlight w:val="none"/>
        </w:rPr>
      </w:pPr>
    </w:p>
    <w:p>
      <w:pPr>
        <w:pStyle w:val="2"/>
        <w:rPr>
          <w:rFonts w:hint="eastAsia" w:ascii="仿宋_GB2312" w:hAnsi="黑体" w:eastAsia="仿宋_GB2312"/>
          <w:color w:val="auto"/>
          <w:sz w:val="32"/>
          <w:szCs w:val="32"/>
          <w:highlight w:val="none"/>
        </w:rPr>
      </w:pPr>
    </w:p>
    <w:tbl>
      <w:tblPr>
        <w:tblStyle w:val="9"/>
        <w:tblW w:w="8931" w:type="dxa"/>
        <w:tblInd w:w="108" w:type="dxa"/>
        <w:tblLayout w:type="autofit"/>
        <w:tblCellMar>
          <w:top w:w="0" w:type="dxa"/>
          <w:left w:w="108" w:type="dxa"/>
          <w:bottom w:w="0" w:type="dxa"/>
          <w:right w:w="108" w:type="dxa"/>
        </w:tblCellMar>
      </w:tblPr>
      <w:tblGrid>
        <w:gridCol w:w="1080"/>
        <w:gridCol w:w="2039"/>
        <w:gridCol w:w="1276"/>
        <w:gridCol w:w="1134"/>
        <w:gridCol w:w="1417"/>
        <w:gridCol w:w="992"/>
        <w:gridCol w:w="993"/>
      </w:tblGrid>
      <w:tr>
        <w:trPr>
          <w:trHeight w:val="34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序号</w:t>
            </w:r>
          </w:p>
        </w:tc>
        <w:tc>
          <w:tcPr>
            <w:tcW w:w="331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项目</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单价</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数量</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合计</w:t>
            </w:r>
          </w:p>
        </w:tc>
      </w:tr>
      <w:tr>
        <w:tblPrEx>
          <w:tblCellMar>
            <w:top w:w="0" w:type="dxa"/>
            <w:left w:w="108" w:type="dxa"/>
            <w:bottom w:w="0" w:type="dxa"/>
            <w:right w:w="108" w:type="dxa"/>
          </w:tblCellMar>
        </w:tblPrEx>
        <w:trPr>
          <w:trHeight w:val="34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w:t>
            </w:r>
          </w:p>
        </w:tc>
        <w:tc>
          <w:tcPr>
            <w:tcW w:w="203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培训（劳务）费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教授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节</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0" w:lineRule="atLeast"/>
              <w:jc w:val="center"/>
              <w:rPr>
                <w:color w:val="auto"/>
                <w:kern w:val="0"/>
                <w:sz w:val="24"/>
                <w:highlight w:val="none"/>
              </w:rPr>
            </w:pPr>
            <w:r>
              <w:rPr>
                <w:color w:val="auto"/>
                <w:kern w:val="0"/>
                <w:sz w:val="24"/>
                <w:highlight w:val="none"/>
              </w:rPr>
              <w:t>20000</w:t>
            </w:r>
          </w:p>
        </w:tc>
      </w:tr>
      <w:tr>
        <w:tblPrEx>
          <w:tblCellMar>
            <w:top w:w="0" w:type="dxa"/>
            <w:left w:w="108" w:type="dxa"/>
            <w:bottom w:w="0" w:type="dxa"/>
            <w:right w:w="108" w:type="dxa"/>
          </w:tblCellMar>
        </w:tblPrEx>
        <w:trPr>
          <w:trHeight w:val="34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4"/>
                <w:highlight w:val="none"/>
              </w:rPr>
            </w:pPr>
          </w:p>
        </w:tc>
        <w:tc>
          <w:tcPr>
            <w:tcW w:w="203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副教授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500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34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节</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0" w:lineRule="atLeast"/>
              <w:jc w:val="center"/>
              <w:rPr>
                <w:color w:val="auto"/>
                <w:kern w:val="0"/>
                <w:sz w:val="24"/>
                <w:highlight w:val="none"/>
              </w:rPr>
            </w:pPr>
            <w:r>
              <w:rPr>
                <w:color w:val="auto"/>
                <w:kern w:val="0"/>
                <w:sz w:val="24"/>
                <w:highlight w:val="none"/>
              </w:rPr>
              <w:t>17000</w:t>
            </w:r>
          </w:p>
        </w:tc>
      </w:tr>
      <w:tr>
        <w:tblPrEx>
          <w:tblCellMar>
            <w:top w:w="0" w:type="dxa"/>
            <w:left w:w="108" w:type="dxa"/>
            <w:bottom w:w="0" w:type="dxa"/>
            <w:right w:w="108" w:type="dxa"/>
          </w:tblCellMar>
        </w:tblPrEx>
        <w:trPr>
          <w:trHeight w:val="33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4"/>
                <w:highlight w:val="none"/>
              </w:rPr>
            </w:pPr>
          </w:p>
        </w:tc>
        <w:tc>
          <w:tcPr>
            <w:tcW w:w="203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讲师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400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66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节</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0" w:lineRule="atLeast"/>
              <w:jc w:val="center"/>
              <w:rPr>
                <w:color w:val="auto"/>
                <w:kern w:val="0"/>
                <w:sz w:val="24"/>
                <w:highlight w:val="none"/>
              </w:rPr>
            </w:pPr>
            <w:r>
              <w:rPr>
                <w:color w:val="auto"/>
                <w:kern w:val="0"/>
                <w:sz w:val="24"/>
                <w:highlight w:val="none"/>
              </w:rPr>
              <w:t>26400</w:t>
            </w:r>
          </w:p>
        </w:tc>
      </w:tr>
      <w:tr>
        <w:tblPrEx>
          <w:tblCellMar>
            <w:top w:w="0" w:type="dxa"/>
            <w:left w:w="108" w:type="dxa"/>
            <w:bottom w:w="0" w:type="dxa"/>
            <w:right w:w="108" w:type="dxa"/>
          </w:tblCellMar>
        </w:tblPrEx>
        <w:trPr>
          <w:trHeight w:val="3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2</w:t>
            </w:r>
          </w:p>
        </w:tc>
        <w:tc>
          <w:tcPr>
            <w:tcW w:w="331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学员及专家住宿费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280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310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间</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86800</w:t>
            </w:r>
          </w:p>
        </w:tc>
      </w:tr>
      <w:tr>
        <w:tblPrEx>
          <w:tblCellMar>
            <w:top w:w="0" w:type="dxa"/>
            <w:left w:w="108" w:type="dxa"/>
            <w:bottom w:w="0" w:type="dxa"/>
            <w:right w:w="108" w:type="dxa"/>
          </w:tblCellMar>
        </w:tblPrEx>
        <w:trPr>
          <w:trHeight w:val="3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3</w:t>
            </w:r>
          </w:p>
        </w:tc>
        <w:tc>
          <w:tcPr>
            <w:tcW w:w="331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资料费、照相、文具、水等</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13000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40000</w:t>
            </w:r>
          </w:p>
        </w:tc>
      </w:tr>
      <w:tr>
        <w:tblPrEx>
          <w:tblCellMar>
            <w:top w:w="0" w:type="dxa"/>
            <w:left w:w="108" w:type="dxa"/>
            <w:bottom w:w="0" w:type="dxa"/>
            <w:right w:w="108" w:type="dxa"/>
          </w:tblCellMar>
        </w:tblPrEx>
        <w:trPr>
          <w:trHeight w:val="3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4</w:t>
            </w:r>
          </w:p>
        </w:tc>
        <w:tc>
          <w:tcPr>
            <w:tcW w:w="331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图文制作、印刷费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10000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10000</w:t>
            </w:r>
          </w:p>
        </w:tc>
      </w:tr>
      <w:tr>
        <w:tblPrEx>
          <w:tblCellMar>
            <w:top w:w="0" w:type="dxa"/>
            <w:left w:w="108" w:type="dxa"/>
            <w:bottom w:w="0" w:type="dxa"/>
            <w:right w:w="108" w:type="dxa"/>
          </w:tblCellMar>
        </w:tblPrEx>
        <w:trPr>
          <w:trHeight w:val="3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5</w:t>
            </w:r>
          </w:p>
        </w:tc>
        <w:tc>
          <w:tcPr>
            <w:tcW w:w="331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学员中晚餐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400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桌</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44000</w:t>
            </w:r>
          </w:p>
        </w:tc>
      </w:tr>
      <w:tr>
        <w:tblPrEx>
          <w:tblCellMar>
            <w:top w:w="0" w:type="dxa"/>
            <w:left w:w="108" w:type="dxa"/>
            <w:bottom w:w="0" w:type="dxa"/>
            <w:right w:w="108" w:type="dxa"/>
          </w:tblCellMar>
        </w:tblPrEx>
        <w:trPr>
          <w:trHeight w:val="3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6</w:t>
            </w:r>
          </w:p>
        </w:tc>
        <w:tc>
          <w:tcPr>
            <w:tcW w:w="331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专家接待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50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餐</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4000</w:t>
            </w:r>
          </w:p>
        </w:tc>
      </w:tr>
      <w:tr>
        <w:tblPrEx>
          <w:tblCellMar>
            <w:top w:w="0" w:type="dxa"/>
            <w:left w:w="108" w:type="dxa"/>
            <w:bottom w:w="0" w:type="dxa"/>
            <w:right w:w="108" w:type="dxa"/>
          </w:tblCellMar>
        </w:tblPrEx>
        <w:trPr>
          <w:trHeight w:val="33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7</w:t>
            </w:r>
          </w:p>
        </w:tc>
        <w:tc>
          <w:tcPr>
            <w:tcW w:w="331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专家交通</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10000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10000</w:t>
            </w:r>
          </w:p>
        </w:tc>
      </w:tr>
      <w:tr>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nil"/>
              <w:right w:val="nil"/>
            </w:tcBorders>
            <w:shd w:val="clear" w:color="auto" w:fill="auto"/>
            <w:noWrap/>
            <w:vAlign w:val="bottom"/>
          </w:tcPr>
          <w:p>
            <w:pPr>
              <w:widowControl/>
              <w:jc w:val="center"/>
              <w:rPr>
                <w:color w:val="auto"/>
                <w:kern w:val="0"/>
                <w:sz w:val="24"/>
                <w:highlight w:val="none"/>
              </w:rPr>
            </w:pPr>
            <w:r>
              <w:rPr>
                <w:rFonts w:hint="eastAsia"/>
                <w:color w:val="auto"/>
                <w:kern w:val="0"/>
                <w:sz w:val="24"/>
                <w:highlight w:val="none"/>
              </w:rPr>
              <w:t>8</w:t>
            </w:r>
          </w:p>
        </w:tc>
        <w:tc>
          <w:tcPr>
            <w:tcW w:w="33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拓展活动费用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30000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3000</w:t>
            </w:r>
          </w:p>
        </w:tc>
      </w:tr>
      <w:tr>
        <w:tblPrEx>
          <w:tblCellMar>
            <w:top w:w="0" w:type="dxa"/>
            <w:left w:w="108" w:type="dxa"/>
            <w:bottom w:w="0" w:type="dxa"/>
            <w:right w:w="108" w:type="dxa"/>
          </w:tblCellMar>
        </w:tblPrEx>
        <w:trPr>
          <w:trHeight w:val="330" w:hRule="atLeast"/>
        </w:trPr>
        <w:tc>
          <w:tcPr>
            <w:tcW w:w="793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总计</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highlight w:val="none"/>
              </w:rPr>
            </w:pPr>
            <w:r>
              <w:rPr>
                <w:color w:val="auto"/>
                <w:kern w:val="0"/>
                <w:sz w:val="24"/>
                <w:highlight w:val="none"/>
              </w:rPr>
              <w:t>261200</w:t>
            </w:r>
          </w:p>
        </w:tc>
      </w:tr>
    </w:tbl>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项目按专项资金使用与管理，做好了项目实施方案，包括预算与论证，制定资金使用计划，严格资金使用范围，实行“统一管理，专账核算、专款专用”，开展了绩效考核，确保建设任务如期完成。</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项目按照规定完成了中职教师20人和高职40人的培训任务，具体的培训方式有课堂讲授、集体研讨、分享交流等模式。整个培训中有校内专家课堂授课共40场，企业专家课堂授课40场，集中研讨4场，分组汇报评价1场（6小组）。培训期间学员能积极与授课教师（以及现场专家）互动，研讨交流中发言踊跃，教学组织中积极献言献策。所有学员能够将各自学校以及本人对人才培养、专业建设、课程建设与改革、技能比武等各方面的先进做法与经验进行充分分享。项目立项后，项目组在2020年11月完成了培训实施方案的制定和布置，按文件要求，原计划应在2020年底实施完毕，因阶段性疫情反复无法按期实施，经汇报上级批准后于2021年1月8日-1月17日按照要求实施，圆满完成培训任务。</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附件3-6：职业院校教师素质提高计划-“双师型”教师BIM证书实施方案项目支出绩效自评表6</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7</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.就业补助专项（省级）</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为毕业生开展校企岗位对接、组织各类校园招聘活动，有效提升应届毕业生就业率。我院向湖南省人力资源社会保障厅申请一次性校园招聘活动补助，湖南省财政厅2019年安排21.6万元作为我院就业补助专项资金。资金主要用于四个方面：一是就业指导与宣传费用。为开展就业教育、就业讲座与宣传工作所支出的费用，包括宣传费、就业讲座课时费等约计2万余元。二是开展就业特色活动费用。招生与就业指导处开展具有本院特色的教育活动所支出的费用，包括宣传费、组织费、补助等。组织学生参加 “百家名企高校行”；举办2019届毕业生离校前招聘会、2020届毕业生大型供需见面会，专场招聘会等约计10万余元。三是就业市场调研及开拓费用。为开拓就业市场、考察用人单位、建立毕业生就业实习基地等活动所支出的费用；回访追踪毕业生及未就业毕业生的跟踪统计费用。招生与就业指导处及各系部在毕业生离校后开展后期跟踪统计和调查所支出的费用约计8万余元。四是就业培训、工作交流与调研费用。招生与就业指导处与校外兄弟单位交流学习，外出参加就业工作会议、学习、培训所支出的费用约计1万余元。</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专项资金完成了如下绩效目标：①.2020年6月举办2020届毕业生离校前招聘会，邀请80家单位前来招聘，提供工作岗位600余个 。②.2020年11月28日，我院联合湖南省教育厅、湘潭市人力资源和社会保障局共同举办的湖南城建职业技术学院2021届毕业生就业供需见面会暨湘潭市2020年人社服务进校园高校毕业生就业服务月在风雨操场成功举办。本次提高了参会单位的专业性和对口性，共吸引省内外213家优质单位前来招聘，提供就业岗位4000余个，吸引了校内外近3000名毕业生前来应聘。③.院领导亲自带队前往广东、四川、北京、广西、浙江、上海等多个省市拓展就业市场，与多个用人单位签订校企合作协议及就业实习基地，建立了良好的互动，在就业工作取得了积极的成效。</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附件3-7：就业补助专项（省级）项目支出绩效自评表7</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8</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.省社科基金课题</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中国制造2025”背景下职业院校劳动教育体系建构研究》（19YBG009）是2020年下达的2019年度湖南省哲学社会科学基金项目。湖南省省财政支持资金2万元（目前到账1.8万元），主要用于课题开展研究相关费用，专项资金的安排计划如下：用于调查研究过程中的数据采集费（500元）、购买资料和图书费（2000元）、绩效（2500元）、专家咨询费（1000元）、发表论文版面费和出版著作费（12000元）。根据现行《湖南城建职业技术学院科研课题管理办法》（院发〔2017〕66号）相关规定，给予立项课题1:2的配套资助经费。专项资金使用严格按照省财政资金的使用要求，已发生开展前期的调研500元、购买资料和图书费1600元、专家咨询费600元、发表论文版面费11000元，以上使用经费暂未报销。</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截止目前，项目已经发表了四篇省级期刊论文，具体如下：职业院校学生劳动意识和劳动技能培养方略，《四川劳动保障》，省级，四川期刊集团；素质教育背景下高职院校劳动教育路径探究，《启迪》，省级，未来出版社；优化•创新•增效：高校劳动教育课程发展新对策，《科学导报》，省级，山西省科学技术学会；刍议高校劳动教育作用及发展方向，《科学导报》，省级，山西省科学技术学会。</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附件3-8：省社科基金课题项目支出绩效自评表8</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9</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.非省级专项资金：学生公寓（7、8号）购置</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项目年度预算总金额为4511万元，已使用4583.36万元。该项目楼房主体已完工，配套设施正在建设中，总工程进度已完工92%。</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附件3-9：2019年度项目支出绩效自评表9</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10</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.非省级专项资金：图书、软件、固定资产购置</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项目年度预算总金额为1033.61万元，已使用896.9万元，资金使用率86.77%。全院教学办公设备、图书软件大额支出包括:①党政办购买掌上电脑及笔记本电脑8.4万元，②后勤食堂购买电梯17万元，③党校活动中心购买家具及多媒体设备33万元，④学工处学生公寓和土木教学楼购买直饮水设备41.7万元，⑤学工处购买公寓床14.9万元，⑥党校理想信念教育馆设备购置107.5万元，⑦学生宿舍7、8#号楼购买学生公寓床500万元，⑧图书馆数字图书资源更新及期刊63.35万元。⑨财务处内控建设11.9万元。⑩1+X证书教学研究中心购买BIM职业技能训练系统9万元。</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采购项目严格按照国家、省和学院的有关规定，在采购信息公告、招标文件编制、开标评标、合同审签等环节严格管理、规范操作，本着价格最优、质量最好、效率更高和服务更优的原则进行。在实践中不断摸索，在组织中不断完善，供应保障能力稳步提高。</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楼堂馆所控制及政府采购执行情况。学院认真贯落实《中华人民共和国政府采购法实施条例》，紧紧围绕“依法办事，依规采购，共同参与，共同决策”的工作方针，本着“公开，公平，公正”的采购原则，严把政府采购程序，不断提高采购人员的业务水平和综合素质，在过去的一年取得较好的成绩，较好的完成了各项采购工作任务，总结如下：</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①指导思想：以习近平新时代中国特色社会主义思想和党的十九大精神为指导，落实学院党委、行政提出的各项任务，主动适应新形势新常态，开创工作新局面。2020年出台《招标工作管理暂行办法》，进一步规范招标采购工作流程。对招标采购、资产处置等重点环节和重点部位工作人员加强廉政教育，严格遵守各项工作流程制度，坚决预防和杜绝不廉洁行为和现象的发生。</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②学院采购制度及档案管理情况：采购工作确保做到公开、公平、公正，采购设备物美价廉。对所有采购项目档案进行归档和装订，对各类商品的供应商、维保单位执行考核评价体系和退出机制。进一步完善了资产管理制度，部门工作手册，工作流程图。</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③存在的不足。一是学校大宗物资的采购效率有待进一步提高。二是资产二级管理的重视程度不够，部分资产管理员职责不到位。三是教职工缺乏资产管理主体责任意识，给资产管理工作带来很大的难度。</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④改进措施。一是完善国有资产管理制度，强化职责分工，落实管理责任。根据学院资产实际情况进行经验总结，进一步明确管理职责，突出重点、健全机制，创新方法、建立建全规章制度、完善各项台账，抓好管理队伍建设，开展业务培训，完善工作流程，推进学院二级管理。二是严格按照《招标工作管理暂行办法》进行采购，大宗物资设备采购过程全程跟踪和监管，提高资金使用率和透明度。三是落实国有资产管理主体责任，做好教职工岗位异动的资产监交工作。</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附件3-10：图书、软件、固定资产购置项目支出绩效自评表10</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11</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.非省级专项资金：基础设施不动产建设</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2020年度我院基本建设在建项目包括高新校区校园东入口及周边场地改造工程、土木教学大楼、校园景观工程中心广场子项目、一教学楼改造、校园配套公用辅助设施（南北景观轴及图书馆南前坪景观、南大门）工程、学院高新校区双电源采购工程项目等。</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土木教学大楼于2016年3月开工，项目合同金额6008万元，施工单位为湖南省第一工程有限公司，2018年12月竣工验收并备案，已交付使用，竣工结算审计工作还在进行中。根据合同及党委会审批意见，2020年合计支付303.20万元。</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校园景观工程于2013年完成的招投标，分期建设至今，中心广场子项目于2018年1月开工，具体包括中心广场北、土木教学大楼屋顶景观、中心广场、雨水回收系统、景观桥、鲁班文化园及雕塑小品等施工内容，该子项预算金额1843.22万元，施工单位为湖南云田园林市政建设有限公司，截止2020年底已完成总工程量的95%左右，按合同、会议纪要及学院院长办公会、党委会意见，2020年支付工程款552.15万元。</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教学楼改造、校园配套公用辅助设施（南北景观轴及图书馆南前坪景观、南大门）工程于2018年8月完成招投标并开工，具体包括南北景观轴及图书馆南前坪景观、南大门、一教学楼改造等施工内容，项目合同金额2376万元，施工单位为湖南建工集团装饰工程有限公司，截止2020年底已完成总工程量的96%左右，按合同及学院院长办公会、党委会意见，当年支付工程进度款641.67万元。</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高新校区校园东入口及周边场地改造工程于2020年10月开工，项目合同金额45.12万元，施工单位为湖南华意建筑装修装饰有限公司，截止2020年底已完成总工程量的30%左右，按合同当年支付工程预付款7.5万元。</w:t>
      </w:r>
    </w:p>
    <w:p>
      <w:pPr>
        <w:widowControl/>
        <w:spacing w:line="600" w:lineRule="exact"/>
        <w:ind w:firstLine="640" w:firstLineChars="200"/>
        <w:jc w:val="left"/>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学院高新校区双电源采购工程项目于2020年开工，2020年支付工程款474.18万元。</w:t>
      </w:r>
    </w:p>
    <w:p>
      <w:pPr>
        <w:pStyle w:val="20"/>
        <w:spacing w:line="600" w:lineRule="exact"/>
        <w:ind w:firstLine="64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湖南建筑高级技工学校</w:t>
      </w:r>
      <w:r>
        <w:rPr>
          <w:rFonts w:hint="eastAsia" w:ascii="仿宋_GB2312" w:hAnsi="仿宋_GB2312" w:eastAsia="仿宋_GB2312"/>
          <w:color w:val="auto"/>
          <w:sz w:val="32"/>
          <w:highlight w:val="none"/>
        </w:rPr>
        <w:t>安排</w:t>
      </w:r>
      <w:r>
        <w:rPr>
          <w:rFonts w:ascii="仿宋_GB2312" w:hAnsi="仿宋_GB2312" w:eastAsia="仿宋_GB2312"/>
          <w:color w:val="auto"/>
          <w:sz w:val="32"/>
          <w:highlight w:val="none"/>
        </w:rPr>
        <w:t>就业补助专项资金</w:t>
      </w:r>
      <w:r>
        <w:rPr>
          <w:rFonts w:hint="eastAsia" w:ascii="仿宋_GB2312" w:hAnsi="仿宋_GB2312" w:eastAsia="仿宋_GB2312"/>
          <w:color w:val="auto"/>
          <w:sz w:val="32"/>
          <w:highlight w:val="none"/>
        </w:rPr>
        <w:t>315.58</w:t>
      </w:r>
      <w:r>
        <w:rPr>
          <w:rFonts w:ascii="仿宋_GB2312" w:hAnsi="仿宋_GB2312" w:eastAsia="仿宋_GB2312"/>
          <w:color w:val="auto"/>
          <w:sz w:val="32"/>
          <w:highlight w:val="none"/>
        </w:rPr>
        <w:t>万元</w:t>
      </w:r>
      <w:r>
        <w:rPr>
          <w:rFonts w:hint="eastAsia" w:ascii="仿宋_GB2312" w:hAnsi="仿宋_GB2312" w:eastAsia="仿宋_GB2312"/>
          <w:color w:val="auto"/>
          <w:sz w:val="32"/>
          <w:highlight w:val="none"/>
        </w:rPr>
        <w:t>（含上年结转67.82万元）</w:t>
      </w:r>
      <w:r>
        <w:rPr>
          <w:rFonts w:ascii="仿宋_GB2312" w:hAnsi="仿宋_GB2312" w:eastAsia="仿宋_GB2312"/>
          <w:color w:val="auto"/>
          <w:sz w:val="32"/>
          <w:highlight w:val="none"/>
        </w:rPr>
        <w:t>，</w:t>
      </w:r>
      <w:r>
        <w:rPr>
          <w:rFonts w:hint="eastAsia" w:ascii="仿宋_GB2312" w:hAnsi="仿宋_GB2312" w:eastAsia="仿宋_GB2312"/>
          <w:color w:val="auto"/>
          <w:sz w:val="32"/>
          <w:highlight w:val="none"/>
        </w:rPr>
        <w:t>支出300.47</w:t>
      </w:r>
      <w:r>
        <w:rPr>
          <w:rFonts w:ascii="仿宋_GB2312" w:hAnsi="仿宋_GB2312" w:eastAsia="仿宋_GB2312"/>
          <w:color w:val="auto"/>
          <w:sz w:val="32"/>
          <w:highlight w:val="none"/>
        </w:rPr>
        <w:t>万元，年度结余</w:t>
      </w:r>
      <w:r>
        <w:rPr>
          <w:rFonts w:hint="eastAsia" w:ascii="仿宋_GB2312" w:hAnsi="仿宋_GB2312" w:eastAsia="仿宋_GB2312"/>
          <w:color w:val="auto"/>
          <w:sz w:val="32"/>
          <w:highlight w:val="none"/>
        </w:rPr>
        <w:t>15.11</w:t>
      </w:r>
      <w:r>
        <w:rPr>
          <w:rFonts w:ascii="仿宋_GB2312" w:hAnsi="仿宋_GB2312" w:eastAsia="仿宋_GB2312"/>
          <w:color w:val="auto"/>
          <w:sz w:val="32"/>
          <w:highlight w:val="none"/>
        </w:rPr>
        <w:t>万元。支出占比</w:t>
      </w:r>
      <w:r>
        <w:rPr>
          <w:rFonts w:hint="eastAsia" w:ascii="仿宋_GB2312" w:hAnsi="仿宋_GB2312" w:eastAsia="仿宋_GB2312"/>
          <w:color w:val="auto"/>
          <w:sz w:val="32"/>
          <w:highlight w:val="none"/>
        </w:rPr>
        <w:t>95.21</w:t>
      </w:r>
      <w:r>
        <w:rPr>
          <w:rFonts w:ascii="仿宋_GB2312" w:hAnsi="仿宋_GB2312" w:eastAsia="仿宋_GB2312"/>
          <w:color w:val="auto"/>
          <w:sz w:val="32"/>
          <w:highlight w:val="none"/>
        </w:rPr>
        <w:t>%，支出方向主要为购置专项设备、原材料耗费和与专项直接相关的其他费用。为加强专项资金管理，提高资金使用效益，学校</w:t>
      </w:r>
      <w:r>
        <w:rPr>
          <w:rFonts w:hint="eastAsia" w:ascii="仿宋_GB2312" w:hAnsi="仿宋_GB2312" w:eastAsia="仿宋_GB2312"/>
          <w:color w:val="auto"/>
          <w:sz w:val="32"/>
          <w:highlight w:val="none"/>
        </w:rPr>
        <w:t>制订</w:t>
      </w:r>
      <w:r>
        <w:rPr>
          <w:rFonts w:ascii="仿宋_GB2312" w:hAnsi="仿宋_GB2312" w:eastAsia="仿宋_GB2312"/>
          <w:color w:val="auto"/>
          <w:sz w:val="32"/>
          <w:highlight w:val="none"/>
        </w:rPr>
        <w:t>了《专项资金管理办法》，办法明确规定了部门职责、绩效评价与监督等。</w:t>
      </w:r>
      <w:r>
        <w:rPr>
          <w:rFonts w:hint="eastAsia" w:ascii="仿宋_GB2312" w:eastAsia="仿宋_GB2312"/>
          <w:color w:val="auto"/>
          <w:sz w:val="32"/>
          <w:szCs w:val="32"/>
          <w:highlight w:val="none"/>
        </w:rPr>
        <w:t>就业补助资金的收付均按照财政国库管理制度相关规定执行，会计核算规范，切实做到了专款专用，专项管理。</w:t>
      </w:r>
    </w:p>
    <w:p>
      <w:pPr>
        <w:widowControl/>
        <w:spacing w:line="600"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hint="eastAsia" w:ascii="仿宋_GB2312" w:hAnsi="黑体" w:eastAsia="仿宋_GB2312"/>
          <w:color w:val="auto"/>
          <w:sz w:val="32"/>
          <w:szCs w:val="32"/>
          <w:highlight w:val="none"/>
        </w:rPr>
        <w:t xml:space="preserve"> 附件3-11：</w:t>
      </w:r>
      <w:r>
        <w:rPr>
          <w:rFonts w:hint="eastAsia" w:ascii="仿宋_GB2312" w:hAnsi="黑体" w:eastAsia="仿宋_GB2312"/>
          <w:color w:val="auto"/>
          <w:sz w:val="32"/>
          <w:szCs w:val="32"/>
          <w:highlight w:val="none"/>
          <w:lang w:eastAsia="zh-CN"/>
        </w:rPr>
        <w:t>湖南建筑高级技工学校</w:t>
      </w:r>
      <w:r>
        <w:rPr>
          <w:rFonts w:hint="eastAsia" w:ascii="仿宋_GB2312" w:hAnsi="黑体" w:eastAsia="仿宋_GB2312"/>
          <w:color w:val="auto"/>
          <w:sz w:val="32"/>
          <w:szCs w:val="32"/>
          <w:highlight w:val="none"/>
        </w:rPr>
        <w:t>项目支出绩效自评表11</w:t>
      </w:r>
      <w:r>
        <w:rPr>
          <w:rFonts w:hint="eastAsia" w:ascii="仿宋_GB2312" w:hAnsi="黑体" w:eastAsia="仿宋_GB2312"/>
          <w:color w:val="auto"/>
          <w:sz w:val="32"/>
          <w:szCs w:val="32"/>
          <w:highlight w:val="none"/>
          <w:lang w:eastAsia="zh-CN"/>
        </w:rPr>
        <w:t>。</w:t>
      </w:r>
    </w:p>
    <w:p>
      <w:pPr>
        <w:widowControl/>
        <w:numPr>
          <w:ilvl w:val="0"/>
          <w:numId w:val="0"/>
        </w:numPr>
        <w:spacing w:line="600" w:lineRule="exact"/>
        <w:ind w:leftChars="0"/>
        <w:jc w:val="left"/>
        <w:rPr>
          <w:rFonts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三、</w:t>
      </w:r>
      <w:r>
        <w:rPr>
          <w:rFonts w:ascii="Times New Roman" w:hAnsi="Times New Roman" w:eastAsia="黑体" w:cs="Times New Roman"/>
          <w:color w:val="auto"/>
          <w:sz w:val="32"/>
          <w:szCs w:val="32"/>
          <w:highlight w:val="none"/>
        </w:rPr>
        <w:t>政府性基金预算支出情况</w:t>
      </w:r>
    </w:p>
    <w:p>
      <w:pPr>
        <w:pStyle w:val="2"/>
        <w:numPr>
          <w:ilvl w:val="0"/>
          <w:numId w:val="0"/>
        </w:numPr>
        <w:ind w:leftChars="0" w:firstLine="640" w:firstLineChars="200"/>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无</w:t>
      </w:r>
    </w:p>
    <w:p>
      <w:pPr>
        <w:widowControl/>
        <w:numPr>
          <w:ilvl w:val="0"/>
          <w:numId w:val="2"/>
        </w:numPr>
        <w:spacing w:line="600" w:lineRule="exact"/>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国有资本经营预算支出情况</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无</w:t>
      </w:r>
    </w:p>
    <w:p>
      <w:pPr>
        <w:widowControl/>
        <w:numPr>
          <w:ilvl w:val="0"/>
          <w:numId w:val="2"/>
        </w:numPr>
        <w:spacing w:line="600" w:lineRule="exact"/>
        <w:ind w:left="0" w:leftChars="0" w:firstLine="0" w:firstLineChars="0"/>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社会保险基金预算支出情况</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无</w:t>
      </w:r>
    </w:p>
    <w:p>
      <w:pPr>
        <w:widowControl/>
        <w:spacing w:line="600" w:lineRule="exact"/>
        <w:jc w:val="left"/>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六、部门整体支出绩效情况</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2020年集团本部通过工程数值分析软件购置提升了工程分析效率，更好地服务各大项目，成为了项目强有力的数据支持后盾。财务信息化系统的维护升级，极大的提高了财务系统的运行效率。所属两校以集团化办学为主线，深化了两校的教育教学改革创新，提高了精细化管理水平，取得了良好的办学成果。具体如下：</w:t>
      </w:r>
    </w:p>
    <w:p>
      <w:pPr>
        <w:widowControl/>
        <w:spacing w:line="600" w:lineRule="exact"/>
        <w:ind w:firstLine="643" w:firstLineChars="200"/>
        <w:jc w:val="left"/>
        <w:rPr>
          <w:rFonts w:hint="eastAsia" w:ascii="仿宋_GB2312" w:hAnsi="华文仿宋" w:eastAsia="仿宋_GB2312" w:cs="宋体"/>
          <w:b/>
          <w:bCs/>
          <w:color w:val="auto"/>
          <w:kern w:val="2"/>
          <w:sz w:val="32"/>
          <w:szCs w:val="32"/>
          <w:highlight w:val="none"/>
          <w:lang w:val="en-US" w:eastAsia="zh-CN" w:bidi="ar-SA"/>
        </w:rPr>
      </w:pPr>
      <w:r>
        <w:rPr>
          <w:rFonts w:hint="eastAsia" w:ascii="仿宋_GB2312" w:hAnsi="华文仿宋" w:eastAsia="仿宋_GB2312" w:cs="宋体"/>
          <w:b/>
          <w:bCs/>
          <w:color w:val="auto"/>
          <w:kern w:val="2"/>
          <w:sz w:val="32"/>
          <w:szCs w:val="32"/>
          <w:highlight w:val="none"/>
          <w:lang w:val="en-US" w:eastAsia="zh-CN" w:bidi="ar-SA"/>
        </w:rPr>
        <w:t>湖南城建职业技术学院</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2020年是极不平凡的一年，面对突如其来的新冠肺炎疫情，学院认真贯彻落实习近平总书记关于疫情防控的重要指示批示精神，统一思想、积极应对、精准施策，一手抓疫情常态化防控，一手抓复学复课，开展“赛业绩 展英才”项目建设百日会战，把疫情对学院工作的影响降到最低，取得疫情防控和教育教学“双胜利”，为学院“十三五”事业发展画上了圆满的句号。</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加强党的政治建设。落实党委抓党建主体责任，始终把政治建设摆在首位，坚持用习近平新时代中国特色社会主义思想武装头脑、指导实践、推动工作，始终把党的全面领导、全面贯彻党的教育方针、坚持马克思主义指导地位、坚持社会主义办学方向、落实立德树人根本任务等要求落实到谋划、推动学院改革发展的具体实践中。巩固深化“不忘初心、牢记使命”主题教育成果，持续抓好思想理论武装。</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2.贯彻党委领导下的院长负责制。坚决贯彻执行党委领导下的院长负责制，充分发挥党委把方向、管大局、作决策、抓班子、带队伍、保落实的重要作用。落实《党委会会议议事规则》《院长办公会议议事规则》和《党委会议事全程纪实制度》，健全党委统一领导、党政分工合作、协调运行的工作机制。</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3.夯实基层组织建设。开展党建强基提能专项行动，大力推行“党建＋”工作模式，进一步推动党建工作与业务发展深度融合，打造党建工作新亮点，再次获评4个全省高校党建工作示范点。组织“对标争先”建设计划项目，39个党支部“五化”建设全部达标，10个教师党支部书记“双带头人”配备全覆盖，获评全省高校先进党校。</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4.筑牢意识形态阵地。推进意识形态“四纳入”，全年无责任事故。完成2018年省委思想政治工作暨意识形态工作专题督查“回头看”，完成省委第七巡视组巡视集团党委意识形态专项整改。完成教材审查以及60余人次规划教材编写人员和262本教材专项内容排查。在“学习强国”“新湖南”等平台发稿80余篇，创建官方视频号，头条视频点击观看量达22万+。</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5.抓实党风廉政建设。制定《党委、党委书记、党委班子其他成员落实全面从严治党责任清单》，明确全面从严治党的责任。院党委研究党风廉政建设工作11次，支持纪委履行纪律检查和行政监察职能，完成第一轮第五批内部巡察。完善院管干部廉政档案，修订《教职工过错责任追究办法》，以常态化问责机制倒逼干部职工担当作为。</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6.提高教育教学能力。完成2020级各专业人才培养方案、专业技能考核标准及题库、专业核心课程标准修订工作，5个专业人才培养方案、技能考核标准及题库被省厅评为优秀等级。疫情期间完成141门课程教学资源建设，累计上传资源素材共计40余万个，做到了“停课不停学”。建筑设计专业群立项为省级专业群教学资源库，4门课程认定为省级精品在线课程，4门课程立项为省级精品在线课程建设项目。与湖南科技大学等7所本科院校签订专升本合作协议，助力483名毕业生升入本科院校继续学习深造，专升本录取率为44.2%，排在全省同类院校前列。全年共计立项国家级、省级职教重点项目27个，师生在省级以上各类竞赛中获奖78项。</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7.增强科研创新能力。立项教育部人文社会科学研究专项任务项目1项、省级课题16项、市厅级课题22项，实现湖南省自科、社科基金项目立项双丰收。正式加入中非经贸合作职业教育产教联盟并成为理事单位。学院牵头组建的湖南建筑职教集团入围首批国家示范性职教集团（联盟）培育单位。</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8.深入推进“三教”改革。以“三教”改革为主题开展系列培训，推进名（大）师工作室等教师发展平台建设，立项3个省级专业教学团队。加强教材建设，获评“十三五”职业教育国家级规划教材10本、省级优秀教材3本。深入开展教法改革，以校企合作、育训结合为切入点推动课程教学内容改革。推进“1+X”证书教学研究工作，新增“装配式建筑构件制作与安装”“建筑工程识图”“数字创意建模”3项证书试点及考点。</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9.推进内部质量诊断与改进工作。不断完善学院内部教学质量目标链、标准链、运行链等相关标准制度建设工作，完成发展规划12414个，大小螺旋报告14934个。开发诊改信息化平台，开发“招生就业辅助决策系统”。</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10.抓实“三全育人”。贯彻落实《教育部等八部门关于加快构建高校思想政治工作体系的意见》，健全立德树人体制机制，深入推进“三全育人”综合改革试点院系建设，全面提升思政工作质量，立项省级思想政治工作质量提升项目4项。49名中层以上干部继续担任兼职班主任，为学生成长成才“点灯”“照路”。</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11.抓优校园文化建设。落实《文化建院实施方案》，抓实鲁班文化实践育人体系，打造校园文化“一系一品”工作特色。推进易班网络育人平台建设，获湖南省易班建设优秀案例。深入推进阅读推广品牌系列活动，开辟阅读推广新阵地。推进文明校园建设，成功创建省级文明校园。</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12.做好招生就业工作。2020年招生录取3787人，到校3633人。克服疫情对学生就业带来的不利影响，举办线上网络视频双选会，保证毕业生高质量就业，2020届毕业生年终就业率92.32%，帮扶189名建档立卡困难毕业生实现100%满意就业。获评湖南省普通高校就业创业工作“一把手工程”督查优秀单位、在潭普通高校就业工作评估一等奖、留潭就业工作先进单位。</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13.深化院系两级管理。制定《院系两级管理实施方案（试行）》以及系列配套制度，全面推进院系两级管理，进一步深化学院内部管理体制改革，激发教学系办学活力、内生动力和发展潜力。</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14.推进绩效考核创新。进一步深化考核制度改革，修订部门和教职工考核办法，建立起有利于激发工作活力和内生动力的考核制度体系。委托第三方根据我院考核工作实际需要对AIC考核系统进行全新开发，并于2020年10月上线试运行。</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15.提升管理工作效能。出台《内部控制建设工作实施方案》，推进内控体系建设，让权力在制度的框架内运行。制定《招投标管理办法》，强化招投标流程。发挥审计监督作用，高效控制基建成本；抓好经济审计工作，强化部门权力运行的监督。</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16.加强人才队伍建设。积极应对新冠肺炎疫情影响，做好招聘高校毕业生工作，公开招聘教师16名。重视教师教学能力的提升，组织教师参与国培、省培等180余人次。修订高校教师系列职称评审工作方案，组织完成高校教师系列职称评审工作，评审通过教授5名、副教授10名。制定《专业技术岗位内部等级晋升实施办法（试行）》，共计67名专技人员晋级。</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17.做强继续教育工作。修订20个专业的非全日制学历教育人才培养方案，合格性考评排在全省前列。探索线上培训模式，完成湖南建工集团专业技术人员继续教育培训等多个项目的线上教学。全年招收各类学生5535人，开展职业培训164385人次。</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18.有序推进技校工作。支持技校成功申办中等职业学校办学资质，有效拓宽了中高职衔接贯通培养渠道。技校全年招收新生1147人，毕业生年终就业率达97%，开展社会培训5.5万人次，全年师生获得省级以上赛事奖项46项。继续开设“青苗班”，接收11名湘西孤儿接受技能教育。荣获湖南省事业单位脱贫攻坚专项奖励，获评省国资委“省属监管企业文明单位”。</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19.主动承担社会责任。选派谢复兴老师继续对口援助山南二职，并担任湖南短援队队长，再获好评。落实“高校消费扶贫”“以购代捐”，巩固脱贫攻坚成果。打造义“Pei”俱乐部联动志愿服务品牌项目。学院获评湖南省教育援藏援疆工作优秀组织单位、城乡规划助力脱贫攻坚先进单位，院团委“七彩假期”教育志愿服务团获全省“三下乡”活动优秀团队。</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20.推进精美校园建设。完成高新校区新南大门及南北景观主轴工程，完成一教学楼整体提质改造工程。基本完成高新校区中心广场、鲁班文化园建设。学生公寓7、8号楼建设进入扫尾阶段。高新校区规划调整行政审批工作正有序推进中。完成“湘国用（2013）第41号”科教用地（原教师村）项目实施可行性研究和新湖校区周边拟新征教育划拨用地可行性研究。顺利通过“省级文明卫生单位”复查验收。</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21.完善智慧校园建设。完成智慧校园基础网络规划，立项IPV6网络升级改造和私有云数据中心建设项目。新建标准化考场64个，新装安防监控99个。自主开发“学生复学入校身份识别”“学生档案去向查询”小程序，完成“自助迎新”和“电子离校”系统开发并投入使用，提高学生管理服务工作信息化水平。</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22.切实加强和改善民生。引导教职工、工会会员和统战对象等通过教职工代表大会等途径参与民主管理与监督。为全体教职工购买互助医疗保险及女职工安康团体保险共计4.7万元，发放慰问金5万元。通过省级模范职工之家复核。开展了“战百日·送清凉”、金秋助学等慰问活动，发放院级奖助学金192万元，免费为879名学生提供专升本考试培训。疫情期间，及时清退、调减学生住宿费约262.6万元，为湖北籍家庭经济困难学生和疫情期间在潭兼职的外省学生提供生活补助。</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23.抓好疫情防控工作。认真贯彻落实习近平总书记关于疫情防控的重要指示批示精神，第一时间启动应急预案，确保师生生命安全和身体健康。坚持党委班子成员带队值班、中层干部24小时值守，各党组织充分发挥战斗堡垒作用，扎实做好疫情防控各项工作。严格落实常态化疫情防控要求，坚持“日报告”“零报告”制度。组织师生党员、教职工和离退休老同志捐款19.5万元，支持疫情防控工作。</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24.维护校园安全稳定。定期判研安全形势、排查安全隐患，完善日常安全工作及突发事件应急处置流程。公共区域主干道16个监控点并入湘潭市公共安全视频监控建设联网应用项目，大力提高学院治安管理、风险防控和应急处置工作水平。与驻地公安局、辖区派出所和消防队通力合作，面向师生开展消防应急演练、防诈骗、防校园贷、防传销、禁毒等宣传教育活动6场，增强了安全防范意识。</w:t>
      </w:r>
    </w:p>
    <w:p>
      <w:pPr>
        <w:pStyle w:val="2"/>
        <w:rPr>
          <w:rFonts w:hint="eastAsia"/>
          <w:color w:val="auto"/>
          <w:highlight w:val="none"/>
          <w:lang w:val="en-US" w:eastAsia="zh-CN"/>
        </w:rPr>
      </w:pPr>
    </w:p>
    <w:p>
      <w:pPr>
        <w:widowControl/>
        <w:numPr>
          <w:ilvl w:val="0"/>
          <w:numId w:val="0"/>
        </w:numPr>
        <w:spacing w:line="600" w:lineRule="exact"/>
        <w:ind w:firstLine="643" w:firstLineChars="200"/>
        <w:jc w:val="left"/>
        <w:rPr>
          <w:rFonts w:hint="default"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湖南建筑高级技工学校</w:t>
      </w:r>
    </w:p>
    <w:p>
      <w:pPr>
        <w:widowControl/>
        <w:snapToGrid w:val="0"/>
        <w:spacing w:line="600"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2020年，我校以习近平新时代中国特色社会主义思想为指导，认真落实习近平总书记考察湖南重要讲话精神和习近平关于教育的重要论述, 在集团和学院党委的指导下，在全体师生的共同努力下，按照《湖南省职业教育改革实施方案》创建卓越职业院校的总体目标,坚持稳中求进工作总基调，统筹推进新冠肺炎疫情防控和学校事业改革发展，加强党的领导，坚持立德树人，依法治校、依章办校，学校各项事业稳步推进，</w:t>
      </w:r>
      <w:r>
        <w:rPr>
          <w:rFonts w:hint="eastAsia" w:ascii="仿宋_GB2312" w:hAnsi="华文仿宋" w:eastAsia="仿宋_GB2312" w:cs="Times New Roman"/>
          <w:color w:val="auto"/>
          <w:sz w:val="32"/>
          <w:szCs w:val="32"/>
          <w:highlight w:val="none"/>
        </w:rPr>
        <w:t>“弘扬鲁班文化、培育大国工匠”办学理念深入人心，大力开展精神文明创建，学校整体文明形象大幅提升，</w:t>
      </w:r>
      <w:r>
        <w:rPr>
          <w:rFonts w:hint="eastAsia" w:ascii="仿宋_GB2312" w:hAnsi="华文仿宋" w:eastAsia="仿宋_GB2312"/>
          <w:color w:val="auto"/>
          <w:sz w:val="32"/>
          <w:szCs w:val="32"/>
          <w:highlight w:val="none"/>
        </w:rPr>
        <w:t>师生获得感、认同感、自豪感</w:t>
      </w:r>
      <w:r>
        <w:rPr>
          <w:rFonts w:hint="eastAsia" w:ascii="仿宋_GB2312" w:eastAsia="仿宋_GB2312"/>
          <w:color w:val="auto"/>
          <w:sz w:val="32"/>
          <w:highlight w:val="none"/>
        </w:rPr>
        <w:t>满意度高。</w:t>
      </w:r>
      <w:r>
        <w:rPr>
          <w:rFonts w:hint="eastAsia" w:ascii="仿宋_GB2312" w:hAnsi="宋体" w:eastAsia="仿宋_GB2312" w:cs="宋体"/>
          <w:color w:val="auto"/>
          <w:sz w:val="32"/>
          <w:szCs w:val="32"/>
          <w:highlight w:val="none"/>
        </w:rPr>
        <w:t>在财务管理方面，围绕补齐会计工作短板，扎实推进会计改革实践，积极推进信息化进程，不断完善制度建设，努力建设节约型校园，取得了积极效果。</w:t>
      </w:r>
      <w:r>
        <w:rPr>
          <w:rFonts w:ascii="仿宋_GB2312" w:eastAsia="仿宋_GB2312"/>
          <w:color w:val="auto"/>
          <w:sz w:val="32"/>
          <w:highlight w:val="none"/>
        </w:rPr>
        <w:t>根据《部门整体支出绩效评价指标表》得分</w:t>
      </w:r>
      <w:r>
        <w:rPr>
          <w:rFonts w:hint="eastAsia" w:ascii="仿宋_GB2312" w:eastAsia="仿宋_GB2312"/>
          <w:color w:val="auto"/>
          <w:sz w:val="32"/>
          <w:highlight w:val="none"/>
        </w:rPr>
        <w:t>89</w:t>
      </w:r>
      <w:r>
        <w:rPr>
          <w:rFonts w:ascii="仿宋_GB2312" w:eastAsia="仿宋_GB2312"/>
          <w:color w:val="auto"/>
          <w:sz w:val="32"/>
          <w:highlight w:val="none"/>
        </w:rPr>
        <w:t>分（详见附表1）。主要绩效如下：</w:t>
      </w:r>
    </w:p>
    <w:p>
      <w:pPr>
        <w:spacing w:line="600" w:lineRule="exact"/>
        <w:ind w:firstLine="675" w:firstLineChars="200"/>
        <w:rPr>
          <w:rFonts w:ascii="仿宋_GB2312" w:hAnsi="华文仿宋" w:eastAsia="仿宋_GB2312"/>
          <w:color w:val="auto"/>
          <w:sz w:val="32"/>
          <w:szCs w:val="32"/>
          <w:highlight w:val="none"/>
          <w:shd w:val="clear" w:color="auto" w:fill="FFFFFF"/>
        </w:rPr>
      </w:pPr>
      <w:r>
        <w:rPr>
          <w:rFonts w:hint="eastAsia" w:ascii="仿宋_GB2312" w:hAnsi="华文仿宋" w:eastAsia="仿宋_GB2312" w:cs="宋体"/>
          <w:b/>
          <w:color w:val="auto"/>
          <w:spacing w:val="8"/>
          <w:sz w:val="32"/>
          <w:szCs w:val="32"/>
          <w:highlight w:val="none"/>
          <w:lang w:val="en-US" w:eastAsia="zh-CN"/>
        </w:rPr>
        <w:t>1.</w:t>
      </w:r>
      <w:r>
        <w:rPr>
          <w:rFonts w:hint="eastAsia" w:ascii="仿宋_GB2312" w:hAnsi="华文仿宋" w:eastAsia="仿宋_GB2312" w:cs="宋体"/>
          <w:b/>
          <w:color w:val="auto"/>
          <w:spacing w:val="8"/>
          <w:sz w:val="32"/>
          <w:szCs w:val="32"/>
          <w:highlight w:val="none"/>
        </w:rPr>
        <w:t>站位高点，全面加强党的建设。</w:t>
      </w:r>
      <w:r>
        <w:rPr>
          <w:rFonts w:hint="eastAsia" w:ascii="仿宋_GB2312" w:hAnsi="华文仿宋" w:eastAsia="仿宋_GB2312" w:cs="宋体"/>
          <w:color w:val="auto"/>
          <w:spacing w:val="8"/>
          <w:sz w:val="32"/>
          <w:szCs w:val="32"/>
          <w:highlight w:val="none"/>
        </w:rPr>
        <w:t>政治建设不断推进。</w:t>
      </w:r>
      <w:r>
        <w:rPr>
          <w:rFonts w:hint="eastAsia" w:ascii="仿宋_GB2312" w:hAnsi="华文仿宋" w:eastAsia="仿宋_GB2312" w:cs="Times New Roman"/>
          <w:color w:val="auto"/>
          <w:sz w:val="32"/>
          <w:szCs w:val="32"/>
          <w:highlight w:val="none"/>
        </w:rPr>
        <w:t>制定党建</w:t>
      </w:r>
      <w:r>
        <w:rPr>
          <w:rFonts w:hint="eastAsia" w:ascii="仿宋_GB2312" w:hAnsi="华文仿宋" w:eastAsia="仿宋_GB2312"/>
          <w:color w:val="auto"/>
          <w:sz w:val="32"/>
          <w:szCs w:val="32"/>
          <w:highlight w:val="none"/>
        </w:rPr>
        <w:t>工作要点、</w:t>
      </w:r>
      <w:r>
        <w:rPr>
          <w:rFonts w:hint="eastAsia" w:ascii="仿宋_GB2312" w:hAnsi="华文仿宋" w:eastAsia="仿宋_GB2312" w:cs="Times New Roman"/>
          <w:color w:val="auto"/>
          <w:sz w:val="32"/>
          <w:szCs w:val="32"/>
          <w:highlight w:val="none"/>
        </w:rPr>
        <w:t>实施方案，落实党建强基提能专项行动，</w:t>
      </w:r>
      <w:r>
        <w:rPr>
          <w:rFonts w:hint="eastAsia" w:ascii="仿宋_GB2312" w:hAnsi="华文仿宋" w:eastAsia="仿宋_GB2312"/>
          <w:color w:val="auto"/>
          <w:sz w:val="32"/>
          <w:szCs w:val="32"/>
          <w:highlight w:val="none"/>
        </w:rPr>
        <w:t>开展专题学习研讨11次、专题实践教育活动2次，组织参加专题培训2次。</w:t>
      </w:r>
      <w:r>
        <w:rPr>
          <w:rFonts w:hint="eastAsia" w:ascii="仿宋_GB2312" w:hAnsi="华文仿宋" w:eastAsia="仿宋_GB2312" w:cs="宋体"/>
          <w:color w:val="auto"/>
          <w:spacing w:val="8"/>
          <w:sz w:val="32"/>
          <w:szCs w:val="32"/>
          <w:highlight w:val="none"/>
        </w:rPr>
        <w:t>思想建设不断加强。</w:t>
      </w:r>
      <w:r>
        <w:rPr>
          <w:rFonts w:hint="eastAsia" w:ascii="仿宋_GB2312" w:hAnsi="华文仿宋" w:eastAsia="仿宋_GB2312"/>
          <w:bCs/>
          <w:color w:val="auto"/>
          <w:sz w:val="32"/>
          <w:szCs w:val="32"/>
          <w:highlight w:val="none"/>
        </w:rPr>
        <w:t>制定</w:t>
      </w:r>
      <w:r>
        <w:rPr>
          <w:rFonts w:hint="eastAsia" w:ascii="仿宋_GB2312" w:hAnsi="华文仿宋" w:eastAsia="仿宋_GB2312" w:cs="Times New Roman"/>
          <w:color w:val="auto"/>
          <w:sz w:val="32"/>
          <w:szCs w:val="32"/>
          <w:highlight w:val="none"/>
        </w:rPr>
        <w:t xml:space="preserve"> “一二三四五大思政”工作项目建设实施方案，</w:t>
      </w:r>
      <w:r>
        <w:rPr>
          <w:rFonts w:hint="eastAsia" w:ascii="仿宋_GB2312" w:hAnsi="华文仿宋" w:eastAsia="仿宋_GB2312"/>
          <w:bCs/>
          <w:color w:val="auto"/>
          <w:sz w:val="32"/>
          <w:szCs w:val="32"/>
          <w:highlight w:val="none"/>
        </w:rPr>
        <w:t>出台意识形态工作责任制检查考核制度，分层级按责任抓好意识形态工作。对外宣传不断提质。对外宣发稿件30余篇，在省教育厅2020年</w:t>
      </w:r>
      <w:r>
        <w:rPr>
          <w:rFonts w:hint="eastAsia" w:ascii="仿宋_GB2312" w:hAnsi="华文仿宋" w:eastAsia="仿宋_GB2312" w:cs="Times New Roman"/>
          <w:color w:val="auto"/>
          <w:sz w:val="32"/>
          <w:szCs w:val="32"/>
          <w:highlight w:val="none"/>
        </w:rPr>
        <w:t>度湖南省职业教育优秀新闻作品评选中，荣获1个二等奖，3个三等奖。</w:t>
      </w:r>
      <w:r>
        <w:rPr>
          <w:rFonts w:hint="eastAsia" w:ascii="仿宋_GB2312" w:hAnsi="华文仿宋" w:eastAsia="仿宋_GB2312"/>
          <w:color w:val="auto"/>
          <w:sz w:val="32"/>
          <w:szCs w:val="32"/>
          <w:highlight w:val="none"/>
        </w:rPr>
        <w:t>推进《党风廉政建设责任制》落实，强化执行民主集中制和三重一大决策制度等重点监督，开展师德师风、制止餐饮浪费、规范学校合作办学等专项治理；认真践行“四种形态”，通过开展专题警示教育、廉政谈话等多种形式进行早提醒、早教育。</w:t>
      </w:r>
    </w:p>
    <w:p>
      <w:pPr>
        <w:spacing w:line="600" w:lineRule="exact"/>
        <w:ind w:firstLine="643" w:firstLineChars="200"/>
        <w:rPr>
          <w:rFonts w:ascii="仿宋_GB2312" w:hAnsi="华文仿宋" w:eastAsia="仿宋_GB2312" w:cs="宋体"/>
          <w:color w:val="auto"/>
          <w:sz w:val="32"/>
          <w:szCs w:val="32"/>
          <w:highlight w:val="none"/>
        </w:rPr>
      </w:pPr>
      <w:r>
        <w:rPr>
          <w:rFonts w:hint="eastAsia" w:ascii="仿宋_GB2312" w:hAnsi="华文仿宋" w:eastAsia="仿宋_GB2312" w:cs="仿宋_GB2312"/>
          <w:b/>
          <w:snapToGrid w:val="0"/>
          <w:color w:val="auto"/>
          <w:sz w:val="32"/>
          <w:szCs w:val="32"/>
          <w:highlight w:val="none"/>
          <w:lang w:val="en-US" w:eastAsia="zh-CN"/>
        </w:rPr>
        <w:t>2.</w:t>
      </w:r>
      <w:r>
        <w:rPr>
          <w:rFonts w:hint="eastAsia" w:ascii="仿宋_GB2312" w:hAnsi="华文仿宋" w:eastAsia="仿宋_GB2312" w:cs="仿宋_GB2312"/>
          <w:b/>
          <w:snapToGrid w:val="0"/>
          <w:color w:val="auto"/>
          <w:sz w:val="32"/>
          <w:szCs w:val="32"/>
          <w:highlight w:val="none"/>
        </w:rPr>
        <w:t>瞄准焦点，学生管理成效明显。</w:t>
      </w:r>
      <w:r>
        <w:rPr>
          <w:rFonts w:hint="eastAsia" w:ascii="仿宋_GB2312" w:hAnsi="华文仿宋" w:eastAsia="仿宋_GB2312" w:cs="仿宋"/>
          <w:color w:val="auto"/>
          <w:sz w:val="32"/>
          <w:szCs w:val="32"/>
          <w:highlight w:val="none"/>
        </w:rPr>
        <w:t>实施教官管两头、班主任管中间的</w:t>
      </w:r>
      <w:r>
        <w:rPr>
          <w:rFonts w:hint="eastAsia" w:ascii="仿宋_GB2312" w:hAnsi="华文仿宋" w:eastAsia="仿宋_GB2312" w:cs="仿宋"/>
          <w:bCs/>
          <w:color w:val="auto"/>
          <w:sz w:val="32"/>
          <w:szCs w:val="32"/>
          <w:highlight w:val="none"/>
        </w:rPr>
        <w:t>准军训化</w:t>
      </w:r>
      <w:r>
        <w:rPr>
          <w:rFonts w:hint="eastAsia" w:ascii="仿宋_GB2312" w:hAnsi="华文仿宋" w:eastAsia="仿宋_GB2312" w:cs="仿宋"/>
          <w:color w:val="auto"/>
          <w:sz w:val="32"/>
          <w:szCs w:val="32"/>
          <w:highlight w:val="none"/>
        </w:rPr>
        <w:t>学生闭环管理工作模式，确保校园24小时有值班教师、教官在岗，确保学生管理工作有序开展。</w:t>
      </w:r>
      <w:r>
        <w:rPr>
          <w:rFonts w:hint="eastAsia" w:ascii="仿宋_GB2312" w:hAnsi="华文仿宋" w:eastAsia="仿宋_GB2312" w:cs="仿宋"/>
          <w:bCs/>
          <w:color w:val="auto"/>
          <w:sz w:val="32"/>
          <w:szCs w:val="32"/>
          <w:highlight w:val="none"/>
        </w:rPr>
        <w:t>开展</w:t>
      </w:r>
      <w:r>
        <w:rPr>
          <w:rFonts w:hint="eastAsia" w:ascii="仿宋_GB2312" w:hAnsi="华文仿宋" w:eastAsia="仿宋_GB2312" w:cs="仿宋"/>
          <w:color w:val="auto"/>
          <w:sz w:val="32"/>
          <w:szCs w:val="32"/>
          <w:highlight w:val="none"/>
        </w:rPr>
        <w:t>校园禁烟、上课迟到、寝室滞留、卫生不达标等</w:t>
      </w:r>
      <w:r>
        <w:rPr>
          <w:rFonts w:hint="eastAsia" w:ascii="仿宋_GB2312" w:hAnsi="华文仿宋" w:eastAsia="仿宋_GB2312" w:cs="仿宋"/>
          <w:bCs/>
          <w:color w:val="auto"/>
          <w:sz w:val="32"/>
          <w:szCs w:val="32"/>
          <w:highlight w:val="none"/>
        </w:rPr>
        <w:t>专项整治</w:t>
      </w:r>
      <w:r>
        <w:rPr>
          <w:rFonts w:hint="eastAsia" w:ascii="仿宋_GB2312" w:hAnsi="华文仿宋" w:eastAsia="仿宋_GB2312" w:cs="仿宋"/>
          <w:color w:val="auto"/>
          <w:sz w:val="32"/>
          <w:szCs w:val="32"/>
          <w:highlight w:val="none"/>
        </w:rPr>
        <w:t>。</w:t>
      </w:r>
      <w:r>
        <w:rPr>
          <w:rFonts w:hint="eastAsia" w:ascii="仿宋_GB2312" w:hAnsi="华文仿宋" w:eastAsia="仿宋_GB2312" w:cs="仿宋"/>
          <w:bCs/>
          <w:color w:val="auto"/>
          <w:sz w:val="32"/>
          <w:szCs w:val="32"/>
          <w:highlight w:val="none"/>
        </w:rPr>
        <w:t>推行素质教育，</w:t>
      </w:r>
      <w:r>
        <w:rPr>
          <w:rFonts w:hint="eastAsia" w:ascii="仿宋_GB2312" w:hAnsi="华文仿宋" w:eastAsia="仿宋_GB2312" w:cs="仿宋"/>
          <w:color w:val="auto"/>
          <w:sz w:val="32"/>
          <w:szCs w:val="32"/>
          <w:highlight w:val="none"/>
        </w:rPr>
        <w:t>开展“个十百千”素质教育工程，组织千人跑操、千人观红影、千人大扫除活动。在疫情防控关键期，开展孝爱双亲、志愿者抗疫、清明网上祭扫、关爱医护人员子女等活动，加强学生爱国主义精神、民族精神和传统美德培育。举办校运会，开展学生安全普法教育系列讲座，</w:t>
      </w:r>
      <w:r>
        <w:rPr>
          <w:rFonts w:hint="eastAsia" w:ascii="仿宋_GB2312" w:hAnsi="华文仿宋" w:eastAsia="仿宋_GB2312" w:cs="宋体"/>
          <w:color w:val="auto"/>
          <w:sz w:val="32"/>
          <w:szCs w:val="32"/>
          <w:highlight w:val="none"/>
        </w:rPr>
        <w:t>举办首届“最美技校生”评选活动，开设每日读报，开展新生系列活动，举行“青工匠”十百千万工程培训宣讲进校园活动，</w:t>
      </w:r>
      <w:r>
        <w:rPr>
          <w:rFonts w:hint="eastAsia" w:ascii="仿宋_GB2312" w:hAnsi="华文仿宋" w:eastAsia="仿宋_GB2312" w:cs="仿宋"/>
          <w:color w:val="auto"/>
          <w:sz w:val="32"/>
          <w:szCs w:val="32"/>
          <w:highlight w:val="none"/>
        </w:rPr>
        <w:t>助推学生工作深入开展。</w:t>
      </w:r>
      <w:r>
        <w:rPr>
          <w:rFonts w:hint="eastAsia" w:ascii="仿宋_GB2312" w:hAnsi="华文仿宋" w:eastAsia="仿宋_GB2312" w:cs="宋体"/>
          <w:color w:val="auto"/>
          <w:sz w:val="32"/>
          <w:szCs w:val="32"/>
          <w:highlight w:val="none"/>
        </w:rPr>
        <w:t>创建学生活动展示新平台，开通校团委抖音公众号，发布视频96个，浏览量接近100万，较好的展现了学生的精神风貌。</w:t>
      </w:r>
    </w:p>
    <w:p>
      <w:pPr>
        <w:spacing w:line="600" w:lineRule="exact"/>
        <w:ind w:firstLine="643" w:firstLineChars="200"/>
        <w:rPr>
          <w:rFonts w:ascii="仿宋_GB2312" w:hAnsi="华文仿宋" w:eastAsia="仿宋_GB2312" w:cs="仿宋"/>
          <w:color w:val="auto"/>
          <w:sz w:val="32"/>
          <w:szCs w:val="32"/>
          <w:highlight w:val="none"/>
        </w:rPr>
      </w:pPr>
      <w:r>
        <w:rPr>
          <w:rFonts w:hint="eastAsia" w:ascii="仿宋_GB2312" w:hAnsi="华文仿宋" w:eastAsia="仿宋_GB2312" w:cs="仿宋_GB2312"/>
          <w:b/>
          <w:snapToGrid w:val="0"/>
          <w:color w:val="auto"/>
          <w:sz w:val="32"/>
          <w:szCs w:val="32"/>
          <w:highlight w:val="none"/>
          <w:lang w:val="en-US" w:eastAsia="zh-CN"/>
        </w:rPr>
        <w:t>3.</w:t>
      </w:r>
      <w:r>
        <w:rPr>
          <w:rFonts w:hint="eastAsia" w:ascii="仿宋_GB2312" w:hAnsi="华文仿宋" w:eastAsia="仿宋_GB2312" w:cs="仿宋_GB2312"/>
          <w:b/>
          <w:snapToGrid w:val="0"/>
          <w:color w:val="auto"/>
          <w:sz w:val="32"/>
          <w:szCs w:val="32"/>
          <w:highlight w:val="none"/>
        </w:rPr>
        <w:t>聚焦重点，办学能力稳步提升。</w:t>
      </w:r>
      <w:r>
        <w:rPr>
          <w:rFonts w:hint="eastAsia" w:ascii="仿宋_GB2312" w:hAnsi="华文仿宋" w:eastAsia="仿宋_GB2312" w:cs="仿宋_GB2312"/>
          <w:snapToGrid w:val="0"/>
          <w:color w:val="auto"/>
          <w:sz w:val="32"/>
          <w:szCs w:val="32"/>
          <w:highlight w:val="none"/>
        </w:rPr>
        <w:t>师生职业能力提升。学生</w:t>
      </w:r>
      <w:r>
        <w:rPr>
          <w:rFonts w:hint="eastAsia" w:ascii="仿宋_GB2312" w:hAnsi="华文仿宋" w:eastAsia="仿宋_GB2312"/>
          <w:bCs/>
          <w:color w:val="auto"/>
          <w:sz w:val="32"/>
          <w:szCs w:val="32"/>
          <w:highlight w:val="none"/>
        </w:rPr>
        <w:t>获得省级以上技能赛事团体奖10项，获得一等奖7人次、二等奖6人次、三等奖21人次，2名同学代表湖南参加国家级赛事；教师</w:t>
      </w:r>
      <w:r>
        <w:rPr>
          <w:rFonts w:hint="eastAsia" w:ascii="仿宋_GB2312" w:hAnsi="华文仿宋" w:eastAsia="仿宋_GB2312" w:cs="Times New Roman"/>
          <w:color w:val="auto"/>
          <w:sz w:val="32"/>
          <w:szCs w:val="32"/>
          <w:highlight w:val="none"/>
        </w:rPr>
        <w:t>参与教材编写15人次，立项省级课题2项、申请专利4项。举办第三届鲁班技能节，承办并参加第二届全国技工院校教师职业能力大赛长沙市选拔赛，教师在大赛省（市）选拔赛上获得1个一等奖、1个二等奖，3个三等奖，学校荣获市级团体一等奖、省级团体三等奖。</w:t>
      </w:r>
      <w:r>
        <w:rPr>
          <w:rFonts w:hint="eastAsia" w:ascii="仿宋_GB2312" w:hAnsi="华文仿宋" w:eastAsia="仿宋_GB2312" w:cs="仿宋_GB2312"/>
          <w:snapToGrid w:val="0"/>
          <w:color w:val="auto"/>
          <w:sz w:val="32"/>
          <w:szCs w:val="32"/>
          <w:highlight w:val="none"/>
        </w:rPr>
        <w:t>专业建设扎实推进。</w:t>
      </w:r>
      <w:r>
        <w:rPr>
          <w:rFonts w:hint="eastAsia" w:ascii="仿宋_GB2312" w:hAnsi="华文仿宋" w:eastAsia="仿宋_GB2312" w:cs="Times New Roman"/>
          <w:color w:val="auto"/>
          <w:sz w:val="32"/>
          <w:szCs w:val="32"/>
          <w:highlight w:val="none"/>
        </w:rPr>
        <w:t>完成5个</w:t>
      </w:r>
      <w:r>
        <w:rPr>
          <w:rFonts w:hint="eastAsia" w:ascii="仿宋_GB2312" w:hAnsi="华文仿宋" w:eastAsia="仿宋_GB2312" w:cs="仿宋"/>
          <w:color w:val="auto"/>
          <w:sz w:val="32"/>
          <w:szCs w:val="32"/>
          <w:highlight w:val="none"/>
        </w:rPr>
        <w:t>中职</w:t>
      </w:r>
      <w:r>
        <w:rPr>
          <w:rFonts w:hint="eastAsia" w:ascii="仿宋_GB2312" w:hAnsi="华文仿宋" w:eastAsia="仿宋_GB2312" w:cs="Times New Roman"/>
          <w:color w:val="auto"/>
          <w:sz w:val="32"/>
          <w:szCs w:val="32"/>
          <w:highlight w:val="none"/>
        </w:rPr>
        <w:t>专业</w:t>
      </w:r>
      <w:r>
        <w:rPr>
          <w:rFonts w:hint="eastAsia" w:ascii="仿宋_GB2312" w:hAnsi="华文仿宋" w:eastAsia="仿宋_GB2312" w:cs="仿宋"/>
          <w:color w:val="auto"/>
          <w:sz w:val="32"/>
          <w:szCs w:val="32"/>
          <w:highlight w:val="none"/>
        </w:rPr>
        <w:t>人才培养方案、人才需求分析和预测调研报告、专业设置必要性和可行性分析报告、专业建设规划及师资队伍建设方案。教学设施逐步完善。招生就业稳步实施，全年招收新生1151人，毕业</w:t>
      </w:r>
      <w:r>
        <w:rPr>
          <w:rFonts w:hint="eastAsia" w:ascii="仿宋_GB2312" w:hAnsi="华文仿宋" w:eastAsia="仿宋_GB2312" w:cs="仿宋_GB2312"/>
          <w:color w:val="auto"/>
          <w:sz w:val="32"/>
          <w:szCs w:val="32"/>
          <w:highlight w:val="none"/>
          <w:shd w:val="clear" w:color="auto" w:fill="FFFFFF"/>
        </w:rPr>
        <w:t>学生平均就业率始终保持在97％以上。服务能力不断提升。</w:t>
      </w:r>
      <w:r>
        <w:rPr>
          <w:rFonts w:hint="eastAsia" w:ascii="仿宋_GB2312" w:hAnsi="华文仿宋" w:eastAsia="仿宋_GB2312" w:cs="宋体"/>
          <w:color w:val="auto"/>
          <w:sz w:val="32"/>
          <w:szCs w:val="32"/>
          <w:highlight w:val="none"/>
        </w:rPr>
        <w:t>完成建筑行业各级各类技术人员职业培训与技能鉴定55300余人，开发省住建领域施工现场专业人员岗位培训课程10个，培训学员1600余人；成功获批“</w:t>
      </w:r>
      <w:r>
        <w:rPr>
          <w:rStyle w:val="23"/>
          <w:rFonts w:hint="eastAsia" w:ascii="仿宋_GB2312" w:hAnsi="华文仿宋" w:eastAsia="仿宋_GB2312"/>
          <w:color w:val="auto"/>
          <w:sz w:val="32"/>
          <w:szCs w:val="32"/>
          <w:highlight w:val="none"/>
        </w:rPr>
        <w:t>1+X”</w:t>
      </w:r>
      <w:r>
        <w:rPr>
          <w:rFonts w:hint="eastAsia" w:ascii="仿宋_GB2312" w:hAnsi="华文仿宋" w:eastAsia="仿宋_GB2312" w:cs="宋体"/>
          <w:color w:val="auto"/>
          <w:sz w:val="32"/>
          <w:szCs w:val="32"/>
          <w:highlight w:val="none"/>
        </w:rPr>
        <w:t>职业技能等级</w:t>
      </w:r>
      <w:r>
        <w:rPr>
          <w:rStyle w:val="23"/>
          <w:rFonts w:hint="eastAsia" w:ascii="仿宋_GB2312" w:hAnsi="华文仿宋" w:eastAsia="仿宋_GB2312"/>
          <w:color w:val="auto"/>
          <w:sz w:val="32"/>
          <w:szCs w:val="32"/>
          <w:highlight w:val="none"/>
        </w:rPr>
        <w:t>湖南省</w:t>
      </w:r>
      <w:r>
        <w:rPr>
          <w:rFonts w:hint="eastAsia" w:ascii="仿宋_GB2312" w:hAnsi="华文仿宋" w:eastAsia="仿宋_GB2312" w:cs="宋体"/>
          <w:color w:val="auto"/>
          <w:sz w:val="32"/>
          <w:szCs w:val="32"/>
          <w:highlight w:val="none"/>
        </w:rPr>
        <w:t>考评管理中心，组织省内全国首批</w:t>
      </w:r>
      <w:r>
        <w:rPr>
          <w:rStyle w:val="23"/>
          <w:rFonts w:hint="eastAsia" w:ascii="仿宋_GB2312" w:hAnsi="华文仿宋" w:eastAsia="仿宋_GB2312"/>
          <w:color w:val="auto"/>
          <w:sz w:val="32"/>
          <w:szCs w:val="32"/>
          <w:highlight w:val="none"/>
        </w:rPr>
        <w:t>“1+X”</w:t>
      </w:r>
      <w:r>
        <w:rPr>
          <w:rFonts w:hint="eastAsia" w:ascii="仿宋_GB2312" w:hAnsi="华文仿宋" w:eastAsia="仿宋_GB2312" w:cs="宋体"/>
          <w:color w:val="auto"/>
          <w:sz w:val="32"/>
          <w:szCs w:val="32"/>
          <w:highlight w:val="none"/>
        </w:rPr>
        <w:t>装配式建筑技术人员职业技能等级考试，全年组织BIM培训考试589人，BIM“</w:t>
      </w:r>
      <w:r>
        <w:rPr>
          <w:rStyle w:val="23"/>
          <w:rFonts w:hint="eastAsia" w:ascii="仿宋_GB2312" w:hAnsi="华文仿宋" w:eastAsia="仿宋_GB2312"/>
          <w:color w:val="auto"/>
          <w:sz w:val="32"/>
          <w:szCs w:val="32"/>
          <w:highlight w:val="none"/>
        </w:rPr>
        <w:t>1+X”</w:t>
      </w:r>
      <w:r>
        <w:rPr>
          <w:rFonts w:hint="eastAsia" w:ascii="仿宋_GB2312" w:hAnsi="华文仿宋" w:eastAsia="仿宋_GB2312" w:cs="宋体"/>
          <w:color w:val="auto"/>
          <w:sz w:val="32"/>
          <w:szCs w:val="32"/>
          <w:highlight w:val="none"/>
        </w:rPr>
        <w:t>培训考试488人</w:t>
      </w:r>
      <w:r>
        <w:rPr>
          <w:rFonts w:hint="eastAsia" w:ascii="仿宋_GB2312" w:hAnsi="华文仿宋" w:eastAsia="仿宋_GB2312" w:cs="仿宋"/>
          <w:color w:val="auto"/>
          <w:sz w:val="32"/>
          <w:szCs w:val="32"/>
          <w:highlight w:val="none"/>
        </w:rPr>
        <w:t>。</w:t>
      </w:r>
    </w:p>
    <w:p>
      <w:pPr>
        <w:spacing w:line="600" w:lineRule="exact"/>
        <w:ind w:firstLine="643" w:firstLineChars="200"/>
        <w:rPr>
          <w:rFonts w:ascii="仿宋_GB2312" w:hAnsi="华文仿宋" w:eastAsia="仿宋_GB2312" w:cs="Times New Roman"/>
          <w:color w:val="auto"/>
          <w:sz w:val="32"/>
          <w:szCs w:val="32"/>
          <w:highlight w:val="none"/>
        </w:rPr>
      </w:pPr>
      <w:r>
        <w:rPr>
          <w:rFonts w:hint="eastAsia" w:ascii="仿宋_GB2312" w:hAnsi="华文仿宋" w:eastAsia="仿宋_GB2312" w:cs="仿宋_GB2312"/>
          <w:b/>
          <w:snapToGrid w:val="0"/>
          <w:color w:val="auto"/>
          <w:sz w:val="32"/>
          <w:szCs w:val="32"/>
          <w:highlight w:val="none"/>
          <w:lang w:val="en-US" w:eastAsia="zh-CN"/>
        </w:rPr>
        <w:t>4.</w:t>
      </w:r>
      <w:r>
        <w:rPr>
          <w:rFonts w:hint="eastAsia" w:ascii="仿宋_GB2312" w:hAnsi="华文仿宋" w:eastAsia="仿宋_GB2312" w:cs="仿宋_GB2312"/>
          <w:b/>
          <w:snapToGrid w:val="0"/>
          <w:color w:val="auto"/>
          <w:sz w:val="32"/>
          <w:szCs w:val="32"/>
          <w:highlight w:val="none"/>
        </w:rPr>
        <w:t>夯实支点，队伍建设力度加强。</w:t>
      </w:r>
      <w:r>
        <w:rPr>
          <w:rFonts w:hint="eastAsia" w:ascii="仿宋_GB2312" w:hAnsi="华文仿宋" w:eastAsia="仿宋_GB2312" w:cs="Times New Roman"/>
          <w:color w:val="auto"/>
          <w:sz w:val="32"/>
          <w:szCs w:val="32"/>
          <w:highlight w:val="none"/>
        </w:rPr>
        <w:t>2020年引进专任教师7名。坚持选人用人政治标准，落实党管干部原则，严格按照《党政领导干部选拔任用工作条例》，完成2名中层正职、3名中层副职选拔聘用和6名中层干部试用期满考核测评工作；完成2人工勤转岗、17人职称评审材料申报和39人岗位晋级。</w:t>
      </w:r>
      <w:r>
        <w:rPr>
          <w:rFonts w:hint="eastAsia" w:ascii="仿宋_GB2312" w:hAnsi="华文仿宋" w:eastAsia="仿宋_GB2312" w:cs="仿宋"/>
          <w:color w:val="auto"/>
          <w:sz w:val="32"/>
          <w:szCs w:val="32"/>
          <w:highlight w:val="none"/>
        </w:rPr>
        <w:t>完善师资队伍建设，开展第七批“师带徒”活动，</w:t>
      </w:r>
      <w:r>
        <w:rPr>
          <w:rFonts w:hint="eastAsia" w:ascii="仿宋_GB2312" w:hAnsi="华文仿宋" w:eastAsia="仿宋_GB2312" w:cs="Times New Roman"/>
          <w:color w:val="auto"/>
          <w:sz w:val="32"/>
          <w:szCs w:val="32"/>
          <w:highlight w:val="none"/>
        </w:rPr>
        <w:t>安排新进专任教师下企业锻炼，开展专业教师</w:t>
      </w:r>
      <w:r>
        <w:rPr>
          <w:rFonts w:hint="eastAsia" w:ascii="仿宋_GB2312" w:hAnsi="华文仿宋" w:eastAsia="仿宋_GB2312" w:cs="仿宋_GB2312"/>
          <w:color w:val="auto"/>
          <w:sz w:val="32"/>
          <w:szCs w:val="32"/>
          <w:highlight w:val="none"/>
        </w:rPr>
        <w:t>专业基础能力培训</w:t>
      </w:r>
      <w:r>
        <w:rPr>
          <w:rFonts w:hint="eastAsia" w:ascii="仿宋_GB2312" w:hAnsi="华文仿宋" w:eastAsia="仿宋_GB2312" w:cs="仿宋"/>
          <w:color w:val="auto"/>
          <w:sz w:val="32"/>
          <w:szCs w:val="32"/>
          <w:highlight w:val="none"/>
        </w:rPr>
        <w:t>。</w:t>
      </w:r>
      <w:r>
        <w:rPr>
          <w:rFonts w:hint="eastAsia" w:ascii="仿宋_GB2312" w:hAnsi="华文仿宋" w:eastAsia="仿宋_GB2312" w:cs="Times New Roman"/>
          <w:color w:val="auto"/>
          <w:sz w:val="32"/>
          <w:szCs w:val="32"/>
          <w:highlight w:val="none"/>
        </w:rPr>
        <w:t>全年组织政治理论与专业业务相关培训约98人次。</w:t>
      </w:r>
    </w:p>
    <w:p>
      <w:pPr>
        <w:spacing w:line="600" w:lineRule="exact"/>
        <w:ind w:firstLine="643" w:firstLineChars="200"/>
        <w:rPr>
          <w:rFonts w:ascii="仿宋_GB2312" w:hAnsi="华文仿宋" w:eastAsia="仿宋_GB2312"/>
          <w:color w:val="auto"/>
          <w:sz w:val="32"/>
          <w:szCs w:val="32"/>
          <w:highlight w:val="none"/>
        </w:rPr>
      </w:pPr>
      <w:r>
        <w:rPr>
          <w:rFonts w:hint="eastAsia" w:ascii="仿宋_GB2312" w:hAnsi="华文仿宋" w:eastAsia="仿宋_GB2312" w:cs="仿宋_GB2312"/>
          <w:b/>
          <w:snapToGrid w:val="0"/>
          <w:color w:val="auto"/>
          <w:sz w:val="32"/>
          <w:szCs w:val="32"/>
          <w:highlight w:val="none"/>
          <w:lang w:val="en-US" w:eastAsia="zh-CN"/>
        </w:rPr>
        <w:t>5.</w:t>
      </w:r>
      <w:r>
        <w:rPr>
          <w:rFonts w:hint="eastAsia" w:ascii="仿宋_GB2312" w:hAnsi="华文仿宋" w:eastAsia="仿宋_GB2312" w:cs="仿宋_GB2312"/>
          <w:b/>
          <w:snapToGrid w:val="0"/>
          <w:color w:val="auto"/>
          <w:sz w:val="32"/>
          <w:szCs w:val="32"/>
          <w:highlight w:val="none"/>
        </w:rPr>
        <w:t>打通堵点，信息化建设持续加力。</w:t>
      </w:r>
      <w:r>
        <w:rPr>
          <w:rFonts w:hint="eastAsia" w:ascii="仿宋_GB2312" w:hAnsi="华文仿宋" w:eastAsia="仿宋_GB2312" w:cs="仿宋_GB2312"/>
          <w:snapToGrid w:val="0"/>
          <w:color w:val="auto"/>
          <w:sz w:val="32"/>
          <w:szCs w:val="32"/>
          <w:highlight w:val="none"/>
        </w:rPr>
        <w:t>完成平台搭建。</w:t>
      </w:r>
      <w:r>
        <w:rPr>
          <w:rFonts w:hint="eastAsia" w:ascii="仿宋_GB2312" w:hAnsi="华文仿宋" w:eastAsia="仿宋_GB2312"/>
          <w:color w:val="auto"/>
          <w:sz w:val="32"/>
          <w:szCs w:val="32"/>
          <w:highlight w:val="none"/>
        </w:rPr>
        <w:t>建立ERP系统，搭建统一的数据、认证和应用平台，招就、学工管理功能已投入使用，人事、财务、教务管理功能开始试用，OA及手机端应用功能即将开启，一个以学生管理和教育教学为中心的智慧管理平台已初见成效。保障安全防护。租借私有云搭建超融合服务器，开展虚拟防火墙管理、服务器搭建和管理、双机热备份、访问扩容等，新建云桌面节点244个，简化了机房维护，提高了应用服务数据安全性，解决了校内信息化建设服务器访问容量不足的问题。</w:t>
      </w:r>
    </w:p>
    <w:p>
      <w:pPr>
        <w:spacing w:line="600" w:lineRule="exact"/>
        <w:ind w:firstLine="643" w:firstLineChars="200"/>
        <w:rPr>
          <w:rFonts w:ascii="仿宋_GB2312" w:hAnsi="华文仿宋" w:eastAsia="仿宋_GB2312" w:cs="仿宋_GB2312"/>
          <w:b/>
          <w:snapToGrid w:val="0"/>
          <w:color w:val="auto"/>
          <w:sz w:val="32"/>
          <w:szCs w:val="32"/>
          <w:highlight w:val="none"/>
        </w:rPr>
      </w:pPr>
      <w:r>
        <w:rPr>
          <w:rFonts w:hint="eastAsia" w:ascii="仿宋_GB2312" w:hAnsi="华文仿宋" w:eastAsia="仿宋_GB2312" w:cs="仿宋_GB2312"/>
          <w:b/>
          <w:snapToGrid w:val="0"/>
          <w:color w:val="auto"/>
          <w:sz w:val="32"/>
          <w:szCs w:val="32"/>
          <w:highlight w:val="none"/>
          <w:lang w:val="en-US" w:eastAsia="zh-CN"/>
        </w:rPr>
        <w:t>6.</w:t>
      </w:r>
      <w:r>
        <w:rPr>
          <w:rFonts w:hint="eastAsia" w:ascii="仿宋_GB2312" w:hAnsi="华文仿宋" w:eastAsia="仿宋_GB2312" w:cs="宋体"/>
          <w:b/>
          <w:color w:val="auto"/>
          <w:sz w:val="32"/>
          <w:szCs w:val="32"/>
          <w:highlight w:val="none"/>
        </w:rPr>
        <w:t>纾</w:t>
      </w:r>
      <w:r>
        <w:rPr>
          <w:rFonts w:hint="eastAsia" w:ascii="仿宋_GB2312" w:hAnsi="华文仿宋" w:eastAsia="仿宋_GB2312" w:cs="仿宋_GB2312"/>
          <w:b/>
          <w:snapToGrid w:val="0"/>
          <w:color w:val="auto"/>
          <w:sz w:val="32"/>
          <w:szCs w:val="32"/>
          <w:highlight w:val="none"/>
        </w:rPr>
        <w:t>解痛点，强化内控助推发展。</w:t>
      </w:r>
      <w:r>
        <w:rPr>
          <w:rFonts w:hint="eastAsia" w:ascii="仿宋_GB2312" w:hAnsi="华文仿宋" w:eastAsia="仿宋_GB2312" w:cs="仿宋_GB2312"/>
          <w:snapToGrid w:val="0"/>
          <w:color w:val="auto"/>
          <w:sz w:val="32"/>
          <w:szCs w:val="32"/>
          <w:highlight w:val="none"/>
        </w:rPr>
        <w:t>规范档案整理。</w:t>
      </w:r>
      <w:r>
        <w:rPr>
          <w:rFonts w:hint="eastAsia" w:ascii="仿宋_GB2312" w:hAnsi="华文仿宋" w:eastAsia="仿宋_GB2312" w:cs="Times New Roman"/>
          <w:color w:val="auto"/>
          <w:sz w:val="32"/>
          <w:szCs w:val="32"/>
          <w:highlight w:val="none"/>
        </w:rPr>
        <w:t>完成2013年前文书档案数字化整理工作，完成311人次在岗在编人员信息核准、入编、销编及编制异动。完善</w:t>
      </w:r>
      <w:r>
        <w:rPr>
          <w:rFonts w:hint="eastAsia" w:ascii="仿宋_GB2312" w:hAnsi="华文仿宋" w:eastAsia="仿宋_GB2312" w:cs="宋体"/>
          <w:color w:val="auto"/>
          <w:sz w:val="32"/>
          <w:szCs w:val="32"/>
          <w:highlight w:val="none"/>
        </w:rPr>
        <w:t>财务管理。建立基于业务流程再造的收费管理系统，计财、招就、学工、教务、培训等部门已实现数据共享、业务协同，“即时收缴、信息共享、公开透明”的非税收入缴费新模式已启用，全年完成非税收入移动缴费777.3万元。</w:t>
      </w:r>
    </w:p>
    <w:p>
      <w:pPr>
        <w:spacing w:line="600" w:lineRule="exact"/>
        <w:ind w:firstLine="643" w:firstLineChars="200"/>
        <w:rPr>
          <w:rFonts w:ascii="仿宋_GB2312" w:hAnsi="华文仿宋" w:eastAsia="仿宋_GB2312"/>
          <w:bCs/>
          <w:color w:val="auto"/>
          <w:sz w:val="32"/>
          <w:szCs w:val="32"/>
          <w:highlight w:val="none"/>
        </w:rPr>
      </w:pPr>
      <w:r>
        <w:rPr>
          <w:rFonts w:hint="eastAsia" w:ascii="仿宋_GB2312" w:hAnsi="华文仿宋" w:eastAsia="仿宋_GB2312" w:cs="仿宋_GB2312"/>
          <w:b/>
          <w:snapToGrid w:val="0"/>
          <w:color w:val="auto"/>
          <w:sz w:val="32"/>
          <w:szCs w:val="32"/>
          <w:highlight w:val="none"/>
          <w:lang w:val="en-US" w:eastAsia="zh-CN"/>
        </w:rPr>
        <w:t>7.</w:t>
      </w:r>
      <w:r>
        <w:rPr>
          <w:rFonts w:hint="eastAsia" w:ascii="仿宋_GB2312" w:hAnsi="华文仿宋" w:eastAsia="仿宋_GB2312" w:cs="仿宋_GB2312"/>
          <w:b/>
          <w:snapToGrid w:val="0"/>
          <w:color w:val="auto"/>
          <w:sz w:val="32"/>
          <w:szCs w:val="32"/>
          <w:highlight w:val="none"/>
        </w:rPr>
        <w:t>塑造亮点，综合能力显著增强。</w:t>
      </w:r>
      <w:r>
        <w:rPr>
          <w:rFonts w:hint="eastAsia" w:ascii="仿宋_GB2312" w:hAnsi="华文仿宋" w:eastAsia="仿宋_GB2312" w:cs="仿宋_GB2312"/>
          <w:snapToGrid w:val="0"/>
          <w:color w:val="auto"/>
          <w:sz w:val="32"/>
          <w:szCs w:val="32"/>
          <w:highlight w:val="none"/>
        </w:rPr>
        <w:t>技能扶贫再获认可。</w:t>
      </w:r>
      <w:r>
        <w:rPr>
          <w:rFonts w:hint="eastAsia" w:ascii="仿宋_GB2312" w:hAnsi="华文仿宋" w:eastAsia="仿宋_GB2312"/>
          <w:bCs/>
          <w:color w:val="auto"/>
          <w:sz w:val="32"/>
          <w:szCs w:val="32"/>
          <w:highlight w:val="none"/>
        </w:rPr>
        <w:t>开设第四期“青苗班”，接收11名湘西州慈爱园孤儿来校就读；</w:t>
      </w:r>
      <w:r>
        <w:rPr>
          <w:rFonts w:hint="eastAsia" w:ascii="仿宋_GB2312" w:hAnsi="华文仿宋" w:eastAsia="仿宋_GB2312" w:cs="仿宋"/>
          <w:color w:val="auto"/>
          <w:sz w:val="32"/>
          <w:szCs w:val="32"/>
          <w:highlight w:val="none"/>
        </w:rPr>
        <w:t>完成新疆策勒县技工学校对口帮扶项目装饰装潢专业建设既定工作计划，</w:t>
      </w:r>
      <w:r>
        <w:rPr>
          <w:rFonts w:hint="eastAsia" w:ascii="仿宋_GB2312" w:hAnsi="华文仿宋" w:eastAsia="仿宋_GB2312"/>
          <w:bCs/>
          <w:color w:val="auto"/>
          <w:sz w:val="32"/>
          <w:szCs w:val="32"/>
          <w:highlight w:val="none"/>
        </w:rPr>
        <w:t>技能扶贫工作获得社会广泛认可，学校荣获省人社厅、省扶贫办颁发的“事业单位</w:t>
      </w:r>
      <w:r>
        <w:rPr>
          <w:rFonts w:hint="eastAsia" w:ascii="仿宋_GB2312" w:hAnsi="华文仿宋" w:eastAsia="仿宋_GB2312" w:cs="Times New Roman"/>
          <w:color w:val="auto"/>
          <w:sz w:val="32"/>
          <w:szCs w:val="32"/>
          <w:highlight w:val="none"/>
        </w:rPr>
        <w:t>脱贫攻坚专项奖励记功”荣誉。文明创建再上台阶。以培育和践行社会主义核心价值观为根本，坚持立德树人，履职尽责、奋力进取，不断加强思想道德建设，深化校园精神文明创建活动，</w:t>
      </w:r>
      <w:r>
        <w:rPr>
          <w:rFonts w:hint="eastAsia" w:ascii="仿宋_GB2312" w:hAnsi="华文仿宋" w:eastAsia="仿宋_GB2312" w:cs="宋体"/>
          <w:color w:val="auto"/>
          <w:sz w:val="32"/>
          <w:szCs w:val="32"/>
          <w:highlight w:val="none"/>
        </w:rPr>
        <w:t>学校</w:t>
      </w:r>
      <w:r>
        <w:rPr>
          <w:rFonts w:hint="eastAsia" w:ascii="仿宋_GB2312" w:hAnsi="华文仿宋" w:eastAsia="仿宋_GB2312"/>
          <w:bCs/>
          <w:color w:val="auto"/>
          <w:sz w:val="32"/>
          <w:szCs w:val="32"/>
          <w:highlight w:val="none"/>
        </w:rPr>
        <w:t>荣获2020年度“省属监管企业文明单位”荣誉称号。</w:t>
      </w:r>
    </w:p>
    <w:p>
      <w:pPr>
        <w:pStyle w:val="2"/>
        <w:ind w:firstLine="643" w:firstLineChars="200"/>
        <w:rPr>
          <w:rFonts w:hint="default"/>
          <w:color w:val="auto"/>
          <w:highlight w:val="none"/>
          <w:lang w:val="en-US" w:eastAsia="zh-CN"/>
        </w:rPr>
      </w:pPr>
      <w:r>
        <w:rPr>
          <w:rFonts w:hint="eastAsia" w:ascii="仿宋_GB2312" w:hAnsi="华文仿宋" w:cs="仿宋_GB2312"/>
          <w:b/>
          <w:snapToGrid w:val="0"/>
          <w:color w:val="auto"/>
          <w:sz w:val="32"/>
          <w:szCs w:val="32"/>
          <w:highlight w:val="none"/>
          <w:lang w:val="en-US" w:eastAsia="zh-CN"/>
        </w:rPr>
        <w:t>8.</w:t>
      </w:r>
      <w:r>
        <w:rPr>
          <w:rFonts w:hint="eastAsia" w:ascii="仿宋_GB2312" w:hAnsi="华文仿宋" w:eastAsia="仿宋_GB2312" w:cs="仿宋_GB2312"/>
          <w:b/>
          <w:snapToGrid w:val="0"/>
          <w:color w:val="auto"/>
          <w:sz w:val="32"/>
          <w:szCs w:val="32"/>
          <w:highlight w:val="none"/>
        </w:rPr>
        <w:t>把准拐点，事业发展开创新局。</w:t>
      </w:r>
      <w:r>
        <w:rPr>
          <w:rFonts w:hint="eastAsia" w:ascii="仿宋_GB2312" w:hAnsi="华文仿宋" w:eastAsia="仿宋_GB2312" w:cs="仿宋_GB2312"/>
          <w:snapToGrid w:val="0"/>
          <w:color w:val="auto"/>
          <w:sz w:val="32"/>
          <w:szCs w:val="32"/>
          <w:highlight w:val="none"/>
        </w:rPr>
        <w:t>增设中职办学资质。</w:t>
      </w:r>
      <w:r>
        <w:rPr>
          <w:rFonts w:hint="eastAsia" w:ascii="仿宋_GB2312" w:hAnsi="华文仿宋" w:eastAsia="仿宋_GB2312"/>
          <w:color w:val="auto"/>
          <w:sz w:val="32"/>
          <w:szCs w:val="32"/>
          <w:highlight w:val="none"/>
        </w:rPr>
        <w:t>湖南建设中等职业</w:t>
      </w:r>
      <w:r>
        <w:rPr>
          <w:rFonts w:hint="eastAsia" w:ascii="仿宋_GB2312" w:hAnsi="华文仿宋" w:eastAsia="仿宋_GB2312" w:cs="宋体"/>
          <w:color w:val="auto"/>
          <w:kern w:val="2"/>
          <w:sz w:val="32"/>
          <w:szCs w:val="32"/>
          <w:highlight w:val="none"/>
          <w:lang w:val="en-US" w:eastAsia="zh-CN" w:bidi="ar-SA"/>
        </w:rPr>
        <w:t>学校</w:t>
      </w:r>
      <w:r>
        <w:rPr>
          <w:rFonts w:hint="eastAsia" w:ascii="仿宋_GB2312" w:hAnsi="华文仿宋" w:eastAsia="仿宋_GB2312"/>
          <w:color w:val="auto"/>
          <w:sz w:val="32"/>
          <w:szCs w:val="32"/>
          <w:highlight w:val="none"/>
        </w:rPr>
        <w:t>挂牌成立，2021年将开启建筑工程施工、工程测量技术、建筑工程造价、给排水工程施工与运行、建筑装饰技术等5个中职专业的招生，学校技工、中职教育并举将</w:t>
      </w:r>
      <w:r>
        <w:rPr>
          <w:rFonts w:hint="eastAsia" w:ascii="仿宋_GB2312" w:hAnsi="华文仿宋" w:eastAsia="仿宋_GB2312"/>
          <w:bCs/>
          <w:color w:val="auto"/>
          <w:sz w:val="32"/>
          <w:szCs w:val="32"/>
          <w:highlight w:val="none"/>
        </w:rPr>
        <w:t>进一步稳定学校办学规模，有效拓宽中高职衔接贯通培养渠道</w:t>
      </w:r>
      <w:r>
        <w:rPr>
          <w:rFonts w:hint="eastAsia" w:ascii="仿宋_GB2312" w:hAnsi="华文仿宋" w:eastAsia="仿宋_GB2312"/>
          <w:color w:val="auto"/>
          <w:sz w:val="32"/>
          <w:szCs w:val="32"/>
          <w:highlight w:val="none"/>
        </w:rPr>
        <w:t>。</w:t>
      </w:r>
      <w:r>
        <w:rPr>
          <w:rFonts w:hint="eastAsia" w:ascii="仿宋_GB2312" w:hAnsi="华文仿宋" w:eastAsia="仿宋_GB2312" w:cs="仿宋_GB2312"/>
          <w:snapToGrid w:val="0"/>
          <w:color w:val="auto"/>
          <w:sz w:val="32"/>
          <w:szCs w:val="32"/>
          <w:highlight w:val="none"/>
        </w:rPr>
        <w:t>培训构建全新格局。</w:t>
      </w:r>
      <w:r>
        <w:rPr>
          <w:rFonts w:hint="eastAsia" w:ascii="仿宋_GB2312" w:hAnsi="华文仿宋" w:eastAsia="仿宋_GB2312" w:cs="仿宋_GB2312"/>
          <w:color w:val="auto"/>
          <w:sz w:val="32"/>
          <w:szCs w:val="32"/>
          <w:highlight w:val="none"/>
        </w:rPr>
        <w:t>持续</w:t>
      </w:r>
      <w:r>
        <w:rPr>
          <w:rStyle w:val="23"/>
          <w:rFonts w:hint="eastAsia" w:ascii="仿宋_GB2312" w:hAnsi="华文仿宋" w:eastAsia="仿宋_GB2312"/>
          <w:color w:val="auto"/>
          <w:sz w:val="32"/>
          <w:szCs w:val="32"/>
          <w:highlight w:val="none"/>
        </w:rPr>
        <w:t>深化校企合作，与湖南建工集团、长沙水业集团、三一集团等开展职业技能等级认定、岗位技能提升以及住建领域施工现场专业人员培训和装配式技术人员师资培训；</w:t>
      </w:r>
      <w:r>
        <w:rPr>
          <w:rFonts w:hint="eastAsia" w:ascii="仿宋_GB2312" w:hAnsi="华文仿宋" w:eastAsia="仿宋_GB2312" w:cs="宋体"/>
          <w:color w:val="auto"/>
          <w:sz w:val="32"/>
          <w:szCs w:val="32"/>
          <w:highlight w:val="none"/>
        </w:rPr>
        <w:t>成功获批湖南省企业自主评价开展职业技能等级认定单位、湖南省人社厅2020年首批职业技能等级认定社会培训评价组织（第三方评价机构）试点单位和湖南省人社厅技工院校职业技能等级认定试点单位。</w:t>
      </w:r>
    </w:p>
    <w:p>
      <w:pPr>
        <w:pStyle w:val="20"/>
        <w:widowControl/>
        <w:numPr>
          <w:ilvl w:val="0"/>
          <w:numId w:val="3"/>
        </w:numPr>
        <w:spacing w:line="600" w:lineRule="exact"/>
        <w:ind w:firstLineChars="0"/>
        <w:jc w:val="left"/>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存在的问题及</w:t>
      </w:r>
      <w:r>
        <w:rPr>
          <w:rFonts w:hint="eastAsia" w:ascii="Times New Roman" w:hAnsi="Times New Roman" w:eastAsia="黑体"/>
          <w:color w:val="auto"/>
          <w:sz w:val="32"/>
          <w:szCs w:val="32"/>
          <w:highlight w:val="none"/>
        </w:rPr>
        <w:t>原因分析</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对新时代中国特色职业教育发展规律认识不够深刻，具有土建专业特色的产教融合、校企合作、育训结合的人才培养模式还有待深化。需要我们进一步理解和把握新时代中国特色职业教育发展规律，走出一条具有自己特色的发展道路。</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2.信息化条件下专业和课程改革力度不大，“三教改革”缺乏系统推进方案，具有全国影响力的标志性成果不多。学院“三教改革”在改革的浪潮中也跟着走，但我们的步伐不快，步调也没协调一致，没有系统推进。我们在打造结构化教学团队、推进项目载体任务驱动的模块化课程建设、实施项目化模块化课程教学、开发新型立体化教材、建设基于信息技术手段的课程与专业（群）教学资源库等方面，还需要花大气力、下真功夫。</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3.高水平专业教学团队建设发展滞后，高层次人才引进不够，专业建设、技术服务和社会服务缺少行业领军人才的支撑和引领。研究出台了《关于进一步加强和规范人才引进工作的意见》，也修订了《高层次人才引进管理办法》，即加大高层次人才引进也加大高层次人才培养政策力度。</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4.院系两级管理尚处于起步阶段，智慧校园建设和基于智能时代的治理体系与治理能力现代化任重道远。</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5.技术技能积累、技术研发与服务的平台和能力建设有待加强，缺少激励机制。国际化办学尚未取得突破性进展。</w:t>
      </w:r>
    </w:p>
    <w:p>
      <w:pPr>
        <w:spacing w:line="600" w:lineRule="exact"/>
        <w:ind w:firstLine="640" w:firstLineChars="200"/>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6.受新冠肺炎疫情影响和国家相关政策调整，学生春季返校时间推迟，造成了学费、住宿费等非税收入减少，短期培训收入相比上年同期也出现了减少,非税收入预算完成率82.6%，用于项目资金的总量也受到了限制。</w:t>
      </w:r>
    </w:p>
    <w:p>
      <w:pPr>
        <w:spacing w:line="600" w:lineRule="exact"/>
        <w:ind w:firstLine="640" w:firstLineChars="200"/>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7.在学校整体支出预算执行过程中，由于预算编制不够精确，造成个别预算子项存地调剂现象。</w:t>
      </w:r>
    </w:p>
    <w:p>
      <w:pPr>
        <w:pStyle w:val="2"/>
        <w:rPr>
          <w:rFonts w:hint="eastAsia" w:ascii="仿宋_GB2312" w:hAnsi="华文仿宋" w:eastAsia="仿宋_GB2312" w:cs="宋体"/>
          <w:color w:val="auto"/>
          <w:kern w:val="2"/>
          <w:sz w:val="32"/>
          <w:szCs w:val="32"/>
          <w:highlight w:val="none"/>
          <w:lang w:val="en-US" w:eastAsia="zh-CN" w:bidi="ar-SA"/>
        </w:rPr>
      </w:pPr>
    </w:p>
    <w:p>
      <w:pPr>
        <w:widowControl/>
        <w:numPr>
          <w:ilvl w:val="0"/>
          <w:numId w:val="3"/>
        </w:numPr>
        <w:spacing w:line="600" w:lineRule="exact"/>
        <w:ind w:left="1360" w:leftChars="0" w:hanging="720" w:firstLineChars="0"/>
        <w:jc w:val="left"/>
        <w:rPr>
          <w:rFonts w:eastAsia="黑体"/>
          <w:color w:val="auto"/>
          <w:sz w:val="32"/>
          <w:szCs w:val="32"/>
          <w:highlight w:val="none"/>
        </w:rPr>
      </w:pPr>
      <w:r>
        <w:rPr>
          <w:rFonts w:ascii="黑体" w:hAnsi="黑体" w:eastAsia="黑体"/>
          <w:color w:val="auto"/>
          <w:sz w:val="32"/>
          <w:szCs w:val="32"/>
          <w:highlight w:val="none"/>
        </w:rPr>
        <w:t>下一步</w:t>
      </w:r>
      <w:r>
        <w:rPr>
          <w:rFonts w:eastAsia="黑体"/>
          <w:color w:val="auto"/>
          <w:sz w:val="32"/>
          <w:szCs w:val="32"/>
          <w:highlight w:val="none"/>
        </w:rPr>
        <w:t>改进措施</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1.要坚决从严治党，加强党建政治引领。我们必须坚决贯彻落实全面从严治党的总要求，以高度的政治责任感和使命感，把学习贯彻落实习近平新时代中国特色社会主义思想和习近平湖南考察等系列的、最新的重要讲话精神作为首要的政治任务，以开展党史学习教育为契机，坚定不移用“四个意识”导航、用“四个自信”强基、用“两个维护”铸魂，提高政治判断力、政治领悟力、政治执行力，切实履行全面从严治党主体责任和监督责任，把管党治党、办学治校责任落在实处。</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2.要坚持改革创新，提高教育教学质量。教育部已经颁布“一体化呈现”的新版《职业教育专业目录》，在建筑业新技术普遍应用的大背景下，大力培养新型建筑工业化专业人才，壮大设计、生产、施工、管理等方面人才队伍；弘扬工匠精神，加强职业技能培训，促进学历证书与职业技能等级证书融通衔接；加强新型建筑工业化专业技术人员继续教育；与新型建筑工业化相关企业开展校企合作；对接建筑业发展新需求、新业态、新技术，开办相关专业、开设相关课程，创新人才培养模式，提供专业人才保障等方面，需要我们认真深入研究，要使学校的教育链、人才链更好地融入建筑产业链、创新链，在服务行业产业企业转型升级的同时，谋划好、实现好学院自身的高质量发展。</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3.要坚定育人使命，全面推进“三全育人”。需要我们全体教职工将自己主动纳入大学生思想教育工作者群体中，补齐全员育人中“员”的缺位；需要我们畅通工作机制，加强部门协同和联动，弥补全过程育人中“程”的断裂；需要我们重视德智体美劳全面培养，纠正全方位育人中“位”的偏移。需要全体教职工切实担负起责任，将各项工作举措落实、落细。</w:t>
      </w:r>
    </w:p>
    <w:p>
      <w:pPr>
        <w:widowControl/>
        <w:spacing w:line="600" w:lineRule="exact"/>
        <w:ind w:firstLine="640" w:firstLineChars="200"/>
        <w:jc w:val="left"/>
        <w:rPr>
          <w:rFonts w:hint="eastAsia" w:ascii="仿宋_GB2312" w:hAnsi="华文仿宋" w:eastAsia="仿宋_GB2312" w:cs="宋体"/>
          <w:color w:val="auto"/>
          <w:kern w:val="2"/>
          <w:sz w:val="32"/>
          <w:szCs w:val="32"/>
          <w:highlight w:val="none"/>
          <w:lang w:val="en-US" w:eastAsia="zh-CN" w:bidi="ar-SA"/>
        </w:rPr>
      </w:pPr>
      <w:r>
        <w:rPr>
          <w:rFonts w:hint="eastAsia" w:ascii="仿宋_GB2312" w:hAnsi="华文仿宋" w:eastAsia="仿宋_GB2312" w:cs="宋体"/>
          <w:color w:val="auto"/>
          <w:kern w:val="2"/>
          <w:sz w:val="32"/>
          <w:szCs w:val="32"/>
          <w:highlight w:val="none"/>
          <w:lang w:val="en-US" w:eastAsia="zh-CN" w:bidi="ar-SA"/>
        </w:rPr>
        <w:t>4.要坚守底线思维，维护校园安全稳定。学院上下要凝聚共识，落实主体责任，全面落实“外防输入、内防反弹”的总体疫情防控策略，坚持依法防控、科学防控、联防联控，切实调动和发挥各方面的积极性和创造性，着眼长远、未雨绸缪、压实责任。要积极配合防疫要求，有序做好疫苗接种工作。同时还要加强政治安全与意识形态安全管控；国家安全与交通安全教育；集体活动安全、消防用电安全食品卫生安全监管管理；网络与信息安全维护；学生社交安全、网络金融安全、身心安全防范，以及校园周边环境综合治理等等，对各类安全隐患开展经常性排查并及时化解处置，为学院事业发展，营造一个平安稳定的良好环境。</w:t>
      </w:r>
    </w:p>
    <w:p>
      <w:pPr>
        <w:widowControl/>
        <w:numPr>
          <w:ilvl w:val="0"/>
          <w:numId w:val="3"/>
        </w:numPr>
        <w:spacing w:line="600" w:lineRule="exact"/>
        <w:ind w:left="1360" w:leftChars="0" w:hanging="720" w:firstLineChars="0"/>
        <w:jc w:val="left"/>
        <w:rPr>
          <w:rFonts w:eastAsia="黑体"/>
          <w:color w:val="auto"/>
          <w:sz w:val="32"/>
          <w:szCs w:val="32"/>
          <w:highlight w:val="none"/>
        </w:rPr>
      </w:pPr>
      <w:r>
        <w:rPr>
          <w:rFonts w:eastAsia="黑体"/>
          <w:color w:val="auto"/>
          <w:sz w:val="32"/>
          <w:szCs w:val="32"/>
          <w:highlight w:val="none"/>
        </w:rPr>
        <w:t>绩效自评结果拟应用和公开情况</w:t>
      </w:r>
    </w:p>
    <w:p>
      <w:pPr>
        <w:pStyle w:val="2"/>
        <w:ind w:firstLine="640" w:firstLineChars="200"/>
        <w:rPr>
          <w:rFonts w:hint="eastAsia" w:ascii="仿宋_GB2312" w:hAnsi="华文仿宋" w:eastAsia="仿宋_GB2312" w:cs="宋体"/>
          <w:color w:val="auto"/>
          <w:sz w:val="32"/>
          <w:szCs w:val="32"/>
          <w:highlight w:val="none"/>
          <w:lang w:val="en-US" w:eastAsia="zh-CN"/>
        </w:rPr>
      </w:pPr>
      <w:r>
        <w:rPr>
          <w:rFonts w:hint="eastAsia" w:ascii="仿宋_GB2312" w:hAnsi="华文仿宋" w:eastAsia="仿宋_GB2312" w:cs="宋体"/>
          <w:color w:val="auto"/>
          <w:sz w:val="32"/>
          <w:szCs w:val="32"/>
          <w:highlight w:val="none"/>
          <w:lang w:val="en-US" w:eastAsia="zh-CN"/>
        </w:rPr>
        <w:t>根据《湖南省财政厅关于开展2020年度部门绩效自评工作的通知》，</w:t>
      </w:r>
      <w:r>
        <w:rPr>
          <w:rFonts w:hint="eastAsia" w:ascii="仿宋_GB2312" w:hAnsi="华文仿宋" w:cs="宋体"/>
          <w:color w:val="auto"/>
          <w:sz w:val="32"/>
          <w:szCs w:val="32"/>
          <w:highlight w:val="none"/>
          <w:lang w:val="en-US" w:eastAsia="zh-CN"/>
        </w:rPr>
        <w:t>部门</w:t>
      </w:r>
      <w:r>
        <w:rPr>
          <w:rFonts w:hint="eastAsia" w:ascii="仿宋_GB2312" w:hAnsi="华文仿宋" w:eastAsia="仿宋_GB2312" w:cs="宋体"/>
          <w:color w:val="auto"/>
          <w:sz w:val="32"/>
          <w:szCs w:val="32"/>
          <w:highlight w:val="none"/>
          <w:lang w:val="en-US" w:eastAsia="zh-CN"/>
        </w:rPr>
        <w:t>对整体绩效开展自评，并对自评中发现的问题及时整改，对于整改不落实或不到位的科室，根据情况调整下年度的预算资金额度，并将部门支出绩效自评报告在规定时间内对外公开。</w:t>
      </w:r>
    </w:p>
    <w:p>
      <w:pPr>
        <w:pStyle w:val="2"/>
        <w:rPr>
          <w:rFonts w:ascii="仿宋_GB2312" w:eastAsia="仿宋_GB2312"/>
          <w:color w:val="auto"/>
          <w:sz w:val="32"/>
          <w:szCs w:val="32"/>
          <w:highlight w:val="none"/>
        </w:rPr>
      </w:pPr>
    </w:p>
    <w:p>
      <w:pPr>
        <w:widowControl/>
        <w:spacing w:line="600" w:lineRule="exact"/>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附件：</w:t>
      </w:r>
    </w:p>
    <w:p>
      <w:pPr>
        <w:widowControl/>
        <w:spacing w:line="600" w:lineRule="exact"/>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1、部门整体支出绩效评价基础数据表</w:t>
      </w:r>
    </w:p>
    <w:p>
      <w:pPr>
        <w:widowControl/>
        <w:spacing w:line="600" w:lineRule="exact"/>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2、部门整体支出绩效自评表</w:t>
      </w:r>
    </w:p>
    <w:p>
      <w:pPr>
        <w:widowControl/>
        <w:spacing w:line="600" w:lineRule="exact"/>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3、项目支出绩效自评表（一个一级项目支出一张表）</w:t>
      </w:r>
    </w:p>
    <w:p>
      <w:pPr>
        <w:jc w:val="center"/>
        <w:rPr>
          <w:rFonts w:hint="eastAsia" w:eastAsia="仿宋_GB2312" w:cs="Times New Roman"/>
          <w:color w:val="auto"/>
          <w:sz w:val="32"/>
          <w:szCs w:val="32"/>
          <w:highlight w:val="none"/>
          <w:lang w:eastAsia="zh-CN"/>
        </w:rPr>
      </w:pPr>
      <w:r>
        <w:rPr>
          <w:rFonts w:ascii="Times New Roman" w:hAnsi="Times New Roman" w:eastAsia="仿宋_GB2312" w:cs="Times New Roman"/>
          <w:color w:val="auto"/>
          <w:kern w:val="0"/>
          <w:sz w:val="22"/>
          <w:szCs w:val="24"/>
          <w:highlight w:val="none"/>
        </w:rPr>
        <w:br w:type="page"/>
      </w:r>
    </w:p>
    <w:p>
      <w:pPr>
        <w:widowControl/>
        <w:spacing w:line="570" w:lineRule="exact"/>
        <w:jc w:val="both"/>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eastAsia="zh-CN"/>
        </w:rPr>
        <w:t>附件</w:t>
      </w:r>
      <w:r>
        <w:rPr>
          <w:rFonts w:hint="eastAsia" w:eastAsia="仿宋_GB2312" w:cs="Times New Roman"/>
          <w:color w:val="auto"/>
          <w:sz w:val="32"/>
          <w:szCs w:val="32"/>
          <w:highlight w:val="none"/>
          <w:lang w:val="en-US" w:eastAsia="zh-CN"/>
        </w:rPr>
        <w:t>1：</w:t>
      </w:r>
    </w:p>
    <w:p>
      <w:pPr>
        <w:spacing w:after="120" w:afterLines="50" w:line="600" w:lineRule="exact"/>
        <w:jc w:val="center"/>
        <w:rPr>
          <w:rFonts w:ascii="Times New Roman" w:hAnsi="Times New Roman" w:eastAsia="仿宋_GB2312" w:cs="Times New Roman"/>
          <w:color w:val="auto"/>
          <w:kern w:val="0"/>
          <w:sz w:val="24"/>
          <w:szCs w:val="24"/>
          <w:highlight w:val="none"/>
        </w:rPr>
      </w:pPr>
      <w:r>
        <w:rPr>
          <w:rFonts w:ascii="Times New Roman" w:hAnsi="Times New Roman" w:eastAsia="方正小标宋_GBK" w:cs="Times New Roman"/>
          <w:color w:val="auto"/>
          <w:kern w:val="0"/>
          <w:sz w:val="36"/>
          <w:szCs w:val="36"/>
          <w:highlight w:val="none"/>
        </w:rPr>
        <w:t>2020年度部门整体支出绩效评价基础数据表</w:t>
      </w:r>
    </w:p>
    <w:tbl>
      <w:tblPr>
        <w:tblStyle w:val="9"/>
        <w:tblW w:w="9497" w:type="dxa"/>
        <w:jc w:val="center"/>
        <w:tblLayout w:type="fixed"/>
        <w:tblCellMar>
          <w:top w:w="0" w:type="dxa"/>
          <w:left w:w="108" w:type="dxa"/>
          <w:bottom w:w="0" w:type="dxa"/>
          <w:right w:w="108" w:type="dxa"/>
        </w:tblCellMar>
      </w:tblPr>
      <w:tblGrid>
        <w:gridCol w:w="3366"/>
        <w:gridCol w:w="1193"/>
        <w:gridCol w:w="852"/>
        <w:gridCol w:w="1133"/>
        <w:gridCol w:w="1115"/>
        <w:gridCol w:w="972"/>
        <w:gridCol w:w="866"/>
      </w:tblGrid>
      <w:tr>
        <w:tblPrEx>
          <w:tblCellMar>
            <w:top w:w="0" w:type="dxa"/>
            <w:left w:w="108" w:type="dxa"/>
            <w:bottom w:w="0" w:type="dxa"/>
            <w:right w:w="108" w:type="dxa"/>
          </w:tblCellMar>
        </w:tblPrEx>
        <w:trPr>
          <w:trHeight w:val="403" w:hRule="atLeast"/>
          <w:jc w:val="center"/>
        </w:trPr>
        <w:tc>
          <w:tcPr>
            <w:tcW w:w="33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财政供养人员情况（人）</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color w:val="auto"/>
                <w:kern w:val="0"/>
                <w:szCs w:val="21"/>
                <w:highlight w:val="none"/>
              </w:rPr>
            </w:pPr>
            <w:r>
              <w:rPr>
                <w:rFonts w:ascii="Times New Roman" w:hAnsi="Times New Roman" w:eastAsia="仿宋_GB2312" w:cs="Times New Roman"/>
                <w:b/>
                <w:bCs/>
                <w:color w:val="auto"/>
                <w:kern w:val="0"/>
                <w:szCs w:val="21"/>
                <w:highlight w:val="none"/>
              </w:rPr>
              <w:t>编制数</w:t>
            </w:r>
          </w:p>
        </w:tc>
        <w:tc>
          <w:tcPr>
            <w:tcW w:w="22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color w:val="auto"/>
                <w:kern w:val="0"/>
                <w:szCs w:val="21"/>
                <w:highlight w:val="none"/>
              </w:rPr>
            </w:pPr>
            <w:r>
              <w:rPr>
                <w:rFonts w:ascii="Times New Roman" w:hAnsi="Times New Roman" w:eastAsia="仿宋_GB2312" w:cs="Times New Roman"/>
                <w:b/>
                <w:bCs/>
                <w:color w:val="auto"/>
                <w:kern w:val="0"/>
                <w:szCs w:val="21"/>
                <w:highlight w:val="none"/>
              </w:rPr>
              <w:t>2020年实际在职人数</w:t>
            </w:r>
          </w:p>
        </w:tc>
        <w:tc>
          <w:tcPr>
            <w:tcW w:w="1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color w:val="auto"/>
                <w:kern w:val="0"/>
                <w:szCs w:val="21"/>
                <w:highlight w:val="none"/>
              </w:rPr>
            </w:pPr>
            <w:r>
              <w:rPr>
                <w:rFonts w:ascii="Times New Roman" w:hAnsi="Times New Roman" w:eastAsia="仿宋_GB2312" w:cs="Times New Roman"/>
                <w:b/>
                <w:bCs/>
                <w:color w:val="auto"/>
                <w:kern w:val="0"/>
                <w:szCs w:val="21"/>
                <w:highlight w:val="none"/>
              </w:rPr>
              <w:t>控制率</w:t>
            </w:r>
          </w:p>
        </w:tc>
      </w:tr>
      <w:tr>
        <w:tblPrEx>
          <w:tblCellMar>
            <w:top w:w="0" w:type="dxa"/>
            <w:left w:w="108" w:type="dxa"/>
            <w:bottom w:w="0" w:type="dxa"/>
            <w:right w:w="108" w:type="dxa"/>
          </w:tblCellMar>
        </w:tblPrEx>
        <w:trPr>
          <w:trHeight w:val="403" w:hRule="atLeast"/>
          <w:jc w:val="center"/>
        </w:trPr>
        <w:tc>
          <w:tcPr>
            <w:tcW w:w="33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s="Times New Roman"/>
                <w:color w:val="auto"/>
                <w:kern w:val="0"/>
                <w:szCs w:val="21"/>
                <w:highlight w:val="none"/>
                <w:lang w:val="en-US" w:eastAsia="zh-CN"/>
              </w:rPr>
              <w:t>978</w:t>
            </w:r>
          </w:p>
        </w:tc>
        <w:tc>
          <w:tcPr>
            <w:tcW w:w="22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val="en-US" w:eastAsia="zh-CN"/>
              </w:rPr>
              <w:t>788</w:t>
            </w:r>
            <w:r>
              <w:rPr>
                <w:rFonts w:ascii="Times New Roman" w:hAnsi="Times New Roman" w:eastAsia="仿宋_GB2312" w:cs="Times New Roman"/>
                <w:color w:val="auto"/>
                <w:kern w:val="0"/>
                <w:szCs w:val="21"/>
                <w:highlight w:val="none"/>
              </w:rPr>
              <w:t>　</w:t>
            </w:r>
          </w:p>
        </w:tc>
        <w:tc>
          <w:tcPr>
            <w:tcW w:w="18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val="en-US" w:eastAsia="zh-CN"/>
              </w:rPr>
              <w:t>80.57</w:t>
            </w:r>
            <w:r>
              <w:rPr>
                <w:rFonts w:hint="eastAsia" w:ascii="Times New Roman" w:hAnsi="Times New Roman" w:eastAsia="仿宋_GB2312" w:cs="Times New Roman"/>
                <w:color w:val="auto"/>
                <w:kern w:val="0"/>
                <w:szCs w:val="21"/>
                <w:highlight w:val="none"/>
                <w:lang w:val="en-US" w:eastAsia="zh-CN"/>
              </w:rPr>
              <w:t>%</w:t>
            </w:r>
            <w:r>
              <w:rPr>
                <w:rFonts w:ascii="Times New Roman" w:hAnsi="Times New Roman" w:eastAsia="仿宋_GB2312" w:cs="Times New Roman"/>
                <w:color w:val="auto"/>
                <w:kern w:val="0"/>
                <w:szCs w:val="21"/>
                <w:highlight w:val="none"/>
              </w:rPr>
              <w:t>　</w:t>
            </w: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经费控制情况（万元）</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auto"/>
                <w:kern w:val="0"/>
                <w:szCs w:val="21"/>
                <w:highlight w:val="none"/>
              </w:rPr>
            </w:pPr>
            <w:r>
              <w:rPr>
                <w:rFonts w:ascii="Times New Roman" w:hAnsi="Times New Roman" w:eastAsia="仿宋_GB2312" w:cs="Times New Roman"/>
                <w:b/>
                <w:bCs/>
                <w:color w:val="auto"/>
                <w:kern w:val="0"/>
                <w:szCs w:val="21"/>
                <w:highlight w:val="none"/>
              </w:rPr>
              <w:t>2019年决算数</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auto"/>
                <w:kern w:val="0"/>
                <w:szCs w:val="21"/>
                <w:highlight w:val="none"/>
              </w:rPr>
            </w:pPr>
            <w:r>
              <w:rPr>
                <w:rFonts w:ascii="Times New Roman" w:hAnsi="Times New Roman" w:eastAsia="仿宋_GB2312" w:cs="Times New Roman"/>
                <w:b/>
                <w:bCs/>
                <w:color w:val="auto"/>
                <w:kern w:val="0"/>
                <w:szCs w:val="21"/>
                <w:highlight w:val="none"/>
              </w:rPr>
              <w:t>2020年预算数</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auto"/>
                <w:kern w:val="0"/>
                <w:szCs w:val="21"/>
                <w:highlight w:val="none"/>
              </w:rPr>
            </w:pPr>
            <w:r>
              <w:rPr>
                <w:rFonts w:ascii="Times New Roman" w:hAnsi="Times New Roman" w:eastAsia="仿宋_GB2312" w:cs="Times New Roman"/>
                <w:b/>
                <w:bCs/>
                <w:color w:val="auto"/>
                <w:kern w:val="0"/>
                <w:szCs w:val="21"/>
                <w:highlight w:val="none"/>
              </w:rPr>
              <w:t>2020年决算数</w:t>
            </w:r>
          </w:p>
        </w:tc>
      </w:tr>
      <w:tr>
        <w:tblPrEx>
          <w:tblCellMar>
            <w:top w:w="0" w:type="dxa"/>
            <w:left w:w="108" w:type="dxa"/>
            <w:bottom w:w="0" w:type="dxa"/>
            <w:right w:w="108" w:type="dxa"/>
          </w:tblCellMar>
        </w:tblPrEx>
        <w:trPr>
          <w:trHeight w:val="388"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三公经费</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olor w:val="auto"/>
                <w:kern w:val="0"/>
                <w:szCs w:val="21"/>
                <w:highlight w:val="none"/>
                <w:lang w:val="en-US" w:eastAsia="zh-CN"/>
              </w:rPr>
              <w:t>33.06</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val="en-US" w:eastAsia="zh-CN"/>
              </w:rPr>
              <w:t>69.02</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rPr>
            </w:pPr>
            <w:r>
              <w:rPr>
                <w:rFonts w:hint="eastAsia" w:eastAsia="仿宋_GB2312" w:cs="Times New Roman"/>
                <w:color w:val="auto"/>
                <w:kern w:val="0"/>
                <w:szCs w:val="21"/>
                <w:highlight w:val="none"/>
                <w:lang w:val="en-US" w:eastAsia="zh-CN"/>
              </w:rPr>
              <w:t>47.59</w:t>
            </w: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   1、公务用车购置和维护经费</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olor w:val="auto"/>
                <w:kern w:val="0"/>
                <w:szCs w:val="21"/>
                <w:highlight w:val="none"/>
                <w:lang w:val="en-US" w:eastAsia="zh-CN"/>
              </w:rPr>
              <w:t>19.56</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rPr>
            </w:pPr>
            <w:r>
              <w:rPr>
                <w:rFonts w:hint="eastAsia" w:eastAsia="仿宋_GB2312" w:cs="Times New Roman"/>
                <w:color w:val="auto"/>
                <w:kern w:val="0"/>
                <w:szCs w:val="21"/>
                <w:highlight w:val="none"/>
                <w:lang w:val="en-US" w:eastAsia="zh-CN"/>
              </w:rPr>
              <w:t>44.5</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val="en-US" w:eastAsia="zh-CN"/>
              </w:rPr>
              <w:t>27.78</w:t>
            </w: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       其中：公车购置</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rPr>
              <w:t>0</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             公车运行维护</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lang w:val="en-US" w:eastAsia="zh-CN"/>
              </w:rPr>
              <w:t>19.56</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s="Times New Roman"/>
                <w:color w:val="auto"/>
                <w:kern w:val="0"/>
                <w:szCs w:val="21"/>
                <w:highlight w:val="none"/>
                <w:lang w:val="en-US" w:eastAsia="zh-CN"/>
              </w:rPr>
              <w:t>44.5</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rPr>
            </w:pPr>
            <w:r>
              <w:rPr>
                <w:rFonts w:hint="eastAsia" w:eastAsia="仿宋_GB2312" w:cs="Times New Roman"/>
                <w:color w:val="auto"/>
                <w:kern w:val="0"/>
                <w:szCs w:val="21"/>
                <w:highlight w:val="none"/>
                <w:lang w:val="en-US" w:eastAsia="zh-CN"/>
              </w:rPr>
              <w:t>27.78</w:t>
            </w: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   2、出国经费</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rPr>
              <w:t>0</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   3、公务接待</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lang w:val="en-US" w:eastAsia="zh-CN"/>
              </w:rPr>
              <w:t>13.5</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val="en-US" w:eastAsia="zh-CN"/>
              </w:rPr>
              <w:t>24.52</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val="en-US" w:eastAsia="zh-CN"/>
              </w:rPr>
              <w:t>19.81</w:t>
            </w:r>
          </w:p>
        </w:tc>
      </w:tr>
      <w:tr>
        <w:tblPrEx>
          <w:tblCellMar>
            <w:top w:w="0" w:type="dxa"/>
            <w:left w:w="108" w:type="dxa"/>
            <w:bottom w:w="0" w:type="dxa"/>
            <w:right w:w="108" w:type="dxa"/>
          </w:tblCellMar>
        </w:tblPrEx>
        <w:trPr>
          <w:trHeight w:val="358"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项目支出：</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s="Times New Roman"/>
                <w:color w:val="auto"/>
                <w:kern w:val="0"/>
                <w:szCs w:val="21"/>
                <w:highlight w:val="none"/>
                <w:lang w:val="en-US" w:eastAsia="zh-CN"/>
              </w:rPr>
              <w:t>8527.72</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rPr>
            </w:pPr>
            <w:r>
              <w:rPr>
                <w:rFonts w:hint="eastAsia" w:eastAsia="仿宋_GB2312" w:cs="Times New Roman"/>
                <w:color w:val="auto"/>
                <w:kern w:val="0"/>
                <w:szCs w:val="21"/>
                <w:highlight w:val="none"/>
                <w:lang w:val="en-US" w:eastAsia="zh-CN"/>
              </w:rPr>
              <w:t>4578.48</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val="en-US" w:eastAsia="zh-CN"/>
              </w:rPr>
              <w:t>10812</w:t>
            </w: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    1、业务工作经费</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rPr>
              <w:t>0</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    2、运行维护经费</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rPr>
              <w:t>0</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rPr>
            </w:pPr>
            <w:r>
              <w:rPr>
                <w:rFonts w:hint="eastAsia" w:eastAsia="仿宋_GB2312" w:cs="Times New Roman"/>
                <w:color w:val="auto"/>
                <w:kern w:val="0"/>
                <w:szCs w:val="21"/>
                <w:highlight w:val="none"/>
                <w:lang w:val="en-US" w:eastAsia="zh-CN"/>
              </w:rPr>
              <w:t>2712.84</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val="en-US" w:eastAsia="zh-CN"/>
              </w:rPr>
              <w:t>8229.1</w:t>
            </w: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3、省级专项资金（一个专项一行）</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lang w:val="en-US" w:eastAsia="zh-CN"/>
              </w:rPr>
              <w:t>1512.63</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1865.64</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val="en-US" w:eastAsia="zh-CN"/>
              </w:rPr>
              <w:t>2582.9</w:t>
            </w: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Times New Roman" w:hAnsi="Times New Roman"/>
                <w:color w:val="auto"/>
                <w:kern w:val="0"/>
                <w:szCs w:val="21"/>
                <w:highlight w:val="none"/>
                <w:lang w:eastAsia="zh-CN"/>
              </w:rPr>
              <w:t>“双一流”建设专项</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olor w:val="auto"/>
                <w:kern w:val="0"/>
                <w:szCs w:val="21"/>
                <w:highlight w:val="none"/>
                <w:lang w:val="en-US" w:eastAsia="zh-CN"/>
              </w:rPr>
              <w:t>1028.88</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890.00</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1076.48</w:t>
            </w: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auto"/>
                <w:kern w:val="0"/>
                <w:szCs w:val="21"/>
                <w:highlight w:val="none"/>
                <w:lang w:eastAsia="zh-CN"/>
              </w:rPr>
            </w:pPr>
            <w:r>
              <w:rPr>
                <w:rFonts w:hint="eastAsia"/>
                <w:color w:val="auto"/>
                <w:kern w:val="0"/>
                <w:szCs w:val="21"/>
                <w:highlight w:val="none"/>
                <w:lang w:eastAsia="zh-CN"/>
              </w:rPr>
              <w:t>学生资助</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snapToGrid w:val="0"/>
              <w:jc w:val="center"/>
              <w:rPr>
                <w:rFonts w:hint="eastAsia" w:ascii="宋体" w:hAnsi="宋体" w:eastAsia="宋体" w:cs="宋体"/>
                <w:color w:val="auto"/>
                <w:kern w:val="0"/>
                <w:szCs w:val="21"/>
                <w:highlight w:val="none"/>
                <w:lang w:val="en-US" w:eastAsia="zh-CN"/>
              </w:rPr>
            </w:pPr>
            <w:r>
              <w:rPr>
                <w:rFonts w:hint="eastAsia" w:eastAsia="仿宋_GB2312"/>
                <w:color w:val="auto"/>
                <w:kern w:val="0"/>
                <w:szCs w:val="21"/>
                <w:highlight w:val="none"/>
                <w:lang w:val="en-US" w:eastAsia="zh-CN"/>
              </w:rPr>
              <w:t>30</w:t>
            </w:r>
            <w:r>
              <w:rPr>
                <w:rFonts w:hint="eastAsia" w:eastAsia="仿宋_GB2312"/>
                <w:color w:val="auto"/>
                <w:kern w:val="0"/>
                <w:szCs w:val="21"/>
                <w:highlight w:val="none"/>
              </w:rPr>
              <w:t>0</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975.64</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1154.65</w:t>
            </w: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auto"/>
                <w:kern w:val="0"/>
                <w:szCs w:val="21"/>
                <w:highlight w:val="none"/>
                <w:lang w:eastAsia="zh-CN"/>
              </w:rPr>
            </w:pPr>
            <w:r>
              <w:rPr>
                <w:rFonts w:hint="eastAsia" w:ascii="Times New Roman" w:hAnsi="Times New Roman"/>
                <w:color w:val="auto"/>
                <w:kern w:val="0"/>
                <w:szCs w:val="21"/>
                <w:highlight w:val="none"/>
                <w:lang w:val="en-US" w:eastAsia="zh-CN"/>
              </w:rPr>
              <w:t>校园招聘一次性补助</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olor w:val="auto"/>
                <w:kern w:val="0"/>
                <w:szCs w:val="21"/>
                <w:highlight w:val="none"/>
                <w:lang w:val="en-US" w:eastAsia="zh-CN"/>
              </w:rPr>
              <w:t>10.67</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21.60</w:t>
            </w:r>
          </w:p>
        </w:tc>
      </w:tr>
      <w:tr>
        <w:tblPrEx>
          <w:tblCellMar>
            <w:top w:w="0" w:type="dxa"/>
            <w:left w:w="108" w:type="dxa"/>
            <w:bottom w:w="0" w:type="dxa"/>
            <w:right w:w="108" w:type="dxa"/>
          </w:tblCellMar>
        </w:tblPrEx>
        <w:trPr>
          <w:trHeight w:val="403"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教育综合发展专项</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olor w:val="auto"/>
                <w:kern w:val="0"/>
                <w:szCs w:val="21"/>
                <w:highlight w:val="none"/>
                <w:lang w:val="en-US" w:eastAsia="zh-CN"/>
              </w:rPr>
              <w:t>18.45</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27.91</w:t>
            </w:r>
          </w:p>
        </w:tc>
      </w:tr>
      <w:tr>
        <w:tblPrEx>
          <w:tblCellMar>
            <w:top w:w="0" w:type="dxa"/>
            <w:left w:w="108" w:type="dxa"/>
            <w:bottom w:w="0" w:type="dxa"/>
            <w:right w:w="108" w:type="dxa"/>
          </w:tblCellMar>
        </w:tblPrEx>
        <w:trPr>
          <w:trHeight w:val="319"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省社科基金课题</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宋体" w:hAnsi="宋体" w:eastAsia="宋体" w:cs="宋体"/>
                <w:color w:val="auto"/>
                <w:kern w:val="0"/>
                <w:szCs w:val="21"/>
                <w:highlight w:val="none"/>
                <w:lang w:val="en-US" w:eastAsia="zh-CN"/>
              </w:rPr>
            </w:pP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1.80</w:t>
            </w:r>
          </w:p>
        </w:tc>
      </w:tr>
      <w:tr>
        <w:tblPrEx>
          <w:tblCellMar>
            <w:top w:w="0" w:type="dxa"/>
            <w:left w:w="108" w:type="dxa"/>
            <w:bottom w:w="0" w:type="dxa"/>
            <w:right w:w="108" w:type="dxa"/>
          </w:tblCellMar>
        </w:tblPrEx>
        <w:trPr>
          <w:trHeight w:val="319"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rPr>
              <w:t>新型城镇化专项（省级）</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ind w:right="100" w:rightChars="0"/>
              <w:jc w:val="center"/>
              <w:rPr>
                <w:rFonts w:hint="default" w:ascii="宋体" w:hAnsi="宋体" w:eastAsia="宋体" w:cs="宋体"/>
                <w:color w:val="auto"/>
                <w:kern w:val="0"/>
                <w:szCs w:val="21"/>
                <w:highlight w:val="none"/>
                <w:lang w:val="en-US" w:eastAsia="zh-CN"/>
              </w:rPr>
            </w:pPr>
            <w:r>
              <w:rPr>
                <w:rFonts w:hint="eastAsia" w:eastAsia="仿宋_GB2312"/>
                <w:color w:val="auto"/>
                <w:kern w:val="0"/>
                <w:szCs w:val="21"/>
                <w:highlight w:val="none"/>
                <w:lang w:val="en-US" w:eastAsia="zh-CN"/>
              </w:rPr>
              <w:t>30</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438"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pStyle w:val="2"/>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就业补助（职业培训补贴）</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ind w:right="100" w:rightChars="0"/>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424.63</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257.26</w:t>
            </w:r>
          </w:p>
        </w:tc>
      </w:tr>
      <w:tr>
        <w:tblPrEx>
          <w:tblCellMar>
            <w:top w:w="0" w:type="dxa"/>
            <w:left w:w="108" w:type="dxa"/>
            <w:bottom w:w="0" w:type="dxa"/>
            <w:right w:w="108" w:type="dxa"/>
          </w:tblCellMar>
        </w:tblPrEx>
        <w:trPr>
          <w:trHeight w:val="90"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pStyle w:val="2"/>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就业补助（高技能人才培训补助）</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ind w:right="100" w:rightChars="0"/>
              <w:jc w:val="center"/>
              <w:rPr>
                <w:rFonts w:hint="eastAsia" w:eastAsia="仿宋_GB2312"/>
                <w:color w:val="auto"/>
                <w:kern w:val="0"/>
                <w:szCs w:val="21"/>
                <w:highlight w:val="none"/>
                <w:lang w:val="en-US" w:eastAsia="zh-CN"/>
              </w:rPr>
            </w:pP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43.20</w:t>
            </w:r>
          </w:p>
        </w:tc>
      </w:tr>
      <w:tr>
        <w:tblPrEx>
          <w:tblCellMar>
            <w:top w:w="0" w:type="dxa"/>
            <w:left w:w="108" w:type="dxa"/>
            <w:bottom w:w="0" w:type="dxa"/>
            <w:right w:w="108" w:type="dxa"/>
          </w:tblCellMar>
        </w:tblPrEx>
        <w:trPr>
          <w:trHeight w:val="319"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eastAsia="zh-CN"/>
              </w:rPr>
              <w:t>...</w:t>
            </w:r>
            <w:r>
              <w:rPr>
                <w:rFonts w:ascii="Times New Roman" w:hAnsi="Times New Roman" w:eastAsia="仿宋_GB2312" w:cs="Times New Roman"/>
                <w:color w:val="auto"/>
                <w:kern w:val="0"/>
                <w:szCs w:val="21"/>
                <w:highlight w:val="none"/>
              </w:rPr>
              <w:t>公用经费</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tabs>
                <w:tab w:val="center" w:pos="911"/>
                <w:tab w:val="right" w:pos="2152"/>
              </w:tabs>
              <w:jc w:val="center"/>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lang w:val="en-US" w:eastAsia="zh-CN"/>
              </w:rPr>
              <w:t>5616.9</w:t>
            </w:r>
            <w:r>
              <w:rPr>
                <w:rFonts w:hint="eastAsia" w:eastAsia="仿宋_GB2312"/>
                <w:color w:val="auto"/>
                <w:kern w:val="0"/>
                <w:szCs w:val="21"/>
                <w:highlight w:val="none"/>
                <w:lang w:val="en-US" w:eastAsia="zh-CN"/>
              </w:rPr>
              <w:tab/>
            </w:r>
            <w:r>
              <w:rPr>
                <w:rFonts w:hint="eastAsia" w:eastAsia="仿宋_GB2312"/>
                <w:color w:val="auto"/>
                <w:kern w:val="0"/>
                <w:szCs w:val="21"/>
                <w:highlight w:val="none"/>
                <w:lang w:val="en-US" w:eastAsia="zh-CN"/>
              </w:rPr>
              <w:t>89</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4412.38</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4892</w:t>
            </w:r>
            <w:r>
              <w:rPr>
                <w:rFonts w:hint="eastAsia" w:ascii="Times New Roman" w:hAnsi="Times New Roman" w:eastAsia="仿宋_GB2312" w:cs="Times New Roman"/>
                <w:color w:val="auto"/>
                <w:kern w:val="0"/>
                <w:szCs w:val="21"/>
                <w:highlight w:val="none"/>
                <w:lang w:val="en-US" w:eastAsia="zh-CN"/>
              </w:rPr>
              <w:t>.</w:t>
            </w:r>
            <w:r>
              <w:rPr>
                <w:rFonts w:hint="eastAsia" w:ascii="Times New Roman" w:hAnsi="Times New Roman" w:eastAsia="仿宋_GB2312" w:cs="Times New Roman"/>
                <w:color w:val="auto"/>
                <w:kern w:val="0"/>
                <w:szCs w:val="21"/>
                <w:highlight w:val="none"/>
              </w:rPr>
              <w:t>96</w:t>
            </w:r>
          </w:p>
        </w:tc>
      </w:tr>
      <w:tr>
        <w:tblPrEx>
          <w:tblCellMar>
            <w:top w:w="0" w:type="dxa"/>
            <w:left w:w="108" w:type="dxa"/>
            <w:bottom w:w="0" w:type="dxa"/>
            <w:right w:w="108" w:type="dxa"/>
          </w:tblCellMar>
        </w:tblPrEx>
        <w:trPr>
          <w:trHeight w:val="319"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    其中：办公经费</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lang w:val="en-US" w:eastAsia="zh-CN"/>
              </w:rPr>
              <w:t>95.89</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Cs w:val="21"/>
                <w:highlight w:val="none"/>
                <w:lang w:val="en-US" w:eastAsia="zh-CN"/>
              </w:rPr>
              <w:t>85.00</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宋体" w:hAnsi="宋体" w:eastAsia="宋体" w:cs="宋体"/>
                <w:color w:val="auto"/>
                <w:kern w:val="0"/>
                <w:szCs w:val="21"/>
                <w:highlight w:val="none"/>
                <w:lang w:val="en-US" w:eastAsia="zh-CN"/>
              </w:rPr>
              <w:t>73.52</w:t>
            </w:r>
          </w:p>
        </w:tc>
      </w:tr>
      <w:tr>
        <w:tblPrEx>
          <w:tblCellMar>
            <w:top w:w="0" w:type="dxa"/>
            <w:left w:w="108" w:type="dxa"/>
            <w:bottom w:w="0" w:type="dxa"/>
            <w:right w:w="108" w:type="dxa"/>
          </w:tblCellMar>
        </w:tblPrEx>
        <w:trPr>
          <w:trHeight w:val="319"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          水费、电费、差旅费</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lang w:val="en-US" w:eastAsia="zh-CN"/>
              </w:rPr>
              <w:t>773.84</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812.20</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643.82</w:t>
            </w:r>
          </w:p>
        </w:tc>
      </w:tr>
      <w:tr>
        <w:tblPrEx>
          <w:tblCellMar>
            <w:top w:w="0" w:type="dxa"/>
            <w:left w:w="108" w:type="dxa"/>
            <w:bottom w:w="0" w:type="dxa"/>
            <w:right w:w="108" w:type="dxa"/>
          </w:tblCellMar>
        </w:tblPrEx>
        <w:trPr>
          <w:trHeight w:val="319"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          会议费、培训费</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lang w:val="en-US" w:eastAsia="zh-CN"/>
              </w:rPr>
              <w:t>68.3</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65.00</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22.80</w:t>
            </w:r>
          </w:p>
        </w:tc>
      </w:tr>
      <w:tr>
        <w:tblPrEx>
          <w:tblCellMar>
            <w:top w:w="0" w:type="dxa"/>
            <w:left w:w="108" w:type="dxa"/>
            <w:bottom w:w="0" w:type="dxa"/>
            <w:right w:w="108" w:type="dxa"/>
          </w:tblCellMar>
        </w:tblPrEx>
        <w:trPr>
          <w:trHeight w:val="319"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政府采购金额</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olor w:val="auto"/>
                <w:kern w:val="0"/>
                <w:szCs w:val="21"/>
                <w:highlight w:val="none"/>
                <w:lang w:val="en-US" w:eastAsia="zh-CN"/>
              </w:rPr>
              <w:t>2669.54</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lang w:val="en-US" w:eastAsia="zh-CN"/>
              </w:rPr>
              <w:t>90.00</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4789.95</w:t>
            </w:r>
          </w:p>
        </w:tc>
      </w:tr>
      <w:tr>
        <w:tblPrEx>
          <w:tblCellMar>
            <w:top w:w="0" w:type="dxa"/>
            <w:left w:w="108" w:type="dxa"/>
            <w:bottom w:w="0" w:type="dxa"/>
            <w:right w:w="108" w:type="dxa"/>
          </w:tblCellMar>
        </w:tblPrEx>
        <w:trPr>
          <w:trHeight w:val="319"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xml:space="preserve">部门基本支出预算调整 </w:t>
            </w:r>
          </w:p>
        </w:tc>
        <w:tc>
          <w:tcPr>
            <w:tcW w:w="2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Times New Roman" w:hAnsi="Times New Roman" w:eastAsia="仿宋_GB2312" w:cs="Times New Roman"/>
                <w:color w:val="auto"/>
                <w:kern w:val="0"/>
                <w:szCs w:val="21"/>
                <w:highlight w:val="none"/>
              </w:rPr>
            </w:pPr>
            <w:r>
              <w:rPr>
                <w:rFonts w:hint="eastAsia" w:eastAsia="仿宋_GB2312"/>
                <w:color w:val="auto"/>
                <w:kern w:val="0"/>
                <w:szCs w:val="21"/>
                <w:highlight w:val="none"/>
              </w:rPr>
              <w:t>　</w:t>
            </w:r>
          </w:p>
        </w:tc>
        <w:tc>
          <w:tcPr>
            <w:tcW w:w="224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c>
          <w:tcPr>
            <w:tcW w:w="18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　</w:t>
            </w:r>
          </w:p>
        </w:tc>
      </w:tr>
      <w:tr>
        <w:tblPrEx>
          <w:tblCellMar>
            <w:top w:w="0" w:type="dxa"/>
            <w:left w:w="108" w:type="dxa"/>
            <w:bottom w:w="0" w:type="dxa"/>
            <w:right w:w="108" w:type="dxa"/>
          </w:tblCellMar>
        </w:tblPrEx>
        <w:trPr>
          <w:trHeight w:val="722" w:hRule="atLeast"/>
          <w:jc w:val="center"/>
        </w:trPr>
        <w:tc>
          <w:tcPr>
            <w:tcW w:w="33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楼堂馆所控制情况</w:t>
            </w:r>
            <w:r>
              <w:rPr>
                <w:rFonts w:ascii="Times New Roman" w:hAnsi="Times New Roman" w:eastAsia="仿宋_GB2312" w:cs="Times New Roman"/>
                <w:color w:val="auto"/>
                <w:kern w:val="0"/>
                <w:szCs w:val="21"/>
                <w:highlight w:val="none"/>
              </w:rPr>
              <w:br w:type="textWrapping"/>
            </w:r>
            <w:r>
              <w:rPr>
                <w:rFonts w:ascii="Times New Roman" w:hAnsi="Times New Roman" w:eastAsia="仿宋_GB2312" w:cs="Times New Roman"/>
                <w:color w:val="auto"/>
                <w:kern w:val="0"/>
                <w:szCs w:val="21"/>
                <w:highlight w:val="none"/>
              </w:rPr>
              <w:t>（2020年完工项目）</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color w:val="auto"/>
                <w:kern w:val="0"/>
                <w:szCs w:val="21"/>
                <w:highlight w:val="none"/>
              </w:rPr>
            </w:pPr>
            <w:r>
              <w:rPr>
                <w:rFonts w:ascii="Times New Roman" w:hAnsi="Times New Roman" w:eastAsia="仿宋_GB2312" w:cs="Times New Roman"/>
                <w:bCs/>
                <w:color w:val="auto"/>
                <w:kern w:val="0"/>
                <w:szCs w:val="21"/>
                <w:highlight w:val="none"/>
              </w:rPr>
              <w:t>批复规模</w:t>
            </w:r>
            <w:r>
              <w:rPr>
                <w:rFonts w:ascii="Times New Roman" w:hAnsi="Times New Roman" w:eastAsia="仿宋_GB2312" w:cs="Times New Roman"/>
                <w:bCs/>
                <w:color w:val="auto"/>
                <w:kern w:val="0"/>
                <w:szCs w:val="21"/>
                <w:highlight w:val="none"/>
              </w:rPr>
              <w:br w:type="textWrapping"/>
            </w:r>
            <w:r>
              <w:rPr>
                <w:rFonts w:ascii="Times New Roman" w:hAnsi="Times New Roman" w:eastAsia="仿宋_GB2312" w:cs="Times New Roman"/>
                <w:bCs/>
                <w:color w:val="auto"/>
                <w:kern w:val="0"/>
                <w:szCs w:val="21"/>
                <w:highlight w:val="none"/>
              </w:rPr>
              <w:t>（</w:t>
            </w:r>
            <w:r>
              <w:rPr>
                <w:rFonts w:ascii="Times New Roman" w:hAnsi="Times New Roman" w:eastAsia="宋体" w:cs="Times New Roman"/>
                <w:bCs/>
                <w:color w:val="auto"/>
                <w:kern w:val="0"/>
                <w:szCs w:val="21"/>
                <w:highlight w:val="none"/>
              </w:rPr>
              <w:t>㎡</w:t>
            </w:r>
            <w:r>
              <w:rPr>
                <w:rFonts w:ascii="Times New Roman" w:hAnsi="Times New Roman" w:eastAsia="仿宋_GB2312" w:cs="Times New Roman"/>
                <w:bCs/>
                <w:color w:val="auto"/>
                <w:kern w:val="0"/>
                <w:szCs w:val="21"/>
                <w:highlight w:val="none"/>
              </w:rPr>
              <w:t>）</w:t>
            </w:r>
          </w:p>
        </w:tc>
        <w:tc>
          <w:tcPr>
            <w:tcW w:w="8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color w:val="auto"/>
                <w:kern w:val="0"/>
                <w:szCs w:val="21"/>
                <w:highlight w:val="none"/>
              </w:rPr>
            </w:pPr>
            <w:r>
              <w:rPr>
                <w:rFonts w:ascii="Times New Roman" w:hAnsi="Times New Roman" w:eastAsia="仿宋_GB2312" w:cs="Times New Roman"/>
                <w:bCs/>
                <w:color w:val="auto"/>
                <w:kern w:val="0"/>
                <w:szCs w:val="21"/>
                <w:highlight w:val="none"/>
              </w:rPr>
              <w:t>实际规模（</w:t>
            </w:r>
            <w:r>
              <w:rPr>
                <w:rFonts w:ascii="Times New Roman" w:hAnsi="Times New Roman" w:eastAsia="宋体" w:cs="Times New Roman"/>
                <w:bCs/>
                <w:color w:val="auto"/>
                <w:kern w:val="0"/>
                <w:szCs w:val="21"/>
                <w:highlight w:val="none"/>
              </w:rPr>
              <w:t>㎡</w:t>
            </w:r>
            <w:r>
              <w:rPr>
                <w:rFonts w:ascii="Times New Roman" w:hAnsi="Times New Roman" w:eastAsia="仿宋_GB2312" w:cs="Times New Roman"/>
                <w:bCs/>
                <w:color w:val="auto"/>
                <w:kern w:val="0"/>
                <w:szCs w:val="21"/>
                <w:highlight w:val="none"/>
              </w:rPr>
              <w:t>）</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color w:val="auto"/>
                <w:kern w:val="0"/>
                <w:szCs w:val="21"/>
                <w:highlight w:val="none"/>
              </w:rPr>
            </w:pPr>
            <w:r>
              <w:rPr>
                <w:rFonts w:ascii="Times New Roman" w:hAnsi="Times New Roman" w:eastAsia="仿宋_GB2312" w:cs="Times New Roman"/>
                <w:bCs/>
                <w:color w:val="auto"/>
                <w:kern w:val="0"/>
                <w:szCs w:val="21"/>
                <w:highlight w:val="none"/>
              </w:rPr>
              <w:t>规模控制率</w:t>
            </w:r>
          </w:p>
        </w:tc>
        <w:tc>
          <w:tcPr>
            <w:tcW w:w="111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color w:val="auto"/>
                <w:kern w:val="0"/>
                <w:szCs w:val="21"/>
                <w:highlight w:val="none"/>
              </w:rPr>
            </w:pPr>
            <w:r>
              <w:rPr>
                <w:rFonts w:ascii="Times New Roman" w:hAnsi="Times New Roman" w:eastAsia="仿宋_GB2312" w:cs="Times New Roman"/>
                <w:bCs/>
                <w:color w:val="auto"/>
                <w:kern w:val="0"/>
                <w:szCs w:val="21"/>
                <w:highlight w:val="none"/>
              </w:rPr>
              <w:t>预算投资（万元）</w:t>
            </w:r>
          </w:p>
        </w:tc>
        <w:tc>
          <w:tcPr>
            <w:tcW w:w="97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color w:val="auto"/>
                <w:kern w:val="0"/>
                <w:szCs w:val="21"/>
                <w:highlight w:val="none"/>
              </w:rPr>
            </w:pPr>
            <w:r>
              <w:rPr>
                <w:rFonts w:ascii="Times New Roman" w:hAnsi="Times New Roman" w:eastAsia="仿宋_GB2312" w:cs="Times New Roman"/>
                <w:bCs/>
                <w:color w:val="auto"/>
                <w:kern w:val="0"/>
                <w:szCs w:val="21"/>
                <w:highlight w:val="none"/>
              </w:rPr>
              <w:t>实际投资（万元）</w:t>
            </w:r>
          </w:p>
        </w:tc>
        <w:tc>
          <w:tcPr>
            <w:tcW w:w="86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color w:val="auto"/>
                <w:kern w:val="0"/>
                <w:szCs w:val="21"/>
                <w:highlight w:val="none"/>
              </w:rPr>
            </w:pPr>
            <w:r>
              <w:rPr>
                <w:rFonts w:ascii="Times New Roman" w:hAnsi="Times New Roman" w:eastAsia="仿宋_GB2312" w:cs="Times New Roman"/>
                <w:bCs/>
                <w:color w:val="auto"/>
                <w:kern w:val="0"/>
                <w:szCs w:val="21"/>
                <w:highlight w:val="none"/>
              </w:rPr>
              <w:t>投资概算控制率</w:t>
            </w:r>
          </w:p>
        </w:tc>
      </w:tr>
      <w:tr>
        <w:tblPrEx>
          <w:tblCellMar>
            <w:top w:w="0" w:type="dxa"/>
            <w:left w:w="108" w:type="dxa"/>
            <w:bottom w:w="0" w:type="dxa"/>
            <w:right w:w="108" w:type="dxa"/>
          </w:tblCellMar>
        </w:tblPrEx>
        <w:trPr>
          <w:trHeight w:val="319" w:hRule="atLeast"/>
          <w:jc w:val="center"/>
        </w:trPr>
        <w:tc>
          <w:tcPr>
            <w:tcW w:w="336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highlight w:val="none"/>
              </w:rPr>
            </w:pPr>
          </w:p>
        </w:tc>
        <w:tc>
          <w:tcPr>
            <w:tcW w:w="11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0</w:t>
            </w:r>
            <w:r>
              <w:rPr>
                <w:rFonts w:ascii="Times New Roman" w:hAnsi="Times New Roman" w:eastAsia="仿宋_GB2312" w:cs="Times New Roman"/>
                <w:color w:val="auto"/>
                <w:kern w:val="0"/>
                <w:szCs w:val="21"/>
                <w:highlight w:val="none"/>
              </w:rPr>
              <w:t>　</w:t>
            </w:r>
          </w:p>
        </w:tc>
        <w:tc>
          <w:tcPr>
            <w:tcW w:w="85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1115"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97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c>
          <w:tcPr>
            <w:tcW w:w="866"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　</w:t>
            </w:r>
            <w:r>
              <w:rPr>
                <w:rFonts w:hint="eastAsia" w:ascii="Times New Roman" w:hAnsi="Times New Roman" w:eastAsia="仿宋_GB2312" w:cs="Times New Roman"/>
                <w:color w:val="auto"/>
                <w:kern w:val="0"/>
                <w:szCs w:val="21"/>
                <w:highlight w:val="none"/>
                <w:lang w:val="en-US" w:eastAsia="zh-CN"/>
              </w:rPr>
              <w:t>0</w:t>
            </w:r>
          </w:p>
        </w:tc>
      </w:tr>
      <w:tr>
        <w:tblPrEx>
          <w:tblCellMar>
            <w:top w:w="0" w:type="dxa"/>
            <w:left w:w="108" w:type="dxa"/>
            <w:bottom w:w="0" w:type="dxa"/>
            <w:right w:w="108" w:type="dxa"/>
          </w:tblCellMar>
        </w:tblPrEx>
        <w:trPr>
          <w:trHeight w:val="768" w:hRule="atLeast"/>
          <w:jc w:val="center"/>
        </w:trPr>
        <w:tc>
          <w:tcPr>
            <w:tcW w:w="3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厉行节约保障措施</w:t>
            </w:r>
          </w:p>
        </w:tc>
        <w:tc>
          <w:tcPr>
            <w:tcW w:w="6131"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1.人员支出和“三公经费”归口管理；2.压缩预算标准；3.定点食堂招待；4.严格预算执行，严控预算超支</w:t>
            </w:r>
            <w:r>
              <w:rPr>
                <w:rFonts w:ascii="Times New Roman" w:hAnsi="Times New Roman" w:eastAsia="仿宋_GB2312" w:cs="Times New Roman"/>
                <w:color w:val="auto"/>
                <w:kern w:val="0"/>
                <w:szCs w:val="21"/>
                <w:highlight w:val="none"/>
              </w:rPr>
              <w:t>　</w:t>
            </w:r>
          </w:p>
        </w:tc>
      </w:tr>
    </w:tbl>
    <w:p>
      <w:pPr>
        <w:widowControl/>
        <w:jc w:val="left"/>
        <w:rPr>
          <w:rFonts w:ascii="Times New Roman" w:hAnsi="Times New Roman" w:eastAsia="仿宋_GB2312" w:cs="Times New Roman"/>
          <w:color w:val="auto"/>
          <w:kern w:val="0"/>
          <w:sz w:val="22"/>
          <w:szCs w:val="24"/>
          <w:highlight w:val="none"/>
        </w:rPr>
      </w:pPr>
      <w:r>
        <w:rPr>
          <w:rFonts w:ascii="Times New Roman" w:hAnsi="Times New Roman" w:eastAsia="仿宋_GB2312" w:cs="Times New Roman"/>
          <w:color w:val="auto"/>
          <w:kern w:val="0"/>
          <w:sz w:val="22"/>
          <w:szCs w:val="24"/>
          <w:highlight w:val="none"/>
        </w:rPr>
        <w:t>说明：“项目支出”需要填报基本支出以外的所有项目支出情况，“公用经费”填报基本支出中的一般商品和服务支出。</w:t>
      </w:r>
    </w:p>
    <w:p>
      <w:pPr>
        <w:pStyle w:val="2"/>
        <w:rPr>
          <w:rFonts w:hint="eastAsia"/>
          <w:color w:val="auto"/>
          <w:highlight w:val="none"/>
          <w:lang w:val="en-US" w:eastAsia="zh-CN"/>
        </w:rPr>
      </w:pPr>
      <w:r>
        <w:rPr>
          <w:rFonts w:ascii="Times New Roman" w:hAnsi="Times New Roman" w:eastAsia="仿宋_GB2312" w:cs="Times New Roman"/>
          <w:color w:val="auto"/>
          <w:kern w:val="0"/>
          <w:sz w:val="22"/>
          <w:szCs w:val="24"/>
          <w:highlight w:val="none"/>
        </w:rPr>
        <w:t>填表人：</w:t>
      </w:r>
      <w:r>
        <w:rPr>
          <w:rFonts w:hint="eastAsia" w:cs="Times New Roman"/>
          <w:color w:val="auto"/>
          <w:kern w:val="0"/>
          <w:sz w:val="22"/>
          <w:szCs w:val="24"/>
          <w:highlight w:val="none"/>
          <w:lang w:eastAsia="zh-CN"/>
        </w:rPr>
        <w:t>肖琳</w:t>
      </w:r>
      <w:r>
        <w:rPr>
          <w:rFonts w:ascii="Times New Roman" w:hAnsi="Times New Roman" w:eastAsia="仿宋_GB2312" w:cs="Times New Roman"/>
          <w:color w:val="auto"/>
          <w:kern w:val="0"/>
          <w:sz w:val="22"/>
          <w:szCs w:val="24"/>
          <w:highlight w:val="none"/>
        </w:rPr>
        <w:t xml:space="preserve">   填报日期： </w:t>
      </w:r>
      <w:r>
        <w:rPr>
          <w:rFonts w:hint="eastAsia" w:cs="Times New Roman"/>
          <w:color w:val="auto"/>
          <w:kern w:val="0"/>
          <w:sz w:val="22"/>
          <w:szCs w:val="24"/>
          <w:highlight w:val="none"/>
          <w:lang w:val="en-US" w:eastAsia="zh-CN"/>
        </w:rPr>
        <w:t>2021.5.27</w:t>
      </w:r>
      <w:r>
        <w:rPr>
          <w:rFonts w:ascii="Times New Roman" w:hAnsi="Times New Roman" w:eastAsia="仿宋_GB2312" w:cs="Times New Roman"/>
          <w:color w:val="auto"/>
          <w:kern w:val="0"/>
          <w:sz w:val="22"/>
          <w:szCs w:val="24"/>
          <w:highlight w:val="none"/>
        </w:rPr>
        <w:t xml:space="preserve"> 联系电话：</w:t>
      </w:r>
      <w:r>
        <w:rPr>
          <w:rFonts w:hint="eastAsia" w:cs="Times New Roman"/>
          <w:color w:val="auto"/>
          <w:kern w:val="0"/>
          <w:sz w:val="22"/>
          <w:szCs w:val="24"/>
          <w:highlight w:val="none"/>
          <w:lang w:val="en-US" w:eastAsia="zh-CN"/>
        </w:rPr>
        <w:t>13272234027</w:t>
      </w:r>
      <w:r>
        <w:rPr>
          <w:rFonts w:ascii="Times New Roman" w:hAnsi="Times New Roman" w:eastAsia="仿宋_GB2312" w:cs="Times New Roman"/>
          <w:color w:val="auto"/>
          <w:kern w:val="0"/>
          <w:sz w:val="22"/>
          <w:szCs w:val="24"/>
          <w:highlight w:val="none"/>
        </w:rPr>
        <w:t xml:space="preserve">  单位负责人签字：</w:t>
      </w:r>
      <w:r>
        <w:rPr>
          <w:rFonts w:ascii="Times New Roman" w:hAnsi="Times New Roman" w:eastAsia="仿宋_GB2312" w:cs="Times New Roman"/>
          <w:color w:val="auto"/>
          <w:kern w:val="0"/>
          <w:sz w:val="22"/>
          <w:szCs w:val="24"/>
          <w:highlight w:val="none"/>
        </w:rPr>
        <w:br w:type="page"/>
      </w:r>
    </w:p>
    <w:p>
      <w:pPr>
        <w:pStyle w:val="2"/>
        <w:rPr>
          <w:rFonts w:hint="eastAsia" w:cs="Times New Roman"/>
          <w:color w:val="auto"/>
          <w:sz w:val="32"/>
          <w:szCs w:val="32"/>
          <w:highlight w:val="none"/>
          <w:lang w:val="en-US" w:eastAsia="zh-CN"/>
        </w:rPr>
      </w:pPr>
      <w:r>
        <w:rPr>
          <w:rFonts w:hint="eastAsia" w:cs="Times New Roman"/>
          <w:color w:val="auto"/>
          <w:sz w:val="32"/>
          <w:szCs w:val="32"/>
          <w:highlight w:val="none"/>
          <w:lang w:val="en-US" w:eastAsia="zh-CN"/>
        </w:rPr>
        <w:t>附件2：</w:t>
      </w:r>
    </w:p>
    <w:p>
      <w:pPr>
        <w:widowControl/>
        <w:spacing w:after="120" w:afterLines="50"/>
        <w:jc w:val="center"/>
        <w:rPr>
          <w:rFonts w:ascii="Times New Roman" w:hAnsi="Times New Roman" w:eastAsia="方正小标宋_GBK" w:cs="Times New Roman"/>
          <w:color w:val="auto"/>
          <w:kern w:val="0"/>
          <w:sz w:val="36"/>
          <w:szCs w:val="36"/>
          <w:highlight w:val="none"/>
        </w:rPr>
      </w:pPr>
      <w:r>
        <w:rPr>
          <w:rFonts w:ascii="Times New Roman" w:hAnsi="Times New Roman" w:eastAsia="方正小标宋_GBK" w:cs="Times New Roman"/>
          <w:color w:val="auto"/>
          <w:kern w:val="0"/>
          <w:sz w:val="36"/>
          <w:szCs w:val="36"/>
          <w:highlight w:val="none"/>
        </w:rPr>
        <w:t>2020年度部门整体支出绩效自评表</w:t>
      </w:r>
    </w:p>
    <w:tbl>
      <w:tblPr>
        <w:tblStyle w:val="9"/>
        <w:tblW w:w="9993" w:type="dxa"/>
        <w:jc w:val="center"/>
        <w:tblLayout w:type="fixed"/>
        <w:tblCellMar>
          <w:top w:w="0" w:type="dxa"/>
          <w:left w:w="108" w:type="dxa"/>
          <w:bottom w:w="0" w:type="dxa"/>
          <w:right w:w="108" w:type="dxa"/>
        </w:tblCellMar>
      </w:tblPr>
      <w:tblGrid>
        <w:gridCol w:w="1080"/>
        <w:gridCol w:w="1080"/>
        <w:gridCol w:w="953"/>
        <w:gridCol w:w="1129"/>
        <w:gridCol w:w="127"/>
        <w:gridCol w:w="1105"/>
        <w:gridCol w:w="2239"/>
        <w:gridCol w:w="579"/>
        <w:gridCol w:w="460"/>
        <w:gridCol w:w="1241"/>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省级预算部门名称</w:t>
            </w:r>
          </w:p>
        </w:tc>
        <w:tc>
          <w:tcPr>
            <w:tcW w:w="891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highlight w:val="none"/>
              </w:rPr>
            </w:pPr>
            <w:r>
              <w:rPr>
                <w:rFonts w:hint="eastAsia" w:ascii="仿宋_GB2312" w:hAnsi="宋体" w:eastAsia="仿宋_GB2312" w:cs="宋体"/>
                <w:color w:val="auto"/>
                <w:kern w:val="0"/>
                <w:sz w:val="24"/>
                <w:highlight w:val="none"/>
              </w:rPr>
              <w:t>湖南建工集团有限公司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年度预</w:t>
            </w:r>
          </w:p>
          <w:p>
            <w:pPr>
              <w:widowControl/>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算申请</w:t>
            </w:r>
            <w:r>
              <w:rPr>
                <w:rFonts w:ascii="Times New Roman" w:hAnsi="Times New Roman" w:eastAsia="仿宋_GB2312" w:cs="Times New Roman"/>
                <w:color w:val="auto"/>
                <w:kern w:val="0"/>
                <w:szCs w:val="21"/>
                <w:highlight w:val="none"/>
              </w:rPr>
              <w:br w:type="textWrapping"/>
            </w:r>
            <w:r>
              <w:rPr>
                <w:rFonts w:ascii="Times New Roman" w:hAnsi="Times New Roman" w:eastAsia="仿宋_GB2312" w:cs="Times New Roman"/>
                <w:color w:val="auto"/>
                <w:kern w:val="0"/>
                <w:szCs w:val="21"/>
                <w:highlight w:val="none"/>
              </w:rPr>
              <w:t>（万元）</w:t>
            </w:r>
          </w:p>
        </w:tc>
        <w:tc>
          <w:tcPr>
            <w:tcW w:w="2033"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szCs w:val="21"/>
                <w:highlight w:val="none"/>
              </w:rPr>
            </w:pPr>
          </w:p>
        </w:tc>
        <w:tc>
          <w:tcPr>
            <w:tcW w:w="1256"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年初</w:t>
            </w:r>
          </w:p>
          <w:p>
            <w:pPr>
              <w:spacing w:line="2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预算数</w:t>
            </w:r>
          </w:p>
        </w:tc>
        <w:tc>
          <w:tcPr>
            <w:tcW w:w="110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全年预算数</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全年执行数</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分值</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执行率</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auto"/>
                <w:kern w:val="0"/>
                <w:szCs w:val="21"/>
                <w:highlight w:val="none"/>
              </w:rPr>
            </w:pPr>
          </w:p>
        </w:tc>
        <w:tc>
          <w:tcPr>
            <w:tcW w:w="2033"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kern w:val="0"/>
                <w:szCs w:val="21"/>
                <w:highlight w:val="none"/>
              </w:rPr>
              <w:t>年度资金总额</w:t>
            </w:r>
          </w:p>
        </w:tc>
        <w:tc>
          <w:tcPr>
            <w:tcW w:w="1256"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szCs w:val="21"/>
                <w:highlight w:val="none"/>
                <w:lang w:val="en-US" w:eastAsia="zh-CN"/>
              </w:rPr>
            </w:pPr>
            <w:r>
              <w:rPr>
                <w:rFonts w:hint="eastAsia" w:eastAsia="仿宋_GB2312" w:cs="Times New Roman"/>
                <w:color w:val="auto"/>
                <w:szCs w:val="21"/>
                <w:highlight w:val="none"/>
                <w:lang w:val="en-US" w:eastAsia="zh-CN"/>
              </w:rPr>
              <w:t>25037.4</w:t>
            </w:r>
          </w:p>
        </w:tc>
        <w:tc>
          <w:tcPr>
            <w:tcW w:w="110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szCs w:val="21"/>
                <w:highlight w:val="none"/>
              </w:rPr>
            </w:pPr>
            <w:r>
              <w:rPr>
                <w:rFonts w:hint="eastAsia" w:eastAsia="仿宋_GB2312" w:cs="Times New Roman"/>
                <w:color w:val="auto"/>
                <w:szCs w:val="21"/>
                <w:highlight w:val="none"/>
                <w:lang w:val="en-US" w:eastAsia="zh-CN"/>
              </w:rPr>
              <w:t>34037.45</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szCs w:val="21"/>
                <w:highlight w:val="none"/>
                <w:lang w:val="en-US" w:eastAsia="zh-CN"/>
              </w:rPr>
            </w:pPr>
            <w:r>
              <w:rPr>
                <w:rFonts w:hint="eastAsia" w:eastAsia="仿宋_GB2312" w:cs="Times New Roman"/>
                <w:color w:val="auto"/>
                <w:szCs w:val="21"/>
                <w:highlight w:val="none"/>
                <w:lang w:val="en-US" w:eastAsia="zh-CN"/>
              </w:rPr>
              <w:t>32667.09</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10</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9</w:t>
            </w:r>
            <w:r>
              <w:rPr>
                <w:rFonts w:hint="eastAsia" w:eastAsia="仿宋_GB2312" w:cs="Times New Roman"/>
                <w:color w:val="auto"/>
                <w:szCs w:val="21"/>
                <w:highlight w:val="none"/>
                <w:lang w:val="en-US" w:eastAsia="zh-CN"/>
              </w:rPr>
              <w:t>6</w:t>
            </w:r>
            <w:r>
              <w:rPr>
                <w:rFonts w:hint="eastAsia" w:ascii="Times New Roman" w:hAnsi="Times New Roman" w:eastAsia="仿宋_GB2312" w:cs="Times New Roman"/>
                <w:color w:val="auto"/>
                <w:szCs w:val="21"/>
                <w:highlight w:val="none"/>
                <w:lang w:val="en-US" w:eastAsia="zh-CN"/>
              </w:rPr>
              <w:t>%</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Cs w:val="21"/>
                <w:highlight w:val="none"/>
              </w:rPr>
            </w:pPr>
          </w:p>
        </w:tc>
        <w:tc>
          <w:tcPr>
            <w:tcW w:w="439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按收入性质分：</w:t>
            </w:r>
            <w:r>
              <w:rPr>
                <w:rFonts w:hint="eastAsia" w:eastAsia="仿宋_GB2312" w:cs="Times New Roman"/>
                <w:color w:val="auto"/>
                <w:kern w:val="0"/>
                <w:szCs w:val="21"/>
                <w:highlight w:val="none"/>
                <w:lang w:val="en-US" w:eastAsia="zh-CN"/>
              </w:rPr>
              <w:t>34037.45</w:t>
            </w:r>
          </w:p>
        </w:tc>
        <w:tc>
          <w:tcPr>
            <w:tcW w:w="451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按支出性质分：</w:t>
            </w:r>
            <w:r>
              <w:rPr>
                <w:rFonts w:hint="eastAsia" w:eastAsia="仿宋_GB2312" w:cs="Times New Roman"/>
                <w:color w:val="auto"/>
                <w:kern w:val="0"/>
                <w:szCs w:val="21"/>
                <w:highlight w:val="none"/>
                <w:lang w:val="en-US" w:eastAsia="zh-CN"/>
              </w:rPr>
              <w:t>32667.03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Cs w:val="21"/>
                <w:highlight w:val="none"/>
              </w:rPr>
            </w:pPr>
          </w:p>
        </w:tc>
        <w:tc>
          <w:tcPr>
            <w:tcW w:w="439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 xml:space="preserve">  其中：  一般公共预算：</w:t>
            </w:r>
            <w:r>
              <w:rPr>
                <w:rFonts w:hint="eastAsia" w:eastAsia="仿宋_GB2312" w:cs="Times New Roman"/>
                <w:color w:val="auto"/>
                <w:kern w:val="0"/>
                <w:szCs w:val="21"/>
                <w:highlight w:val="none"/>
                <w:lang w:val="en-US" w:eastAsia="zh-CN"/>
              </w:rPr>
              <w:t>18350.13</w:t>
            </w:r>
          </w:p>
        </w:tc>
        <w:tc>
          <w:tcPr>
            <w:tcW w:w="451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其中：基本支出：</w:t>
            </w:r>
            <w:r>
              <w:rPr>
                <w:rFonts w:hint="eastAsia" w:eastAsia="仿宋_GB2312" w:cs="Times New Roman"/>
                <w:color w:val="auto"/>
                <w:kern w:val="0"/>
                <w:szCs w:val="21"/>
                <w:highlight w:val="none"/>
                <w:lang w:val="en-US" w:eastAsia="zh-CN"/>
              </w:rPr>
              <w:t>21855.13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Cs w:val="21"/>
                <w:highlight w:val="none"/>
              </w:rPr>
            </w:pPr>
          </w:p>
        </w:tc>
        <w:tc>
          <w:tcPr>
            <w:tcW w:w="439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政府性基金拨款：</w:t>
            </w:r>
            <w:r>
              <w:rPr>
                <w:rFonts w:hint="eastAsia" w:ascii="Times New Roman" w:hAnsi="Times New Roman" w:eastAsia="仿宋_GB2312" w:cs="Times New Roman"/>
                <w:color w:val="auto"/>
                <w:kern w:val="0"/>
                <w:szCs w:val="21"/>
                <w:highlight w:val="none"/>
                <w:lang w:val="en-US" w:eastAsia="zh-CN"/>
              </w:rPr>
              <w:t>0</w:t>
            </w:r>
          </w:p>
        </w:tc>
        <w:tc>
          <w:tcPr>
            <w:tcW w:w="451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color w:val="auto"/>
                <w:highlight w:val="none"/>
                <w:lang w:val="en-US" w:eastAsia="zh-CN"/>
              </w:rPr>
            </w:pPr>
            <w:r>
              <w:rPr>
                <w:color w:val="auto"/>
                <w:highlight w:val="none"/>
              </w:rPr>
              <w:t>项目支出：</w:t>
            </w:r>
            <w:r>
              <w:rPr>
                <w:rFonts w:hint="eastAsia"/>
                <w:color w:val="auto"/>
                <w:highlight w:val="none"/>
                <w:lang w:val="en-US" w:eastAsia="zh-CN"/>
              </w:rPr>
              <w:t>10811.9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Cs w:val="21"/>
                <w:highlight w:val="none"/>
              </w:rPr>
            </w:pPr>
          </w:p>
        </w:tc>
        <w:tc>
          <w:tcPr>
            <w:tcW w:w="439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纳入专户管理的非税收入拨款：</w:t>
            </w:r>
            <w:r>
              <w:rPr>
                <w:rFonts w:hint="eastAsia" w:eastAsia="仿宋_GB2312" w:cs="Times New Roman"/>
                <w:color w:val="auto"/>
                <w:kern w:val="0"/>
                <w:szCs w:val="21"/>
                <w:highlight w:val="none"/>
                <w:lang w:val="en-US" w:eastAsia="zh-CN"/>
              </w:rPr>
              <w:t>9276.62</w:t>
            </w:r>
          </w:p>
        </w:tc>
        <w:tc>
          <w:tcPr>
            <w:tcW w:w="451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auto"/>
                <w:kern w:val="0"/>
                <w:szCs w:val="21"/>
                <w:highlight w:val="none"/>
              </w:rPr>
            </w:pPr>
          </w:p>
        </w:tc>
        <w:tc>
          <w:tcPr>
            <w:tcW w:w="4394"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color w:val="auto"/>
                <w:kern w:val="0"/>
                <w:szCs w:val="21"/>
                <w:highlight w:val="none"/>
                <w:lang w:val="en-US" w:eastAsia="zh-CN"/>
              </w:rPr>
            </w:pPr>
            <w:r>
              <w:rPr>
                <w:rFonts w:ascii="Times New Roman" w:hAnsi="Times New Roman" w:eastAsia="仿宋_GB2312" w:cs="Times New Roman"/>
                <w:color w:val="auto"/>
                <w:kern w:val="0"/>
                <w:szCs w:val="21"/>
                <w:highlight w:val="none"/>
              </w:rPr>
              <w:t>其他资金：</w:t>
            </w:r>
            <w:r>
              <w:rPr>
                <w:rFonts w:hint="eastAsia" w:eastAsia="仿宋_GB2312" w:cs="Times New Roman"/>
                <w:color w:val="auto"/>
                <w:kern w:val="0"/>
                <w:szCs w:val="21"/>
                <w:highlight w:val="none"/>
                <w:lang w:val="en-US" w:eastAsia="zh-CN"/>
              </w:rPr>
              <w:t>6410.7</w:t>
            </w:r>
          </w:p>
        </w:tc>
        <w:tc>
          <w:tcPr>
            <w:tcW w:w="4519"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年度总体目标</w:t>
            </w:r>
          </w:p>
        </w:tc>
        <w:tc>
          <w:tcPr>
            <w:tcW w:w="4394" w:type="dxa"/>
            <w:gridSpan w:val="5"/>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预期目标</w:t>
            </w:r>
          </w:p>
        </w:tc>
        <w:tc>
          <w:tcPr>
            <w:tcW w:w="4519"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实际完成情况</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spacing w:line="240" w:lineRule="exact"/>
              <w:jc w:val="center"/>
              <w:rPr>
                <w:rFonts w:ascii="Times New Roman" w:hAnsi="Times New Roman" w:eastAsia="仿宋_GB2312" w:cs="Times New Roman"/>
                <w:color w:val="auto"/>
                <w:kern w:val="0"/>
                <w:szCs w:val="21"/>
                <w:highlight w:val="none"/>
              </w:rPr>
            </w:pPr>
          </w:p>
        </w:tc>
        <w:tc>
          <w:tcPr>
            <w:tcW w:w="4394" w:type="dxa"/>
            <w:gridSpan w:val="5"/>
            <w:tcBorders>
              <w:top w:val="single" w:color="auto" w:sz="4" w:space="0"/>
              <w:left w:val="nil"/>
              <w:bottom w:val="single" w:color="auto" w:sz="4" w:space="0"/>
              <w:right w:val="single" w:color="000000"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提高企业管理水平和市场竞争力，改善学校办学条件。</w:t>
            </w:r>
          </w:p>
        </w:tc>
        <w:tc>
          <w:tcPr>
            <w:tcW w:w="4519" w:type="dxa"/>
            <w:gridSpan w:val="4"/>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总体绩效目标和绩效指标完成较好，有些超出了预期，有几项未完成。未完成的专业群和课程建设方面，以及学生公寓建设交付使用方面，说明我院的专业建设和师资建设还有不足之处，学院要加大对新时代中国特色职业教育发展规律的理解，进一步深化教育教学的改革创新，进一步加强高水平教学团队建设，进一步提升管理、服务与保障的能力，进一步推进校园基础设施和智慧校园建设</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绩</w:t>
            </w:r>
          </w:p>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效</w:t>
            </w:r>
          </w:p>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指</w:t>
            </w:r>
          </w:p>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标</w:t>
            </w:r>
          </w:p>
        </w:tc>
        <w:tc>
          <w:tcPr>
            <w:tcW w:w="108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一级指标</w:t>
            </w:r>
          </w:p>
        </w:tc>
        <w:tc>
          <w:tcPr>
            <w:tcW w:w="95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二级指标</w:t>
            </w:r>
          </w:p>
        </w:tc>
        <w:tc>
          <w:tcPr>
            <w:tcW w:w="11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三级指标</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年度</w:t>
            </w:r>
          </w:p>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指标值</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实际完成值</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分值</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得分</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偏差原因</w:t>
            </w:r>
          </w:p>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分析及</w:t>
            </w:r>
          </w:p>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vMerge w:val="restart"/>
            <w:tcBorders>
              <w:top w:val="nil"/>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产出指标</w:t>
            </w:r>
          </w:p>
          <w:p>
            <w:pPr>
              <w:spacing w:line="240" w:lineRule="exact"/>
              <w:jc w:val="center"/>
              <w:rPr>
                <w:rFonts w:ascii="Times New Roman" w:hAnsi="Times New Roman" w:eastAsia="仿宋_GB2312" w:cs="Times New Roman"/>
                <w:color w:val="auto"/>
                <w:kern w:val="0"/>
                <w:szCs w:val="21"/>
                <w:highlight w:val="none"/>
              </w:rPr>
            </w:pPr>
          </w:p>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(50分)</w:t>
            </w:r>
          </w:p>
        </w:tc>
        <w:tc>
          <w:tcPr>
            <w:tcW w:w="953" w:type="dxa"/>
            <w:vMerge w:val="restart"/>
            <w:tcBorders>
              <w:top w:val="nil"/>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数量指标</w:t>
            </w:r>
          </w:p>
        </w:tc>
        <w:tc>
          <w:tcPr>
            <w:tcW w:w="11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年度招收新生</w:t>
            </w:r>
            <w:r>
              <w:rPr>
                <w:rFonts w:hint="eastAsia" w:ascii="Times New Roman" w:hAnsi="Times New Roman" w:eastAsia="仿宋_GB2312" w:cs="Times New Roman"/>
                <w:color w:val="auto"/>
                <w:kern w:val="0"/>
                <w:szCs w:val="21"/>
                <w:highlight w:val="none"/>
                <w:lang w:val="en-US" w:eastAsia="zh-CN"/>
              </w:rPr>
              <w:t>3</w:t>
            </w:r>
            <w:r>
              <w:rPr>
                <w:rFonts w:hint="eastAsia" w:ascii="Times New Roman" w:hAnsi="Times New Roman" w:eastAsia="仿宋_GB2312" w:cs="Times New Roman"/>
                <w:color w:val="auto"/>
                <w:kern w:val="0"/>
                <w:szCs w:val="21"/>
                <w:highlight w:val="none"/>
              </w:rPr>
              <w:t>000人</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年度招收新生</w:t>
            </w:r>
            <w:r>
              <w:rPr>
                <w:rFonts w:hint="eastAsia" w:ascii="Times New Roman" w:hAnsi="Times New Roman" w:eastAsia="仿宋_GB2312" w:cs="Times New Roman"/>
                <w:color w:val="auto"/>
                <w:kern w:val="0"/>
                <w:szCs w:val="21"/>
                <w:highlight w:val="none"/>
                <w:lang w:val="en-US" w:eastAsia="zh-CN"/>
              </w:rPr>
              <w:t>3</w:t>
            </w:r>
            <w:r>
              <w:rPr>
                <w:rFonts w:hint="eastAsia" w:ascii="Times New Roman" w:hAnsi="Times New Roman" w:eastAsia="仿宋_GB2312" w:cs="Times New Roman"/>
                <w:color w:val="auto"/>
                <w:kern w:val="0"/>
                <w:szCs w:val="21"/>
                <w:highlight w:val="none"/>
              </w:rPr>
              <w:t>000人</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eastAsia="zh-CN"/>
              </w:rPr>
              <w:t>技校</w:t>
            </w:r>
            <w:r>
              <w:rPr>
                <w:rFonts w:hint="eastAsia" w:ascii="Times New Roman" w:hAnsi="Times New Roman" w:eastAsia="仿宋_GB2312" w:cs="Times New Roman"/>
                <w:color w:val="auto"/>
                <w:kern w:val="0"/>
                <w:szCs w:val="21"/>
                <w:highlight w:val="none"/>
              </w:rPr>
              <w:t>年度招收注册新生1146人</w:t>
            </w:r>
            <w:r>
              <w:rPr>
                <w:rFonts w:hint="eastAsia" w:ascii="Times New Roman" w:hAnsi="Times New Roman" w:eastAsia="仿宋_GB2312" w:cs="Times New Roman"/>
                <w:color w:val="auto"/>
                <w:kern w:val="0"/>
                <w:szCs w:val="21"/>
                <w:highlight w:val="none"/>
                <w:lang w:eastAsia="zh-CN"/>
              </w:rPr>
              <w:t>、职院2020年招生录取3787人，到校3633人</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8</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8</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953"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12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保障职工、退休人员工资及社会保险缴费成本正常发放学校正常运转。</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年初基本支出预算</w:t>
            </w:r>
            <w:r>
              <w:rPr>
                <w:rFonts w:hint="eastAsia" w:ascii="Times New Roman" w:hAnsi="Times New Roman" w:eastAsia="仿宋_GB2312" w:cs="Times New Roman"/>
                <w:color w:val="auto"/>
                <w:kern w:val="0"/>
                <w:szCs w:val="21"/>
                <w:highlight w:val="none"/>
                <w:lang w:val="en-US" w:eastAsia="zh-CN"/>
              </w:rPr>
              <w:t>12582</w:t>
            </w:r>
            <w:r>
              <w:rPr>
                <w:rFonts w:hint="eastAsia" w:ascii="Times New Roman" w:hAnsi="Times New Roman" w:eastAsia="仿宋_GB2312" w:cs="Times New Roman"/>
                <w:color w:val="auto"/>
                <w:kern w:val="0"/>
                <w:szCs w:val="21"/>
                <w:highlight w:val="none"/>
              </w:rPr>
              <w:t>万元</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 xml:space="preserve">年度基本支出决算 </w:t>
            </w:r>
            <w:r>
              <w:rPr>
                <w:rFonts w:hint="eastAsia" w:ascii="Times New Roman" w:hAnsi="Times New Roman" w:eastAsia="仿宋_GB2312" w:cs="Times New Roman"/>
                <w:color w:val="auto"/>
                <w:kern w:val="0"/>
                <w:szCs w:val="21"/>
                <w:highlight w:val="none"/>
                <w:lang w:val="en-US" w:eastAsia="zh-CN"/>
              </w:rPr>
              <w:t>12743.85</w:t>
            </w:r>
            <w:r>
              <w:rPr>
                <w:rFonts w:hint="eastAsia" w:ascii="Times New Roman" w:hAnsi="Times New Roman" w:eastAsia="仿宋_GB2312" w:cs="Times New Roman"/>
                <w:color w:val="auto"/>
                <w:kern w:val="0"/>
                <w:szCs w:val="21"/>
                <w:highlight w:val="none"/>
              </w:rPr>
              <w:t>万元</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6</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6</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1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提高教育教学能力</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完成2020级各专业人才培养方案、专业技能考核标准及题库、专业核心课程标准修订工作</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完成2020级各专业人才培养方案、专业技能考核标准及题库、专业核心课程标准修订工作，5个专业人才培养方案、技能考核标准及题库被省厅评为优秀等级。疫情期间完成141门课程教学资源建设，做到了“停课不停学”。建筑设计专业群立项为省级专业群教学资源库，4门课程认定为省级精品在线课程，4门课程立项为省级精品在线课程建设项目。</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6</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6</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953" w:type="dxa"/>
            <w:vMerge w:val="restart"/>
            <w:tcBorders>
              <w:top w:val="nil"/>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质量指标</w:t>
            </w:r>
          </w:p>
        </w:tc>
        <w:tc>
          <w:tcPr>
            <w:tcW w:w="11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毕业生平均就业率保持在90％以上</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毕业生平均就业率保持在90％以上</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毕业生平均就业率保持在97％以上</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10</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s="Times New Roman"/>
                <w:color w:val="auto"/>
                <w:kern w:val="0"/>
                <w:szCs w:val="21"/>
                <w:highlight w:val="none"/>
                <w:lang w:val="en-US" w:eastAsia="zh-CN"/>
              </w:rPr>
              <w:t>9</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953"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1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增强科研创新能力</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增强科研创新能力</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lang w:val="en-US" w:eastAsia="zh-CN"/>
              </w:rPr>
              <w:t>立项教育部人文社会科学研究专项任务项目1项、省级课题16项、市厅级课题22项，实现湖南省自科、社科基金项目立项双丰收。正式加入中非经贸合作职业教育产教联盟并成为理事单位。学院牵头组建的湖南建筑职教集团入围首批国家示范性职教集团（联盟）培育单位。</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eastAsia="仿宋_GB2312" w:cs="Times New Roman"/>
                <w:color w:val="auto"/>
                <w:kern w:val="0"/>
                <w:szCs w:val="21"/>
                <w:highlight w:val="none"/>
                <w:lang w:val="en-US" w:eastAsia="zh-CN"/>
              </w:rPr>
              <w:t>5</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s="Times New Roman"/>
                <w:color w:val="auto"/>
                <w:kern w:val="0"/>
                <w:szCs w:val="21"/>
                <w:highlight w:val="none"/>
                <w:lang w:val="en-US" w:eastAsia="zh-CN"/>
              </w:rPr>
              <w:t>4.</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953"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12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装配式建筑设备已安装完成且投产率达到100%</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投产率达到100%</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已完成安装并投入使用，投产率达到100%</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95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时效指标</w:t>
            </w:r>
          </w:p>
        </w:tc>
        <w:tc>
          <w:tcPr>
            <w:tcW w:w="11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完成初中起点三年制、高中起点五年制学制教学目标</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完成初中起点三年制、高中起点五年制学制教学目标</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完成初中起点三年制、高中起点五年制学制教学目标</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95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成本指标</w:t>
            </w:r>
          </w:p>
        </w:tc>
        <w:tc>
          <w:tcPr>
            <w:tcW w:w="112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财政拨款生均成本不低于人均1万元</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eastAsia="zh-CN"/>
              </w:rPr>
              <w:t>生均拨款</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年度生均拨款</w:t>
            </w:r>
            <w:r>
              <w:rPr>
                <w:rFonts w:hint="eastAsia" w:ascii="Times New Roman" w:hAnsi="Times New Roman" w:eastAsia="仿宋_GB2312" w:cs="Times New Roman"/>
                <w:color w:val="auto"/>
                <w:kern w:val="0"/>
                <w:szCs w:val="21"/>
                <w:highlight w:val="none"/>
                <w:lang w:eastAsia="zh-CN"/>
              </w:rPr>
              <w:t>超</w:t>
            </w:r>
            <w:r>
              <w:rPr>
                <w:rFonts w:hint="eastAsia" w:ascii="Times New Roman" w:hAnsi="Times New Roman" w:eastAsia="仿宋_GB2312" w:cs="Times New Roman"/>
                <w:color w:val="auto"/>
                <w:kern w:val="0"/>
                <w:szCs w:val="21"/>
                <w:highlight w:val="none"/>
              </w:rPr>
              <w:t>1万元</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157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vMerge w:val="restart"/>
            <w:tcBorders>
              <w:top w:val="single" w:color="auto" w:sz="4" w:space="0"/>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效益指标</w:t>
            </w:r>
          </w:p>
          <w:p>
            <w:pPr>
              <w:spacing w:line="240" w:lineRule="exact"/>
              <w:jc w:val="center"/>
              <w:rPr>
                <w:rFonts w:ascii="Times New Roman" w:hAnsi="Times New Roman" w:eastAsia="仿宋_GB2312" w:cs="Times New Roman"/>
                <w:color w:val="auto"/>
                <w:kern w:val="0"/>
                <w:szCs w:val="21"/>
                <w:highlight w:val="none"/>
              </w:rPr>
            </w:pPr>
          </w:p>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（30分）</w:t>
            </w:r>
          </w:p>
        </w:tc>
        <w:tc>
          <w:tcPr>
            <w:tcW w:w="95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经济效</w:t>
            </w:r>
          </w:p>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益指标</w:t>
            </w:r>
          </w:p>
        </w:tc>
        <w:tc>
          <w:tcPr>
            <w:tcW w:w="112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装配式节水、节材、减少垃圾、降低能耗、缩短工期。</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　</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节水、节材、减少垃圾、降低能耗、减少用工，缩短工期。</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10</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10</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953" w:type="dxa"/>
            <w:tcBorders>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eastAsia="zh-CN"/>
              </w:rPr>
              <w:t>社会效益指标</w:t>
            </w:r>
          </w:p>
        </w:tc>
        <w:tc>
          <w:tcPr>
            <w:tcW w:w="112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主动承担社会责任</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主动承担社会责任</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lang w:val="en-US" w:eastAsia="zh-CN"/>
              </w:rPr>
              <w:t>继续对口援助山南二职，并担任湖南短援队队长，再获好评。落实“高校消费扶贫”“以购代捐”，巩固脱贫攻坚成果。打造义“Pei”俱乐部联动志愿服务品牌项目。学院获评湖南省教育援藏援疆工作优秀组织单位、城乡规划助力脱贫攻坚先进单位，院团委“七彩假期”教育志愿服务团获全省“三下乡”活动优秀团队。</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10</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10</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953" w:type="dxa"/>
            <w:tcBorders>
              <w:top w:val="single" w:color="auto" w:sz="4" w:space="0"/>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生态效</w:t>
            </w:r>
          </w:p>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益指标</w:t>
            </w:r>
          </w:p>
        </w:tc>
        <w:tc>
          <w:tcPr>
            <w:tcW w:w="112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学生实训化学制品、废品按国家相关制度处理</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学生实训化学制品、废品按国家相关制度处理</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rPr>
              <w:t>学生实训化学制品、废品由专业公司统一处理</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s="Times New Roman"/>
                <w:color w:val="auto"/>
                <w:kern w:val="0"/>
                <w:szCs w:val="21"/>
                <w:highlight w:val="none"/>
                <w:lang w:val="en-US" w:eastAsia="zh-CN"/>
              </w:rPr>
              <w:t>10</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eastAsia="仿宋_GB2312" w:cs="Times New Roman"/>
                <w:color w:val="auto"/>
                <w:kern w:val="0"/>
                <w:szCs w:val="21"/>
                <w:highlight w:val="none"/>
                <w:lang w:val="en-US" w:eastAsia="zh-CN"/>
              </w:rPr>
              <w:t>10</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270" w:hRule="atLeast"/>
          <w:jc w:val="center"/>
        </w:trPr>
        <w:tc>
          <w:tcPr>
            <w:tcW w:w="1080" w:type="dxa"/>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953" w:type="dxa"/>
            <w:tcBorders>
              <w:left w:val="nil"/>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eastAsia="zh-CN"/>
              </w:rPr>
            </w:pPr>
            <w:r>
              <w:rPr>
                <w:rFonts w:hint="eastAsia" w:ascii="Times New Roman" w:hAnsi="Times New Roman" w:eastAsia="仿宋_GB2312" w:cs="Times New Roman"/>
                <w:color w:val="auto"/>
                <w:kern w:val="0"/>
                <w:szCs w:val="21"/>
                <w:highlight w:val="none"/>
                <w:lang w:eastAsia="zh-CN"/>
              </w:rPr>
              <w:t>满意度指标</w:t>
            </w:r>
          </w:p>
        </w:tc>
        <w:tc>
          <w:tcPr>
            <w:tcW w:w="112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切实加强和改善民生</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切实加强和改善民生</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引导教职工、工会会员和统战对象等通过教职工代表大会等途径参与民主管理与监督。为全体教职工购买互助医疗保险及女职工安康团体保险共计4.7万元，发放慰问金5万元。通过省级模范职工之家复核。开展了“战百日·送清凉”、金秋助学等慰问活动，发放院级奖助学金192万元，免费为879名学生提供专升本考试培训。疫情期间，及时清退、调减学生住宿费约262.6万元，为湖北籍家庭经济困难学生和疫情期间在潭兼职的外省学生提供生活补助。</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10</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10</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270" w:hRule="atLeast"/>
          <w:jc w:val="center"/>
        </w:trPr>
        <w:tc>
          <w:tcPr>
            <w:tcW w:w="1080" w:type="dxa"/>
            <w:tcBorders>
              <w:left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080" w:type="dxa"/>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953" w:type="dxa"/>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c>
          <w:tcPr>
            <w:tcW w:w="112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维护校园安全稳定</w:t>
            </w:r>
          </w:p>
        </w:tc>
        <w:tc>
          <w:tcPr>
            <w:tcW w:w="1232"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维护校园安全稳定</w:t>
            </w:r>
          </w:p>
        </w:tc>
        <w:tc>
          <w:tcPr>
            <w:tcW w:w="223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定期判研安全形势、排查安全隐患，完善日常安全工作及突发事件应急处置流程。公共区域主干道16个监控点并入湘潭市公共安全视频监控建设联网应用项目，大力提高学院治安管理、风险防控和应急处置工作水平。与驻地公安局、辖区派出所和消防队通力合作，面向师生开展消防应急演练、防诈骗、防校园贷、防传销、禁毒等宣传教育活动6场，增强了安全防范意识。</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10</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10</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270" w:hRule="atLeast"/>
          <w:jc w:val="center"/>
        </w:trPr>
        <w:tc>
          <w:tcPr>
            <w:tcW w:w="7713"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总分</w:t>
            </w:r>
          </w:p>
        </w:tc>
        <w:tc>
          <w:tcPr>
            <w:tcW w:w="57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100</w:t>
            </w:r>
          </w:p>
        </w:tc>
        <w:tc>
          <w:tcPr>
            <w:tcW w:w="460" w:type="dxa"/>
            <w:tcBorders>
              <w:top w:val="nil"/>
              <w:left w:val="nil"/>
              <w:bottom w:val="single" w:color="auto" w:sz="4" w:space="0"/>
              <w:right w:val="single" w:color="auto" w:sz="4" w:space="0"/>
            </w:tcBorders>
            <w:shd w:val="clear" w:color="auto" w:fill="auto"/>
            <w:vAlign w:val="center"/>
          </w:tcPr>
          <w:p>
            <w:pPr>
              <w:spacing w:line="240" w:lineRule="exact"/>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98</w:t>
            </w:r>
          </w:p>
        </w:tc>
        <w:tc>
          <w:tcPr>
            <w:tcW w:w="124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auto"/>
                <w:kern w:val="0"/>
                <w:szCs w:val="21"/>
                <w:highlight w:val="none"/>
              </w:rPr>
            </w:pPr>
          </w:p>
        </w:tc>
      </w:tr>
    </w:tbl>
    <w:p>
      <w:pPr>
        <w:widowControl/>
        <w:spacing w:line="240" w:lineRule="exact"/>
        <w:jc w:val="left"/>
        <w:rPr>
          <w:rFonts w:ascii="Times New Roman" w:hAnsi="Times New Roman" w:eastAsia="仿宋_GB2312" w:cs="Times New Roman"/>
          <w:color w:val="auto"/>
          <w:kern w:val="0"/>
          <w:szCs w:val="21"/>
          <w:highlight w:val="none"/>
        </w:rPr>
      </w:pPr>
    </w:p>
    <w:p>
      <w:pPr>
        <w:spacing w:line="400" w:lineRule="exact"/>
        <w:jc w:val="center"/>
        <w:rPr>
          <w:rFonts w:hint="eastAsia"/>
          <w:color w:val="auto"/>
          <w:highlight w:val="none"/>
          <w:lang w:val="en-US" w:eastAsia="zh-CN"/>
        </w:rPr>
      </w:pPr>
      <w:r>
        <w:rPr>
          <w:rFonts w:ascii="Times New Roman" w:hAnsi="Times New Roman" w:eastAsia="仿宋_GB2312" w:cs="Times New Roman"/>
          <w:color w:val="auto"/>
          <w:kern w:val="0"/>
          <w:sz w:val="22"/>
          <w:szCs w:val="24"/>
          <w:highlight w:val="none"/>
        </w:rPr>
        <w:t>填表人：</w:t>
      </w:r>
      <w:r>
        <w:rPr>
          <w:rFonts w:hint="eastAsia" w:cs="Times New Roman"/>
          <w:color w:val="auto"/>
          <w:kern w:val="0"/>
          <w:sz w:val="22"/>
          <w:szCs w:val="24"/>
          <w:highlight w:val="none"/>
          <w:lang w:eastAsia="zh-CN"/>
        </w:rPr>
        <w:t>肖琳</w:t>
      </w:r>
      <w:r>
        <w:rPr>
          <w:rFonts w:ascii="Times New Roman" w:hAnsi="Times New Roman" w:eastAsia="仿宋_GB2312" w:cs="Times New Roman"/>
          <w:color w:val="auto"/>
          <w:kern w:val="0"/>
          <w:sz w:val="22"/>
          <w:szCs w:val="24"/>
          <w:highlight w:val="none"/>
        </w:rPr>
        <w:t xml:space="preserve">   填报日期： </w:t>
      </w:r>
      <w:r>
        <w:rPr>
          <w:rFonts w:hint="eastAsia" w:cs="Times New Roman"/>
          <w:color w:val="auto"/>
          <w:kern w:val="0"/>
          <w:sz w:val="22"/>
          <w:szCs w:val="24"/>
          <w:highlight w:val="none"/>
          <w:lang w:val="en-US" w:eastAsia="zh-CN"/>
        </w:rPr>
        <w:t>2021.5.27</w:t>
      </w:r>
      <w:r>
        <w:rPr>
          <w:rFonts w:ascii="Times New Roman" w:hAnsi="Times New Roman" w:eastAsia="仿宋_GB2312" w:cs="Times New Roman"/>
          <w:color w:val="auto"/>
          <w:kern w:val="0"/>
          <w:sz w:val="22"/>
          <w:szCs w:val="24"/>
          <w:highlight w:val="none"/>
        </w:rPr>
        <w:t xml:space="preserve"> 联系电话：</w:t>
      </w:r>
      <w:r>
        <w:rPr>
          <w:rFonts w:hint="eastAsia" w:cs="Times New Roman"/>
          <w:color w:val="auto"/>
          <w:kern w:val="0"/>
          <w:sz w:val="22"/>
          <w:szCs w:val="24"/>
          <w:highlight w:val="none"/>
          <w:lang w:val="en-US" w:eastAsia="zh-CN"/>
        </w:rPr>
        <w:t>13272234027</w:t>
      </w:r>
      <w:r>
        <w:rPr>
          <w:rFonts w:ascii="Times New Roman" w:hAnsi="Times New Roman" w:eastAsia="仿宋_GB2312" w:cs="Times New Roman"/>
          <w:color w:val="auto"/>
          <w:kern w:val="0"/>
          <w:sz w:val="22"/>
          <w:szCs w:val="24"/>
          <w:highlight w:val="none"/>
        </w:rPr>
        <w:t xml:space="preserve">  单位负责人签字：</w:t>
      </w:r>
      <w:r>
        <w:rPr>
          <w:rFonts w:ascii="Times New Roman" w:hAnsi="Times New Roman" w:eastAsia="仿宋_GB2312" w:cs="Times New Roman"/>
          <w:color w:val="auto"/>
          <w:kern w:val="0"/>
          <w:szCs w:val="21"/>
          <w:highlight w:val="none"/>
        </w:rPr>
        <w:br w:type="page"/>
      </w:r>
    </w:p>
    <w:p>
      <w:pPr>
        <w:pStyle w:val="2"/>
        <w:rPr>
          <w:rFonts w:hint="default" w:cs="Times New Roman"/>
          <w:color w:val="auto"/>
          <w:sz w:val="32"/>
          <w:szCs w:val="32"/>
          <w:highlight w:val="none"/>
          <w:lang w:val="en-US" w:eastAsia="zh-CN"/>
        </w:rPr>
      </w:pPr>
      <w:r>
        <w:rPr>
          <w:rFonts w:hint="eastAsia" w:cs="Times New Roman"/>
          <w:color w:val="auto"/>
          <w:sz w:val="32"/>
          <w:szCs w:val="32"/>
          <w:highlight w:val="none"/>
          <w:lang w:val="en-US" w:eastAsia="zh-CN"/>
        </w:rPr>
        <w:t>附件3-1：</w:t>
      </w:r>
    </w:p>
    <w:p>
      <w:pPr>
        <w:widowControl/>
        <w:spacing w:line="570" w:lineRule="exact"/>
        <w:jc w:val="center"/>
        <w:rPr>
          <w:rFonts w:hint="eastAsia" w:ascii="Times New Roman" w:hAnsi="Times New Roman" w:eastAsia="方正小标宋_GBK" w:cs="Times New Roman"/>
          <w:color w:val="auto"/>
          <w:kern w:val="0"/>
          <w:sz w:val="44"/>
          <w:szCs w:val="44"/>
          <w:highlight w:val="none"/>
          <w:lang w:val="en-US" w:eastAsia="zh-CN"/>
        </w:rPr>
      </w:pPr>
      <w:r>
        <w:rPr>
          <w:rFonts w:hint="eastAsia" w:ascii="Times New Roman" w:hAnsi="Times New Roman" w:eastAsia="仿宋_GB2312" w:cs="Times New Roman"/>
          <w:color w:val="auto"/>
          <w:sz w:val="32"/>
          <w:szCs w:val="32"/>
          <w:highlight w:val="none"/>
        </w:rPr>
        <w:t>20</w:t>
      </w:r>
      <w:r>
        <w:rPr>
          <w:rFonts w:hint="eastAsia"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rPr>
        <w:t>年度项目支出绩效自评表</w:t>
      </w:r>
      <w:r>
        <w:rPr>
          <w:rFonts w:hint="eastAsia" w:ascii="Times New Roman" w:hAnsi="Times New Roman" w:eastAsia="仿宋_GB2312" w:cs="Times New Roman"/>
          <w:color w:val="auto"/>
          <w:sz w:val="32"/>
          <w:szCs w:val="32"/>
          <w:highlight w:val="none"/>
          <w:lang w:val="en-US" w:eastAsia="zh-CN"/>
        </w:rPr>
        <w:t>1</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4"/>
        <w:gridCol w:w="893"/>
        <w:gridCol w:w="1691"/>
        <w:gridCol w:w="933"/>
        <w:gridCol w:w="1214"/>
        <w:gridCol w:w="804"/>
        <w:gridCol w:w="87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项目支</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出名称</w:t>
            </w:r>
          </w:p>
        </w:tc>
        <w:tc>
          <w:tcPr>
            <w:tcW w:w="8806" w:type="dxa"/>
            <w:gridSpan w:val="8"/>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高校“双一流”项目建设专项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主管部门</w:t>
            </w:r>
          </w:p>
        </w:tc>
        <w:tc>
          <w:tcPr>
            <w:tcW w:w="4561" w:type="dxa"/>
            <w:gridSpan w:val="4"/>
            <w:tcBorders>
              <w:tl2br w:val="nil"/>
              <w:tr2bl w:val="nil"/>
            </w:tcBorders>
            <w:shd w:val="clear" w:color="auto" w:fill="auto"/>
            <w:vAlign w:val="center"/>
          </w:tcPr>
          <w:p>
            <w:pPr>
              <w:widowControl/>
              <w:jc w:val="center"/>
              <w:rPr>
                <w:rFonts w:hint="eastAsia" w:eastAsia="仿宋_GB2312"/>
                <w:color w:val="auto"/>
                <w:kern w:val="0"/>
                <w:szCs w:val="21"/>
                <w:highlight w:val="none"/>
                <w:lang w:eastAsia="zh-CN"/>
              </w:rPr>
            </w:pPr>
            <w:r>
              <w:rPr>
                <w:rFonts w:hint="eastAsia" w:eastAsia="仿宋_GB2312"/>
                <w:color w:val="auto"/>
                <w:kern w:val="0"/>
                <w:szCs w:val="21"/>
                <w:highlight w:val="none"/>
              </w:rPr>
              <w:t>湖南</w:t>
            </w:r>
            <w:r>
              <w:rPr>
                <w:rFonts w:hint="eastAsia" w:eastAsia="仿宋_GB2312"/>
                <w:color w:val="auto"/>
                <w:kern w:val="0"/>
                <w:szCs w:val="21"/>
                <w:highlight w:val="none"/>
                <w:lang w:eastAsia="zh-CN"/>
              </w:rPr>
              <w:t>建工集团有限公司</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实施单位</w:t>
            </w:r>
          </w:p>
        </w:tc>
        <w:tc>
          <w:tcPr>
            <w:tcW w:w="3031" w:type="dxa"/>
            <w:gridSpan w:val="3"/>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湖南城建职业技术学院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项目资金</w:t>
            </w:r>
            <w:r>
              <w:rPr>
                <w:rFonts w:hint="eastAsia" w:eastAsia="仿宋_GB2312"/>
                <w:color w:val="auto"/>
                <w:kern w:val="0"/>
                <w:szCs w:val="21"/>
                <w:highlight w:val="none"/>
              </w:rPr>
              <w:br w:type="textWrapping"/>
            </w:r>
            <w:r>
              <w:rPr>
                <w:rFonts w:hint="eastAsia" w:eastAsia="仿宋_GB2312"/>
                <w:color w:val="auto"/>
                <w:kern w:val="0"/>
                <w:szCs w:val="21"/>
                <w:highlight w:val="none"/>
              </w:rPr>
              <w:t>（万元）</w:t>
            </w:r>
          </w:p>
        </w:tc>
        <w:tc>
          <w:tcPr>
            <w:tcW w:w="1937" w:type="dxa"/>
            <w:gridSpan w:val="2"/>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年初</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执行数</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执行率</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vAlign w:val="center"/>
          </w:tcPr>
          <w:p>
            <w:pPr>
              <w:widowControl/>
              <w:jc w:val="center"/>
              <w:rPr>
                <w:rFonts w:hint="eastAsia" w:eastAsia="仿宋_GB2312"/>
                <w:color w:val="auto"/>
                <w:kern w:val="0"/>
                <w:szCs w:val="21"/>
                <w:highlight w:val="none"/>
              </w:rPr>
            </w:pPr>
          </w:p>
        </w:tc>
        <w:tc>
          <w:tcPr>
            <w:tcW w:w="1937" w:type="dxa"/>
            <w:gridSpan w:val="2"/>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年度资金总额</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890</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1113.55</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1070.2792</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96.11%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vAlign w:val="center"/>
          </w:tcPr>
          <w:p>
            <w:pPr>
              <w:widowControl/>
              <w:jc w:val="center"/>
              <w:rPr>
                <w:rFonts w:hint="eastAsia" w:eastAsia="仿宋_GB2312"/>
                <w:color w:val="auto"/>
                <w:kern w:val="0"/>
                <w:szCs w:val="21"/>
                <w:highlight w:val="none"/>
              </w:rPr>
            </w:pPr>
          </w:p>
        </w:tc>
        <w:tc>
          <w:tcPr>
            <w:tcW w:w="1937" w:type="dxa"/>
            <w:gridSpan w:val="2"/>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其中：当年财政拨款</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890</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1113.55</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1070.2792</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vAlign w:val="center"/>
          </w:tcPr>
          <w:p>
            <w:pPr>
              <w:widowControl/>
              <w:jc w:val="center"/>
              <w:rPr>
                <w:rFonts w:hint="eastAsia" w:eastAsia="仿宋_GB2312"/>
                <w:color w:val="auto"/>
                <w:kern w:val="0"/>
                <w:szCs w:val="21"/>
                <w:highlight w:val="none"/>
              </w:rPr>
            </w:pPr>
          </w:p>
        </w:tc>
        <w:tc>
          <w:tcPr>
            <w:tcW w:w="1937" w:type="dxa"/>
            <w:gridSpan w:val="2"/>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上年结转资金</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vAlign w:val="center"/>
          </w:tcPr>
          <w:p>
            <w:pPr>
              <w:widowControl/>
              <w:jc w:val="center"/>
              <w:rPr>
                <w:rFonts w:hint="eastAsia" w:eastAsia="仿宋_GB2312"/>
                <w:color w:val="auto"/>
                <w:kern w:val="0"/>
                <w:szCs w:val="21"/>
                <w:highlight w:val="none"/>
              </w:rPr>
            </w:pPr>
          </w:p>
        </w:tc>
        <w:tc>
          <w:tcPr>
            <w:tcW w:w="1937" w:type="dxa"/>
            <w:gridSpan w:val="2"/>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其他资金</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年度总体目标</w:t>
            </w:r>
          </w:p>
        </w:tc>
        <w:tc>
          <w:tcPr>
            <w:tcW w:w="4561" w:type="dxa"/>
            <w:gridSpan w:val="4"/>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预期目标</w:t>
            </w:r>
          </w:p>
        </w:tc>
        <w:tc>
          <w:tcPr>
            <w:tcW w:w="4245" w:type="dxa"/>
            <w:gridSpan w:val="4"/>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vAlign w:val="center"/>
          </w:tcPr>
          <w:p>
            <w:pPr>
              <w:widowControl/>
              <w:jc w:val="center"/>
              <w:rPr>
                <w:rFonts w:hint="eastAsia" w:eastAsia="仿宋_GB2312"/>
                <w:color w:val="auto"/>
                <w:kern w:val="0"/>
                <w:szCs w:val="21"/>
                <w:highlight w:val="none"/>
              </w:rPr>
            </w:pPr>
          </w:p>
        </w:tc>
        <w:tc>
          <w:tcPr>
            <w:tcW w:w="4561" w:type="dxa"/>
            <w:gridSpan w:val="4"/>
            <w:tcBorders>
              <w:tl2br w:val="nil"/>
              <w:tr2bl w:val="nil"/>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依据卓越院校项目建设实施方案和任务清单，实现人才培养质量稳步提升、专业和课程建设显著加强、人才培养模式改革稳步推进，科研和社会服务进一步增强，师资队伍建设更加优化、治理能力显著增强，为实现城建教育特色鲜明、省内领先、国内一流、国际有影响的卓越高职院校奠定良好基础。</w:t>
            </w:r>
          </w:p>
        </w:tc>
        <w:tc>
          <w:tcPr>
            <w:tcW w:w="4245" w:type="dxa"/>
            <w:gridSpan w:val="4"/>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经过一年建设学院在人才培养质量、专业和课程建设、人才培养模式改革、教师队伍建设、治理能力建设、学生实习实训、社会服务等方面取得较好成绩，立项为省文明校园，湖南省2020年湖南省普通高等学校就业创业工作“一把手”督查优秀单位，全年完成省级及以上标志性成果73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4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89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完成值</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893"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数量指标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参与行业企业职业能力证书课程开发（个）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未全面铺开，全国职院能开发的只有少数几个院校。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专业联盟（个）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产业学院（个）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专业数（个）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23</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23</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高职在校生人数（人）</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10000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11723</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探索1+X证书试点数（个）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现代学徒制试点专业（个）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专业现代学徒制试点培养人数（人）</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56</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共享的专业核心课程配套的网络课程（门）</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22</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4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89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完成值</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893"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数量指标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院级专业教学资源库（个）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6</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6</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被遴选为省级专业教学资源库（个）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省级名师空间课程（门）</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上级不再设此项目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国家级规划教材（门）</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国家级优质精品课程（门）</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上级未组织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省级优质精品课程（门）或特色优质核心专业课程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38</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41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院级优质精品课程（门）</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43</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专业共享优质核心课程（门）</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13</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虚拟仿真课（个）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正在筹备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职业教育标准（个）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被遴选或认定省级优质教学标准（个）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国际化合作项目（个）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共同开发国际化专业教学标准（个）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国际先进工艺流程、产品标准、技术标准、服务标准引入教学内容（项）</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海外技术技能人才培养基地（个）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从企业聘请的领军人才数（人）</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芙蓉学者或者省级学科（专业）带头人（名）</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申报未入围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省级青年骨干教师数（人）</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4</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具有正高职称教师数（人）</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45"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4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89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完成值</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893"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数量指标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骨干教师培训或者访学1年人数（人）</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名师工作室（个）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大师工作室（个）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承办省级以上教师培训项目（个）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校内大型的综合生产性实训基地（个）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校外实训基地（个）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41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湖南建工产业发展研究中心（个）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智慧教室（个）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省级校企合作育人特色基地（个）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顶岗实习企业信息库（个）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仿真实训基地（个）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遴选认定省级校企合作生产实训基地（个）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省厅未组织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年均立项省级纵向科研项目（个）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4</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立项国家级纵向项目（个）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年均横向课题（个）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加强培训，继续申报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国家级标志性成果（项）</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13</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省级标志性成果（项）</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24</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60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在省级及以上教学活动中典型发言（次）</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承办省级教学改革观摩活动（次）</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45"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4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89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完成值</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893"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质量指标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初次就业率（%）</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省前40%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82.41%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毕业生自主创业率（%）</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省前40%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1.5%</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校技能考核成绩合格率（%）</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受疫情影响调整考核方式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学生专业技能测试合格率(%)</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受疫情影响调整考核方式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学生毕业设计考核合格率(%)</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专任教师中“双师素质”教师比例(%)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59.7</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加大培养力度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专任教师全部具有本科以上学历和高等院校教师资格比例（%）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45岁以下具有研究生或硕士以上学位比例（%）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70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74.8</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兼职教师占专业课比例（%）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15</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16.3</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企业专家专业课授课比例(%)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具有高级专业技术职务教师占专任教师比例（%）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37.2</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副高以上专业技术职务、双师素质的骨干教师比例（%）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58.7</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具有研究生学历或学位的专任教师数比例（%）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70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65.8</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后期将加大培养力度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5年内专业教师轮流下企业实践时间不少于6个月的比例（%）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60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28</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骨干教师至少海外培训1次的比例（%）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45"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4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89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完成值</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893"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质量指标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校内实践教学工位数能够满足所有学生开展实践教学要求的比例（%）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实训项目开出率（%）</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校外实训基地能接受10人以上顶岗实习比例（%）</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80.1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0.5</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效益指标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（30分）</w:t>
            </w:r>
          </w:p>
        </w:tc>
        <w:tc>
          <w:tcPr>
            <w:tcW w:w="89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经济效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年均技术服务到账经费（万元）</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6</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社会效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与中职院校实施教育精准扶贫项目（个）</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职业培训人数（人次）</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10000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54178</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省级文明校园</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44"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满意度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（10分）</w:t>
            </w:r>
          </w:p>
        </w:tc>
        <w:tc>
          <w:tcPr>
            <w:tcW w:w="893" w:type="dxa"/>
            <w:vMerge w:val="restart"/>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服务对象满意度指标</w:t>
            </w: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就业满意度（%）</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80</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75</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4</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受疫情影响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教学满意度（%）</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85</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92</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044"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893" w:type="dxa"/>
            <w:vMerge w:val="continue"/>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c>
          <w:tcPr>
            <w:tcW w:w="1691"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母校满意度（%）</w:t>
            </w:r>
          </w:p>
        </w:tc>
        <w:tc>
          <w:tcPr>
            <w:tcW w:w="933"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85</w:t>
            </w:r>
          </w:p>
        </w:tc>
        <w:tc>
          <w:tcPr>
            <w:tcW w:w="121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92</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0" w:type="dxa"/>
            <w:gridSpan w:val="6"/>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总分</w:t>
            </w:r>
          </w:p>
        </w:tc>
        <w:tc>
          <w:tcPr>
            <w:tcW w:w="804"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872"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85</w:t>
            </w:r>
          </w:p>
        </w:tc>
        <w:tc>
          <w:tcPr>
            <w:tcW w:w="1355" w:type="dxa"/>
            <w:tcBorders>
              <w:tl2br w:val="nil"/>
              <w:tr2bl w:val="nil"/>
            </w:tcBorders>
            <w:shd w:val="clear" w:color="auto" w:fill="auto"/>
            <w:vAlign w:val="center"/>
          </w:tcPr>
          <w:p>
            <w:pPr>
              <w:widowControl/>
              <w:jc w:val="center"/>
              <w:rPr>
                <w:rFonts w:hint="eastAsia" w:eastAsia="仿宋_GB2312"/>
                <w:color w:val="auto"/>
                <w:kern w:val="0"/>
                <w:szCs w:val="21"/>
                <w:highlight w:val="none"/>
              </w:rPr>
            </w:pPr>
          </w:p>
        </w:tc>
      </w:tr>
    </w:tbl>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both"/>
        <w:rPr>
          <w:rFonts w:hint="eastAsia" w:cs="Times New Roman"/>
          <w:color w:val="auto"/>
          <w:sz w:val="32"/>
          <w:szCs w:val="32"/>
          <w:highlight w:val="none"/>
          <w:lang w:val="en-US" w:eastAsia="zh-CN"/>
        </w:rPr>
      </w:pPr>
    </w:p>
    <w:p>
      <w:pPr>
        <w:pStyle w:val="2"/>
        <w:jc w:val="both"/>
        <w:rPr>
          <w:color w:val="auto"/>
          <w:highlight w:val="none"/>
        </w:rPr>
      </w:pPr>
      <w:r>
        <w:rPr>
          <w:rFonts w:hint="eastAsia" w:cs="Times New Roman"/>
          <w:color w:val="auto"/>
          <w:sz w:val="32"/>
          <w:szCs w:val="32"/>
          <w:highlight w:val="none"/>
          <w:lang w:val="en-US" w:eastAsia="zh-CN"/>
        </w:rPr>
        <w:t>附件3-2：</w:t>
      </w:r>
    </w:p>
    <w:p>
      <w:pPr>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2020年度项目支出绩效自评表2</w:t>
      </w:r>
    </w:p>
    <w:tbl>
      <w:tblPr>
        <w:tblStyle w:val="9"/>
        <w:tblW w:w="10087" w:type="dxa"/>
        <w:jc w:val="center"/>
        <w:tblLayout w:type="autofit"/>
        <w:tblCellMar>
          <w:top w:w="0" w:type="dxa"/>
          <w:left w:w="108" w:type="dxa"/>
          <w:bottom w:w="0" w:type="dxa"/>
          <w:right w:w="108" w:type="dxa"/>
        </w:tblCellMar>
      </w:tblPr>
      <w:tblGrid>
        <w:gridCol w:w="1044"/>
        <w:gridCol w:w="1043"/>
        <w:gridCol w:w="1029"/>
        <w:gridCol w:w="900"/>
        <w:gridCol w:w="1093"/>
        <w:gridCol w:w="987"/>
        <w:gridCol w:w="707"/>
        <w:gridCol w:w="759"/>
        <w:gridCol w:w="2525"/>
      </w:tblGrid>
      <w:tr>
        <w:tblPrEx>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项目支</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出名称</w:t>
            </w:r>
          </w:p>
        </w:tc>
        <w:tc>
          <w:tcPr>
            <w:tcW w:w="9043"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湘财教指〔2020〕55号：“双一流”专项：高校思想政治工作质量提升工程</w:t>
            </w:r>
          </w:p>
        </w:tc>
      </w:tr>
      <w:tr>
        <w:tblPrEx>
          <w:tblCellMar>
            <w:top w:w="0" w:type="dxa"/>
            <w:left w:w="108" w:type="dxa"/>
            <w:bottom w:w="0" w:type="dxa"/>
            <w:right w:w="108" w:type="dxa"/>
          </w:tblCellMar>
        </w:tblPrEx>
        <w:trPr>
          <w:jc w:val="center"/>
        </w:trPr>
        <w:tc>
          <w:tcPr>
            <w:tcW w:w="10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主管部门</w:t>
            </w:r>
          </w:p>
        </w:tc>
        <w:tc>
          <w:tcPr>
            <w:tcW w:w="406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湖南</w:t>
            </w:r>
            <w:r>
              <w:rPr>
                <w:rFonts w:hint="eastAsia" w:eastAsia="仿宋_GB2312"/>
                <w:color w:val="auto"/>
                <w:kern w:val="0"/>
                <w:szCs w:val="21"/>
                <w:highlight w:val="none"/>
                <w:lang w:eastAsia="zh-CN"/>
              </w:rPr>
              <w:t>建工集团有限公司</w:t>
            </w:r>
          </w:p>
        </w:tc>
        <w:tc>
          <w:tcPr>
            <w:tcW w:w="98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实施单位</w:t>
            </w:r>
          </w:p>
        </w:tc>
        <w:tc>
          <w:tcPr>
            <w:tcW w:w="399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eastAsia="zh-CN"/>
              </w:rPr>
            </w:pPr>
            <w:r>
              <w:rPr>
                <w:rFonts w:hint="eastAsia" w:eastAsia="仿宋_GB2312"/>
                <w:color w:val="auto"/>
                <w:kern w:val="0"/>
                <w:szCs w:val="21"/>
                <w:highlight w:val="none"/>
                <w:lang w:eastAsia="zh-CN"/>
              </w:rPr>
              <w:t>湖南城建职业技术学院</w:t>
            </w:r>
          </w:p>
        </w:tc>
      </w:tr>
      <w:tr>
        <w:tblPrEx>
          <w:tblCellMar>
            <w:top w:w="0" w:type="dxa"/>
            <w:left w:w="108" w:type="dxa"/>
            <w:bottom w:w="0" w:type="dxa"/>
            <w:right w:w="108" w:type="dxa"/>
          </w:tblCellMar>
        </w:tblPrEx>
        <w:trPr>
          <w:jc w:val="center"/>
        </w:trPr>
        <w:tc>
          <w:tcPr>
            <w:tcW w:w="10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项目资金</w:t>
            </w:r>
            <w:r>
              <w:rPr>
                <w:rFonts w:hint="eastAsia" w:eastAsia="仿宋_GB2312"/>
                <w:color w:val="auto"/>
                <w:kern w:val="0"/>
                <w:szCs w:val="21"/>
                <w:highlight w:val="none"/>
              </w:rPr>
              <w:br w:type="textWrapping"/>
            </w:r>
            <w:r>
              <w:rPr>
                <w:rFonts w:hint="eastAsia" w:eastAsia="仿宋_GB2312"/>
                <w:color w:val="auto"/>
                <w:kern w:val="0"/>
                <w:szCs w:val="21"/>
                <w:highlight w:val="none"/>
              </w:rPr>
              <w:t>（万元）</w:t>
            </w:r>
          </w:p>
        </w:tc>
        <w:tc>
          <w:tcPr>
            <w:tcW w:w="207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年初</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执行数</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执行率</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r>
      <w:tr>
        <w:tblPrEx>
          <w:tblCellMar>
            <w:top w:w="0" w:type="dxa"/>
            <w:left w:w="108" w:type="dxa"/>
            <w:bottom w:w="0" w:type="dxa"/>
            <w:right w:w="108" w:type="dxa"/>
          </w:tblCellMar>
        </w:tblPrEx>
        <w:trPr>
          <w:jc w:val="center"/>
        </w:trPr>
        <w:tc>
          <w:tcPr>
            <w:tcW w:w="104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07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年度资金总额</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16.6</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16.6</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lang w:val="en-US" w:eastAsia="zh-CN"/>
              </w:rPr>
              <w:t>6</w:t>
            </w:r>
            <w:r>
              <w:rPr>
                <w:rFonts w:hint="eastAsia" w:eastAsia="仿宋_GB2312"/>
                <w:color w:val="auto"/>
                <w:kern w:val="0"/>
                <w:szCs w:val="21"/>
                <w:highlight w:val="none"/>
              </w:rPr>
              <w:t>.2</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r>
              <w:rPr>
                <w:rFonts w:hint="eastAsia" w:eastAsia="仿宋_GB2312"/>
                <w:color w:val="auto"/>
                <w:kern w:val="0"/>
                <w:szCs w:val="21"/>
                <w:highlight w:val="none"/>
                <w:lang w:val="en-US" w:eastAsia="zh-CN"/>
              </w:rPr>
              <w:t>7</w:t>
            </w:r>
            <w:r>
              <w:rPr>
                <w:rFonts w:hint="eastAsia" w:eastAsia="仿宋_GB2312"/>
                <w:color w:val="auto"/>
                <w:kern w:val="0"/>
                <w:szCs w:val="21"/>
                <w:highlight w:val="none"/>
              </w:rPr>
              <w:t>%</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8</w:t>
            </w:r>
          </w:p>
        </w:tc>
      </w:tr>
      <w:tr>
        <w:tblPrEx>
          <w:tblCellMar>
            <w:top w:w="0" w:type="dxa"/>
            <w:left w:w="108" w:type="dxa"/>
            <w:bottom w:w="0" w:type="dxa"/>
            <w:right w:w="108" w:type="dxa"/>
          </w:tblCellMar>
        </w:tblPrEx>
        <w:trPr>
          <w:jc w:val="center"/>
        </w:trPr>
        <w:tc>
          <w:tcPr>
            <w:tcW w:w="104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07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其中：当年财政拨款</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07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上年结转资金</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07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其他资金</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年度总体目标</w:t>
            </w:r>
          </w:p>
        </w:tc>
        <w:tc>
          <w:tcPr>
            <w:tcW w:w="406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预期目标</w:t>
            </w:r>
          </w:p>
        </w:tc>
        <w:tc>
          <w:tcPr>
            <w:tcW w:w="49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实际完成情况</w:t>
            </w:r>
          </w:p>
        </w:tc>
      </w:tr>
      <w:tr>
        <w:tblPrEx>
          <w:tblCellMar>
            <w:top w:w="0" w:type="dxa"/>
            <w:left w:w="108" w:type="dxa"/>
            <w:bottom w:w="0" w:type="dxa"/>
            <w:right w:w="108" w:type="dxa"/>
          </w:tblCellMar>
        </w:tblPrEx>
        <w:trPr>
          <w:jc w:val="center"/>
        </w:trPr>
        <w:tc>
          <w:tcPr>
            <w:tcW w:w="104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406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所有项目成功结项，促进学院大学生思想政治教育工作特色化、长效化，培育思想政治教育特色项目和思想政治教育创新品牌，全面提升大学生思想道德素质，建设校园文化精品项目、提高大学生心理健康教育服务水平。</w:t>
            </w:r>
          </w:p>
        </w:tc>
        <w:tc>
          <w:tcPr>
            <w:tcW w:w="49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相关项目均能按照建设进度完成任务，但在经费使用过程中明显存在滞后性。究其原因，一是囿于项目建设的阶段性和周期性，项目成果主要集中在建设后期，因此经费使用相对滞后；二是项目负责人对项目经费报账流程不熟悉，主观上存在等靠思想。</w:t>
            </w:r>
          </w:p>
        </w:tc>
      </w:tr>
      <w:tr>
        <w:tblPrEx>
          <w:tblCellMar>
            <w:top w:w="0" w:type="dxa"/>
            <w:left w:w="108" w:type="dxa"/>
            <w:bottom w:w="0" w:type="dxa"/>
            <w:right w:w="108" w:type="dxa"/>
          </w:tblCellMar>
        </w:tblPrEx>
        <w:trPr>
          <w:jc w:val="center"/>
        </w:trPr>
        <w:tc>
          <w:tcPr>
            <w:tcW w:w="1044" w:type="dxa"/>
            <w:vMerge w:val="restart"/>
            <w:tcBorders>
              <w:top w:val="nil"/>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102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完成值</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1029"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数量指标</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结题率</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20</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未到结题时间</w:t>
            </w: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restart"/>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质量指标</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结题等级</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0</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20</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未到结题时间</w:t>
            </w: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restart"/>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时效指标</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项目期2-3年</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未到结题时间</w:t>
            </w: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restart"/>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成本指标</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restart"/>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效益指标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（30分）</w:t>
            </w:r>
          </w:p>
        </w:tc>
        <w:tc>
          <w:tcPr>
            <w:tcW w:w="1029" w:type="dxa"/>
            <w:vMerge w:val="restart"/>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经济效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70" w:hRule="atLeast"/>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restart"/>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社会效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30</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个课题项目均已完成前期调研、数据整理、学术论文提纲撰写；中青队伍骨干项目已围绕项目团队文化传承与创新、特色校园文化建设，开展理论宣讲、调研报告撰写、学术论文刊发；思想政治工作精品项目出版学术专著2部，完成三门课程的课程思政教学案例设计，荣获省级课程思政说课竞赛一等奖1项，完成40余个课程思政案例段视频微课制作，先后在省级课程思政培训做典型经验交流分享6次，产生了较好的社会效益，达到了预期建设目标。</w:t>
            </w: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restart"/>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生态效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4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可持续影响指标</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0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restart"/>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满意度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（10分）</w:t>
            </w:r>
          </w:p>
        </w:tc>
        <w:tc>
          <w:tcPr>
            <w:tcW w:w="1029" w:type="dxa"/>
            <w:vMerge w:val="restart"/>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服务对象满意度指标</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4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43"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29"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09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6096"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总分</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88</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bl>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center"/>
        <w:rPr>
          <w:rFonts w:hint="eastAsia" w:cs="Times New Roman"/>
          <w:color w:val="auto"/>
          <w:sz w:val="32"/>
          <w:szCs w:val="32"/>
          <w:highlight w:val="none"/>
          <w:lang w:val="en-US" w:eastAsia="zh-CN"/>
        </w:rPr>
      </w:pPr>
    </w:p>
    <w:p>
      <w:pPr>
        <w:pStyle w:val="2"/>
        <w:jc w:val="both"/>
        <w:rPr>
          <w:color w:val="auto"/>
          <w:highlight w:val="none"/>
        </w:rPr>
      </w:pPr>
      <w:r>
        <w:rPr>
          <w:rFonts w:hint="eastAsia" w:cs="Times New Roman"/>
          <w:color w:val="auto"/>
          <w:sz w:val="32"/>
          <w:szCs w:val="32"/>
          <w:highlight w:val="none"/>
          <w:lang w:val="en-US" w:eastAsia="zh-CN"/>
        </w:rPr>
        <w:t>附件3-3：</w:t>
      </w:r>
    </w:p>
    <w:p>
      <w:pPr>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2020年度项目支出绩效自评表3</w:t>
      </w:r>
    </w:p>
    <w:tbl>
      <w:tblPr>
        <w:tblStyle w:val="9"/>
        <w:tblW w:w="9206"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09"/>
        <w:gridCol w:w="963"/>
        <w:gridCol w:w="950"/>
        <w:gridCol w:w="1117"/>
        <w:gridCol w:w="1527"/>
        <w:gridCol w:w="1071"/>
        <w:gridCol w:w="740"/>
        <w:gridCol w:w="78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809"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项目支</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出名称</w:t>
            </w:r>
          </w:p>
        </w:tc>
        <w:tc>
          <w:tcPr>
            <w:tcW w:w="8397" w:type="dxa"/>
            <w:gridSpan w:val="8"/>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eastAsia="zh-CN"/>
              </w:rPr>
            </w:pPr>
            <w:r>
              <w:rPr>
                <w:rFonts w:hint="eastAsia" w:eastAsia="仿宋_GB2312"/>
                <w:color w:val="auto"/>
                <w:kern w:val="0"/>
                <w:szCs w:val="21"/>
                <w:highlight w:val="none"/>
              </w:rPr>
              <w:t>高校国家奖助学金</w:t>
            </w:r>
            <w:r>
              <w:rPr>
                <w:rFonts w:hint="eastAsia" w:eastAsia="仿宋_GB2312"/>
                <w:color w:val="auto"/>
                <w:kern w:val="0"/>
                <w:szCs w:val="21"/>
                <w:highlight w:val="none"/>
                <w:lang w:eastAsia="zh-CN"/>
              </w:rPr>
              <w:t>、</w:t>
            </w:r>
            <w:r>
              <w:rPr>
                <w:rFonts w:hint="eastAsia" w:eastAsia="仿宋_GB2312"/>
                <w:color w:val="auto"/>
                <w:kern w:val="0"/>
                <w:szCs w:val="21"/>
                <w:highlight w:val="none"/>
              </w:rPr>
              <w:t>学生资助补助</w:t>
            </w:r>
            <w:r>
              <w:rPr>
                <w:rFonts w:hint="eastAsia" w:eastAsia="仿宋_GB2312"/>
                <w:color w:val="auto"/>
                <w:kern w:val="0"/>
                <w:szCs w:val="21"/>
                <w:highlight w:val="none"/>
                <w:lang w:eastAsia="zh-CN"/>
              </w:rPr>
              <w:t>、</w:t>
            </w:r>
            <w:r>
              <w:rPr>
                <w:rFonts w:hint="eastAsia" w:eastAsia="仿宋_GB2312"/>
                <w:color w:val="auto"/>
                <w:kern w:val="0"/>
                <w:szCs w:val="21"/>
                <w:highlight w:val="none"/>
              </w:rPr>
              <w:t>高校助学贷款奖补资金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主管部门</w:t>
            </w:r>
          </w:p>
        </w:tc>
        <w:tc>
          <w:tcPr>
            <w:tcW w:w="4557" w:type="dxa"/>
            <w:gridSpan w:val="4"/>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湖南</w:t>
            </w:r>
            <w:r>
              <w:rPr>
                <w:rFonts w:hint="eastAsia" w:eastAsia="仿宋_GB2312"/>
                <w:color w:val="auto"/>
                <w:kern w:val="0"/>
                <w:szCs w:val="21"/>
                <w:highlight w:val="none"/>
                <w:lang w:eastAsia="zh-CN"/>
              </w:rPr>
              <w:t>建工集团有限公司</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实施单位</w:t>
            </w:r>
          </w:p>
        </w:tc>
        <w:tc>
          <w:tcPr>
            <w:tcW w:w="2769" w:type="dxa"/>
            <w:gridSpan w:val="3"/>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eastAsia="zh-CN"/>
              </w:rPr>
            </w:pPr>
            <w:r>
              <w:rPr>
                <w:rFonts w:hint="eastAsia" w:eastAsia="仿宋_GB2312"/>
                <w:color w:val="auto"/>
                <w:kern w:val="0"/>
                <w:szCs w:val="21"/>
                <w:highlight w:val="none"/>
                <w:lang w:eastAsia="zh-CN"/>
              </w:rPr>
              <w:t>湖南城建职业技术学院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809"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项目资金</w:t>
            </w:r>
            <w:r>
              <w:rPr>
                <w:rFonts w:hint="eastAsia" w:eastAsia="仿宋_GB2312"/>
                <w:color w:val="auto"/>
                <w:kern w:val="0"/>
                <w:szCs w:val="21"/>
                <w:highlight w:val="none"/>
              </w:rPr>
              <w:br w:type="textWrapping"/>
            </w:r>
            <w:r>
              <w:rPr>
                <w:rFonts w:hint="eastAsia" w:eastAsia="仿宋_GB2312"/>
                <w:color w:val="auto"/>
                <w:kern w:val="0"/>
                <w:szCs w:val="21"/>
                <w:highlight w:val="none"/>
              </w:rPr>
              <w:t>（万元）</w:t>
            </w:r>
          </w:p>
        </w:tc>
        <w:tc>
          <w:tcPr>
            <w:tcW w:w="1913" w:type="dxa"/>
            <w:gridSpan w:val="2"/>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年初</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执行数</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执行率</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1913" w:type="dxa"/>
            <w:gridSpan w:val="2"/>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年度资金总额</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1000.595</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1000.595</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1000.595</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1913" w:type="dxa"/>
            <w:gridSpan w:val="2"/>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其中：当年财政拨款</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840.42</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840.42</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1913" w:type="dxa"/>
            <w:gridSpan w:val="2"/>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上年结转资金</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160.175</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160.175</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1913" w:type="dxa"/>
            <w:gridSpan w:val="2"/>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其他资金</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年度总体目标</w:t>
            </w:r>
          </w:p>
        </w:tc>
        <w:tc>
          <w:tcPr>
            <w:tcW w:w="4557" w:type="dxa"/>
            <w:gridSpan w:val="4"/>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预期目标</w:t>
            </w:r>
          </w:p>
        </w:tc>
        <w:tc>
          <w:tcPr>
            <w:tcW w:w="3840" w:type="dxa"/>
            <w:gridSpan w:val="4"/>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4557" w:type="dxa"/>
            <w:gridSpan w:val="4"/>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1000.595</w:t>
            </w:r>
          </w:p>
        </w:tc>
        <w:tc>
          <w:tcPr>
            <w:tcW w:w="3840" w:type="dxa"/>
            <w:gridSpan w:val="4"/>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1000.595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2" w:hRule="atLeast"/>
        </w:trPr>
        <w:tc>
          <w:tcPr>
            <w:tcW w:w="809"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96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95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完成值</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950"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数量指标</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指标1：</w:t>
            </w:r>
            <w:r>
              <w:rPr>
                <w:rFonts w:hint="eastAsia" w:eastAsia="仿宋_GB2312"/>
                <w:color w:val="auto"/>
                <w:kern w:val="0"/>
                <w:szCs w:val="21"/>
                <w:highlight w:val="none"/>
                <w:lang w:eastAsia="zh-CN"/>
              </w:rPr>
              <w:t>国家奖学金人数</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按年度指标评选</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40"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788"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4"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指标2：</w:t>
            </w:r>
            <w:r>
              <w:rPr>
                <w:rFonts w:hint="eastAsia" w:eastAsia="仿宋_GB2312"/>
                <w:color w:val="auto"/>
                <w:kern w:val="0"/>
                <w:szCs w:val="21"/>
                <w:highlight w:val="none"/>
                <w:lang w:eastAsia="zh-CN"/>
              </w:rPr>
              <w:t>受资助学生人数</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eastAsia="zh-CN"/>
              </w:rPr>
              <w:t>按年度拨款额度资助</w:t>
            </w:r>
            <w:r>
              <w:rPr>
                <w:rFonts w:hint="eastAsia" w:eastAsia="仿宋_GB2312"/>
                <w:color w:val="auto"/>
                <w:kern w:val="0"/>
                <w:szCs w:val="21"/>
                <w:highlight w:val="none"/>
              </w:rPr>
              <w:t>家庭经济困难学生</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40"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质量指标</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指标1：</w:t>
            </w:r>
            <w:r>
              <w:rPr>
                <w:rFonts w:hint="eastAsia" w:eastAsia="仿宋_GB2312"/>
                <w:color w:val="auto"/>
                <w:kern w:val="0"/>
                <w:szCs w:val="21"/>
                <w:highlight w:val="none"/>
                <w:lang w:eastAsia="zh-CN"/>
              </w:rPr>
              <w:t>下拨资助经费使用率</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071"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指标2：</w:t>
            </w:r>
            <w:r>
              <w:rPr>
                <w:rFonts w:hint="eastAsia" w:eastAsia="仿宋_GB2312"/>
                <w:color w:val="auto"/>
                <w:kern w:val="0"/>
                <w:szCs w:val="21"/>
                <w:highlight w:val="none"/>
                <w:lang w:eastAsia="zh-CN"/>
              </w:rPr>
              <w:t>资助经费发放覆盖率</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&gt;认定家庭经济困难学生</w:t>
            </w:r>
            <w:r>
              <w:rPr>
                <w:rFonts w:hint="eastAsia" w:eastAsia="仿宋_GB2312"/>
                <w:color w:val="auto"/>
                <w:kern w:val="0"/>
                <w:szCs w:val="21"/>
                <w:highlight w:val="none"/>
                <w:lang w:eastAsia="zh-CN"/>
              </w:rPr>
              <w:t>的</w:t>
            </w:r>
            <w:r>
              <w:rPr>
                <w:rFonts w:hint="eastAsia" w:eastAsia="仿宋_GB2312"/>
                <w:color w:val="auto"/>
                <w:kern w:val="0"/>
                <w:szCs w:val="21"/>
                <w:highlight w:val="none"/>
                <w:lang w:val="en-US" w:eastAsia="zh-CN"/>
              </w:rPr>
              <w:t>90%</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98%</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时效指标</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指标1：春季</w:t>
            </w:r>
            <w:r>
              <w:rPr>
                <w:rFonts w:hint="eastAsia" w:eastAsia="仿宋_GB2312"/>
                <w:color w:val="auto"/>
                <w:kern w:val="0"/>
                <w:szCs w:val="21"/>
                <w:highlight w:val="none"/>
                <w:lang w:eastAsia="zh-CN"/>
              </w:rPr>
              <w:t>助学金发放时间</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4月底前</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已完成</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指标2：</w:t>
            </w:r>
            <w:r>
              <w:rPr>
                <w:rFonts w:hint="eastAsia" w:eastAsia="仿宋_GB2312"/>
                <w:color w:val="auto"/>
                <w:kern w:val="0"/>
                <w:szCs w:val="21"/>
                <w:highlight w:val="none"/>
                <w:lang w:eastAsia="zh-CN"/>
              </w:rPr>
              <w:t>秋季国家奖助学金发放时间</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12月底前</w:t>
            </w:r>
          </w:p>
        </w:tc>
        <w:tc>
          <w:tcPr>
            <w:tcW w:w="1071"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已完成</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成本指标</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指标1：</w:t>
            </w:r>
            <w:r>
              <w:rPr>
                <w:rFonts w:hint="eastAsia" w:eastAsia="仿宋_GB2312"/>
                <w:color w:val="auto"/>
                <w:kern w:val="0"/>
                <w:szCs w:val="21"/>
                <w:highlight w:val="none"/>
                <w:lang w:eastAsia="zh-CN"/>
              </w:rPr>
              <w:t>国家奖学金额度</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8000元/人</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10.4万</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指标2：</w:t>
            </w:r>
            <w:r>
              <w:rPr>
                <w:rFonts w:hint="eastAsia" w:eastAsia="仿宋_GB2312"/>
                <w:color w:val="auto"/>
                <w:kern w:val="0"/>
                <w:szCs w:val="21"/>
                <w:highlight w:val="none"/>
                <w:lang w:eastAsia="zh-CN"/>
              </w:rPr>
              <w:t>励志奖学金额度</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5000元/人</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184.5万</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指标3：</w:t>
            </w:r>
            <w:r>
              <w:rPr>
                <w:rFonts w:hint="eastAsia" w:eastAsia="仿宋_GB2312"/>
                <w:color w:val="auto"/>
                <w:kern w:val="0"/>
                <w:szCs w:val="21"/>
                <w:highlight w:val="none"/>
                <w:lang w:eastAsia="zh-CN"/>
              </w:rPr>
              <w:t>一</w:t>
            </w:r>
            <w:r>
              <w:rPr>
                <w:rFonts w:hint="eastAsia" w:eastAsia="仿宋_GB2312"/>
                <w:color w:val="auto"/>
                <w:kern w:val="0"/>
                <w:szCs w:val="21"/>
                <w:highlight w:val="none"/>
                <w:lang w:val="en-US" w:eastAsia="zh-CN"/>
              </w:rPr>
              <w:t>/二/三等助学金</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4400/3300/2200元/人</w:t>
            </w:r>
          </w:p>
        </w:tc>
        <w:tc>
          <w:tcPr>
            <w:tcW w:w="1071"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805.695万</w:t>
            </w:r>
          </w:p>
        </w:tc>
        <w:tc>
          <w:tcPr>
            <w:tcW w:w="740"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788"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效益指标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（30分）</w:t>
            </w:r>
          </w:p>
        </w:tc>
        <w:tc>
          <w:tcPr>
            <w:tcW w:w="950"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经济效</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益指标</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指标1：</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指标2：</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社会效</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益指标</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指标1：</w:t>
            </w:r>
            <w:r>
              <w:rPr>
                <w:rFonts w:hint="eastAsia" w:eastAsia="仿宋_GB2312"/>
                <w:color w:val="auto"/>
                <w:kern w:val="0"/>
                <w:szCs w:val="21"/>
                <w:highlight w:val="none"/>
                <w:lang w:eastAsia="zh-CN"/>
              </w:rPr>
              <w:t>家庭经济困难学生辍学率</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740"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788"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指标2：</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生态效</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益指标</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指标1：</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指标2：</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963"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可持续影响指标</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指标1：受资助学生毕业率</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指标2：</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满意度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（10分）</w:t>
            </w:r>
          </w:p>
        </w:tc>
        <w:tc>
          <w:tcPr>
            <w:tcW w:w="950"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服务对象满意度指标</w:t>
            </w: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指标1：受资助学生满意度</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40"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788"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809"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63"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p>
        </w:tc>
        <w:tc>
          <w:tcPr>
            <w:tcW w:w="950" w:type="dxa"/>
            <w:vMerge w:val="continue"/>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11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指标2：</w:t>
            </w:r>
          </w:p>
        </w:tc>
        <w:tc>
          <w:tcPr>
            <w:tcW w:w="1527"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07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6437" w:type="dxa"/>
            <w:gridSpan w:val="6"/>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总分</w:t>
            </w:r>
          </w:p>
        </w:tc>
        <w:tc>
          <w:tcPr>
            <w:tcW w:w="740"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8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241"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p>
        </w:tc>
      </w:tr>
    </w:tbl>
    <w:p>
      <w:pPr>
        <w:widowControl/>
        <w:jc w:val="center"/>
        <w:rPr>
          <w:rFonts w:hint="eastAsia" w:cs="Times New Roman"/>
          <w:color w:val="auto"/>
          <w:sz w:val="32"/>
          <w:szCs w:val="32"/>
          <w:highlight w:val="none"/>
          <w:lang w:val="en-US" w:eastAsia="zh-CN"/>
        </w:rPr>
      </w:pPr>
    </w:p>
    <w:p>
      <w:pPr>
        <w:widowControl/>
        <w:jc w:val="center"/>
        <w:rPr>
          <w:rFonts w:hint="eastAsia" w:cs="Times New Roman"/>
          <w:color w:val="auto"/>
          <w:sz w:val="32"/>
          <w:szCs w:val="32"/>
          <w:highlight w:val="none"/>
          <w:lang w:val="en-US" w:eastAsia="zh-CN"/>
        </w:rPr>
      </w:pPr>
    </w:p>
    <w:p>
      <w:pPr>
        <w:widowControl/>
        <w:jc w:val="center"/>
        <w:rPr>
          <w:rFonts w:hint="eastAsia" w:cs="Times New Roman"/>
          <w:color w:val="auto"/>
          <w:sz w:val="32"/>
          <w:szCs w:val="32"/>
          <w:highlight w:val="none"/>
          <w:lang w:val="en-US" w:eastAsia="zh-CN"/>
        </w:rPr>
      </w:pPr>
    </w:p>
    <w:p>
      <w:pPr>
        <w:widowControl/>
        <w:jc w:val="center"/>
        <w:rPr>
          <w:rFonts w:hint="eastAsia" w:cs="Times New Roman"/>
          <w:color w:val="auto"/>
          <w:sz w:val="32"/>
          <w:szCs w:val="32"/>
          <w:highlight w:val="none"/>
          <w:lang w:val="en-US" w:eastAsia="zh-CN"/>
        </w:rPr>
      </w:pPr>
    </w:p>
    <w:p>
      <w:pPr>
        <w:widowControl/>
        <w:jc w:val="center"/>
        <w:rPr>
          <w:rFonts w:hint="eastAsia" w:cs="Times New Roman"/>
          <w:color w:val="auto"/>
          <w:sz w:val="32"/>
          <w:szCs w:val="32"/>
          <w:highlight w:val="none"/>
          <w:lang w:val="en-US" w:eastAsia="zh-CN"/>
        </w:rPr>
      </w:pPr>
    </w:p>
    <w:p>
      <w:pPr>
        <w:widowControl/>
        <w:jc w:val="both"/>
        <w:rPr>
          <w:color w:val="auto"/>
          <w:highlight w:val="none"/>
        </w:rPr>
      </w:pPr>
      <w:r>
        <w:rPr>
          <w:rFonts w:hint="eastAsia" w:cs="Times New Roman"/>
          <w:color w:val="auto"/>
          <w:sz w:val="32"/>
          <w:szCs w:val="32"/>
          <w:highlight w:val="none"/>
          <w:lang w:val="en-US" w:eastAsia="zh-CN"/>
        </w:rPr>
        <w:t>附件3-4：</w:t>
      </w:r>
    </w:p>
    <w:p>
      <w:pPr>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2020年度项目支出绩效自评表4</w:t>
      </w:r>
    </w:p>
    <w:tbl>
      <w:tblPr>
        <w:tblStyle w:val="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18"/>
        <w:gridCol w:w="1018"/>
        <w:gridCol w:w="1033"/>
        <w:gridCol w:w="1153"/>
        <w:gridCol w:w="1079"/>
        <w:gridCol w:w="1094"/>
        <w:gridCol w:w="779"/>
        <w:gridCol w:w="82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101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项目支</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出名称</w:t>
            </w:r>
          </w:p>
        </w:tc>
        <w:tc>
          <w:tcPr>
            <w:tcW w:w="8342" w:type="dxa"/>
            <w:gridSpan w:val="8"/>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eastAsia="zh-CN"/>
              </w:rPr>
            </w:pPr>
            <w:r>
              <w:rPr>
                <w:rFonts w:hint="eastAsia" w:eastAsia="仿宋_GB2312"/>
                <w:color w:val="auto"/>
                <w:kern w:val="0"/>
                <w:szCs w:val="21"/>
                <w:highlight w:val="none"/>
              </w:rPr>
              <w:t>应征入伍服义务兵役国家资助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主管部门</w:t>
            </w:r>
          </w:p>
        </w:tc>
        <w:tc>
          <w:tcPr>
            <w:tcW w:w="4283" w:type="dxa"/>
            <w:gridSpan w:val="4"/>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r>
              <w:rPr>
                <w:rFonts w:hint="eastAsia" w:eastAsia="仿宋_GB2312"/>
                <w:color w:val="auto"/>
                <w:kern w:val="0"/>
                <w:szCs w:val="21"/>
                <w:highlight w:val="none"/>
              </w:rPr>
              <w:t>湖南</w:t>
            </w:r>
            <w:r>
              <w:rPr>
                <w:rFonts w:hint="eastAsia" w:eastAsia="仿宋_GB2312"/>
                <w:color w:val="auto"/>
                <w:kern w:val="0"/>
                <w:szCs w:val="21"/>
                <w:highlight w:val="none"/>
                <w:lang w:eastAsia="zh-CN"/>
              </w:rPr>
              <w:t>建工集团有限公司</w:t>
            </w:r>
          </w:p>
        </w:tc>
        <w:tc>
          <w:tcPr>
            <w:tcW w:w="1094"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实施单位</w:t>
            </w:r>
          </w:p>
        </w:tc>
        <w:tc>
          <w:tcPr>
            <w:tcW w:w="2965" w:type="dxa"/>
            <w:gridSpan w:val="3"/>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eastAsia="zh-CN"/>
              </w:rPr>
            </w:pPr>
            <w:r>
              <w:rPr>
                <w:rFonts w:hint="eastAsia" w:eastAsia="仿宋_GB2312"/>
                <w:color w:val="auto"/>
                <w:kern w:val="0"/>
                <w:szCs w:val="21"/>
                <w:highlight w:val="none"/>
                <w:lang w:eastAsia="zh-CN"/>
              </w:rPr>
              <w:t>湖南城建职业技术学院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1018"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项目资金</w:t>
            </w:r>
            <w:r>
              <w:rPr>
                <w:rFonts w:hint="default" w:eastAsia="仿宋_GB2312"/>
                <w:color w:val="auto"/>
                <w:kern w:val="0"/>
                <w:szCs w:val="21"/>
                <w:highlight w:val="none"/>
              </w:rPr>
              <w:br w:type="textWrapping"/>
            </w:r>
            <w:r>
              <w:rPr>
                <w:rFonts w:hint="default" w:eastAsia="仿宋_GB2312"/>
                <w:color w:val="auto"/>
                <w:kern w:val="0"/>
                <w:szCs w:val="21"/>
                <w:highlight w:val="none"/>
              </w:rPr>
              <w:t>（万元）</w:t>
            </w:r>
          </w:p>
        </w:tc>
        <w:tc>
          <w:tcPr>
            <w:tcW w:w="2051" w:type="dxa"/>
            <w:gridSpan w:val="2"/>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年初</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预算数</w:t>
            </w:r>
          </w:p>
        </w:tc>
        <w:tc>
          <w:tcPr>
            <w:tcW w:w="1079"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预算数</w:t>
            </w:r>
          </w:p>
        </w:tc>
        <w:tc>
          <w:tcPr>
            <w:tcW w:w="1094"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执行数</w:t>
            </w:r>
          </w:p>
        </w:tc>
        <w:tc>
          <w:tcPr>
            <w:tcW w:w="779"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分值</w:t>
            </w:r>
          </w:p>
        </w:tc>
        <w:tc>
          <w:tcPr>
            <w:tcW w:w="82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执行率</w:t>
            </w:r>
          </w:p>
        </w:tc>
        <w:tc>
          <w:tcPr>
            <w:tcW w:w="136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2051" w:type="dxa"/>
            <w:gridSpan w:val="2"/>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年度资金总额</w:t>
            </w:r>
          </w:p>
        </w:tc>
        <w:tc>
          <w:tcPr>
            <w:tcW w:w="115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154.066</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154.066</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154.066</w:t>
            </w: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2051" w:type="dxa"/>
            <w:gridSpan w:val="2"/>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其中：当年财政拨款</w:t>
            </w:r>
          </w:p>
        </w:tc>
        <w:tc>
          <w:tcPr>
            <w:tcW w:w="115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207.95</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2051" w:type="dxa"/>
            <w:gridSpan w:val="2"/>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上年结转资金</w:t>
            </w: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079"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2051" w:type="dxa"/>
            <w:gridSpan w:val="2"/>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其他资金</w:t>
            </w: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079"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年度总体目标</w:t>
            </w:r>
          </w:p>
        </w:tc>
        <w:tc>
          <w:tcPr>
            <w:tcW w:w="4283" w:type="dxa"/>
            <w:gridSpan w:val="4"/>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预期目标</w:t>
            </w:r>
          </w:p>
        </w:tc>
        <w:tc>
          <w:tcPr>
            <w:tcW w:w="4059" w:type="dxa"/>
            <w:gridSpan w:val="4"/>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4283" w:type="dxa"/>
            <w:gridSpan w:val="4"/>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154.066</w:t>
            </w:r>
          </w:p>
        </w:tc>
        <w:tc>
          <w:tcPr>
            <w:tcW w:w="4059" w:type="dxa"/>
            <w:gridSpan w:val="4"/>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2" w:hRule="atLeast"/>
        </w:trPr>
        <w:tc>
          <w:tcPr>
            <w:tcW w:w="1018"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标</w:t>
            </w:r>
          </w:p>
        </w:tc>
        <w:tc>
          <w:tcPr>
            <w:tcW w:w="1018"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一级指标</w:t>
            </w:r>
          </w:p>
        </w:tc>
        <w:tc>
          <w:tcPr>
            <w:tcW w:w="103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二级指标</w:t>
            </w: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三级指标</w:t>
            </w:r>
          </w:p>
        </w:tc>
        <w:tc>
          <w:tcPr>
            <w:tcW w:w="1079"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指标值</w:t>
            </w:r>
          </w:p>
        </w:tc>
        <w:tc>
          <w:tcPr>
            <w:tcW w:w="1094"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完成值</w:t>
            </w:r>
          </w:p>
        </w:tc>
        <w:tc>
          <w:tcPr>
            <w:tcW w:w="779"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分值</w:t>
            </w:r>
          </w:p>
        </w:tc>
        <w:tc>
          <w:tcPr>
            <w:tcW w:w="82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得分</w:t>
            </w:r>
          </w:p>
        </w:tc>
        <w:tc>
          <w:tcPr>
            <w:tcW w:w="136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产出指标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(50</w:t>
            </w:r>
            <w:r>
              <w:rPr>
                <w:rFonts w:hint="eastAsia" w:eastAsia="仿宋_GB2312"/>
                <w:color w:val="auto"/>
                <w:kern w:val="0"/>
                <w:szCs w:val="21"/>
                <w:highlight w:val="none"/>
              </w:rPr>
              <w:t>分</w:t>
            </w:r>
            <w:r>
              <w:rPr>
                <w:rFonts w:hint="default" w:eastAsia="仿宋_GB2312"/>
                <w:color w:val="auto"/>
                <w:kern w:val="0"/>
                <w:szCs w:val="21"/>
                <w:highlight w:val="none"/>
              </w:rPr>
              <w:t>)</w:t>
            </w:r>
          </w:p>
        </w:tc>
        <w:tc>
          <w:tcPr>
            <w:tcW w:w="103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default" w:eastAsia="仿宋_GB2312"/>
                <w:color w:val="auto"/>
                <w:kern w:val="0"/>
                <w:szCs w:val="21"/>
                <w:highlight w:val="none"/>
                <w:lang w:val="en-US" w:eastAsia="zh-CN"/>
              </w:rPr>
              <w:t>数量指标</w:t>
            </w:r>
          </w:p>
        </w:tc>
        <w:tc>
          <w:tcPr>
            <w:tcW w:w="115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default" w:eastAsia="仿宋_GB2312"/>
                <w:color w:val="auto"/>
                <w:kern w:val="0"/>
                <w:szCs w:val="21"/>
                <w:highlight w:val="none"/>
                <w:lang w:val="en-US" w:eastAsia="zh-CN"/>
              </w:rPr>
              <w:t>指标1</w:t>
            </w:r>
            <w:r>
              <w:rPr>
                <w:rFonts w:hint="eastAsia" w:eastAsia="仿宋_GB2312"/>
                <w:color w:val="auto"/>
                <w:kern w:val="0"/>
                <w:szCs w:val="21"/>
                <w:highlight w:val="none"/>
                <w:lang w:val="en-US" w:eastAsia="zh-CN"/>
              </w:rPr>
              <w:t>：应征入伍服兵役补助学生人数</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本年度学院应征入伍学生人数</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136人</w:t>
            </w: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vMerge w:val="restart"/>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default" w:eastAsia="仿宋_GB2312"/>
                <w:color w:val="auto"/>
                <w:kern w:val="0"/>
                <w:szCs w:val="21"/>
                <w:highlight w:val="none"/>
                <w:lang w:val="en-US" w:eastAsia="zh-CN"/>
              </w:rPr>
              <w:t>质量指标</w:t>
            </w:r>
          </w:p>
        </w:tc>
        <w:tc>
          <w:tcPr>
            <w:tcW w:w="115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default" w:eastAsia="仿宋_GB2312"/>
                <w:color w:val="auto"/>
                <w:kern w:val="0"/>
                <w:szCs w:val="21"/>
                <w:highlight w:val="none"/>
                <w:lang w:val="en-US" w:eastAsia="zh-CN"/>
              </w:rPr>
              <w:t>指标1</w:t>
            </w:r>
            <w:r>
              <w:rPr>
                <w:rFonts w:hint="eastAsia" w:eastAsia="仿宋_GB2312"/>
                <w:color w:val="auto"/>
                <w:kern w:val="0"/>
                <w:szCs w:val="21"/>
                <w:highlight w:val="none"/>
                <w:lang w:val="en-US" w:eastAsia="zh-CN"/>
              </w:rPr>
              <w:t>：下拨补助经费使用率</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按本年度学院应征入伍学生人数发放</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15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default" w:eastAsia="仿宋_GB2312"/>
                <w:color w:val="auto"/>
                <w:kern w:val="0"/>
                <w:szCs w:val="21"/>
                <w:highlight w:val="none"/>
                <w:lang w:val="en-US" w:eastAsia="zh-CN"/>
              </w:rPr>
              <w:t>指标2</w:t>
            </w:r>
            <w:r>
              <w:rPr>
                <w:rFonts w:hint="eastAsia" w:eastAsia="仿宋_GB2312"/>
                <w:color w:val="auto"/>
                <w:kern w:val="0"/>
                <w:szCs w:val="21"/>
                <w:highlight w:val="none"/>
                <w:lang w:val="en-US" w:eastAsia="zh-CN"/>
              </w:rPr>
              <w:t>：补助经费发放覆盖率</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default" w:eastAsia="仿宋_GB2312"/>
                <w:color w:val="auto"/>
                <w:kern w:val="0"/>
                <w:szCs w:val="21"/>
                <w:highlight w:val="none"/>
                <w:lang w:val="en-US" w:eastAsia="zh-CN"/>
              </w:rPr>
              <w:t>时效指标</w:t>
            </w:r>
          </w:p>
        </w:tc>
        <w:tc>
          <w:tcPr>
            <w:tcW w:w="115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default" w:eastAsia="仿宋_GB2312"/>
                <w:color w:val="auto"/>
                <w:kern w:val="0"/>
                <w:szCs w:val="21"/>
                <w:highlight w:val="none"/>
                <w:lang w:val="en-US" w:eastAsia="zh-CN"/>
              </w:rPr>
              <w:t>指标1</w:t>
            </w:r>
            <w:r>
              <w:rPr>
                <w:rFonts w:hint="eastAsia" w:eastAsia="仿宋_GB2312"/>
                <w:color w:val="auto"/>
                <w:kern w:val="0"/>
                <w:szCs w:val="21"/>
                <w:highlight w:val="none"/>
                <w:lang w:val="en-US" w:eastAsia="zh-CN"/>
              </w:rPr>
              <w:t>：补助经费发放时间</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经费下拨后</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成本指标</w:t>
            </w: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指标1</w:t>
            </w:r>
            <w:r>
              <w:rPr>
                <w:rFonts w:hint="eastAsia" w:eastAsia="仿宋_GB2312"/>
                <w:color w:val="auto"/>
                <w:kern w:val="0"/>
                <w:szCs w:val="21"/>
                <w:highlight w:val="none"/>
                <w:lang w:val="en-US" w:eastAsia="zh-CN"/>
              </w:rPr>
              <w:t>：入伍学生补助标准</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按学费标准</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154.066万</w:t>
            </w: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效益指标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（30</w:t>
            </w:r>
            <w:r>
              <w:rPr>
                <w:rFonts w:hint="eastAsia" w:eastAsia="仿宋_GB2312"/>
                <w:color w:val="auto"/>
                <w:kern w:val="0"/>
                <w:szCs w:val="21"/>
                <w:highlight w:val="none"/>
              </w:rPr>
              <w:t>分）</w:t>
            </w:r>
          </w:p>
        </w:tc>
        <w:tc>
          <w:tcPr>
            <w:tcW w:w="1033"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经济效</w:t>
            </w:r>
          </w:p>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益指标</w:t>
            </w: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指标1</w:t>
            </w:r>
            <w:r>
              <w:rPr>
                <w:rFonts w:hint="eastAsia" w:eastAsia="仿宋_GB2312"/>
                <w:color w:val="auto"/>
                <w:kern w:val="0"/>
                <w:szCs w:val="21"/>
                <w:highlight w:val="none"/>
                <w:lang w:val="en-US" w:eastAsia="zh-CN"/>
              </w:rPr>
              <w:t>：</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指标2</w:t>
            </w:r>
            <w:r>
              <w:rPr>
                <w:rFonts w:hint="eastAsia" w:eastAsia="仿宋_GB2312"/>
                <w:color w:val="auto"/>
                <w:kern w:val="0"/>
                <w:szCs w:val="21"/>
                <w:highlight w:val="none"/>
                <w:lang w:val="en-US" w:eastAsia="zh-CN"/>
              </w:rPr>
              <w:t>：</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社会效</w:t>
            </w:r>
          </w:p>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益指标</w:t>
            </w: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指标1</w:t>
            </w:r>
            <w:r>
              <w:rPr>
                <w:rFonts w:hint="eastAsia" w:eastAsia="仿宋_GB2312"/>
                <w:color w:val="auto"/>
                <w:kern w:val="0"/>
                <w:szCs w:val="21"/>
                <w:highlight w:val="none"/>
                <w:lang w:val="en-US" w:eastAsia="zh-CN"/>
              </w:rPr>
              <w:t>：应征入伍学生学费资助通过率</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指标2</w:t>
            </w:r>
            <w:r>
              <w:rPr>
                <w:rFonts w:hint="eastAsia" w:eastAsia="仿宋_GB2312"/>
                <w:color w:val="auto"/>
                <w:kern w:val="0"/>
                <w:szCs w:val="21"/>
                <w:highlight w:val="none"/>
                <w:lang w:val="en-US" w:eastAsia="zh-CN"/>
              </w:rPr>
              <w:t>：</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生态效</w:t>
            </w:r>
          </w:p>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益指标</w:t>
            </w: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指标1</w:t>
            </w:r>
            <w:r>
              <w:rPr>
                <w:rFonts w:hint="eastAsia" w:eastAsia="仿宋_GB2312"/>
                <w:color w:val="auto"/>
                <w:kern w:val="0"/>
                <w:szCs w:val="21"/>
                <w:highlight w:val="none"/>
                <w:lang w:val="en-US" w:eastAsia="zh-CN"/>
              </w:rPr>
              <w:t>：</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指标2</w:t>
            </w:r>
            <w:r>
              <w:rPr>
                <w:rFonts w:hint="eastAsia" w:eastAsia="仿宋_GB2312"/>
                <w:color w:val="auto"/>
                <w:kern w:val="0"/>
                <w:szCs w:val="21"/>
                <w:highlight w:val="none"/>
                <w:lang w:val="en-US" w:eastAsia="zh-CN"/>
              </w:rPr>
              <w:t>：</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标</w:t>
            </w:r>
          </w:p>
        </w:tc>
        <w:tc>
          <w:tcPr>
            <w:tcW w:w="1018" w:type="dxa"/>
            <w:vMerge w:val="restart"/>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可持续影响指标</w:t>
            </w: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指标1</w:t>
            </w:r>
            <w:r>
              <w:rPr>
                <w:rFonts w:hint="eastAsia" w:eastAsia="仿宋_GB2312"/>
                <w:color w:val="auto"/>
                <w:kern w:val="0"/>
                <w:szCs w:val="21"/>
                <w:highlight w:val="none"/>
                <w:lang w:val="en-US" w:eastAsia="zh-CN"/>
              </w:rPr>
              <w:t>：学院应征入伍政策宣传覆盖率</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指标2</w:t>
            </w:r>
            <w:r>
              <w:rPr>
                <w:rFonts w:hint="eastAsia" w:eastAsia="仿宋_GB2312"/>
                <w:color w:val="auto"/>
                <w:kern w:val="0"/>
                <w:szCs w:val="21"/>
                <w:highlight w:val="none"/>
                <w:lang w:val="en-US" w:eastAsia="zh-CN"/>
              </w:rPr>
              <w:t>：</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满意度</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指标</w:t>
            </w:r>
          </w:p>
          <w:p>
            <w:pPr>
              <w:widowControl/>
              <w:jc w:val="center"/>
              <w:rPr>
                <w:rFonts w:hint="eastAsia" w:eastAsia="仿宋_GB2312"/>
                <w:color w:val="auto"/>
                <w:kern w:val="0"/>
                <w:szCs w:val="21"/>
                <w:highlight w:val="none"/>
              </w:rPr>
            </w:pPr>
            <w:r>
              <w:rPr>
                <w:rFonts w:hint="default" w:eastAsia="仿宋_GB2312"/>
                <w:color w:val="auto"/>
                <w:kern w:val="0"/>
                <w:szCs w:val="21"/>
                <w:highlight w:val="none"/>
              </w:rPr>
              <w:t>（10</w:t>
            </w:r>
            <w:r>
              <w:rPr>
                <w:rFonts w:hint="eastAsia" w:eastAsia="仿宋_GB2312"/>
                <w:color w:val="auto"/>
                <w:kern w:val="0"/>
                <w:szCs w:val="21"/>
                <w:highlight w:val="none"/>
              </w:rPr>
              <w:t>分）</w:t>
            </w:r>
          </w:p>
        </w:tc>
        <w:tc>
          <w:tcPr>
            <w:tcW w:w="1033" w:type="dxa"/>
            <w:vMerge w:val="restart"/>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服务对象满意度指标</w:t>
            </w: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指标1</w:t>
            </w:r>
            <w:r>
              <w:rPr>
                <w:rFonts w:hint="eastAsia" w:eastAsia="仿宋_GB2312"/>
                <w:color w:val="auto"/>
                <w:kern w:val="0"/>
                <w:szCs w:val="21"/>
                <w:highlight w:val="none"/>
                <w:lang w:val="en-US" w:eastAsia="zh-CN"/>
              </w:rPr>
              <w:t>：应征入伍学生满意度</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18"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rPr>
            </w:pPr>
          </w:p>
        </w:tc>
        <w:tc>
          <w:tcPr>
            <w:tcW w:w="1033" w:type="dxa"/>
            <w:vMerge w:val="continue"/>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c>
          <w:tcPr>
            <w:tcW w:w="1153" w:type="dxa"/>
            <w:shd w:val="clear" w:color="auto" w:fill="auto"/>
            <w:tcMar>
              <w:top w:w="75" w:type="dxa"/>
              <w:left w:w="75" w:type="dxa"/>
              <w:bottom w:w="75" w:type="dxa"/>
              <w:right w:w="75" w:type="dxa"/>
            </w:tcMar>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指标2</w:t>
            </w:r>
            <w:r>
              <w:rPr>
                <w:rFonts w:hint="eastAsia" w:eastAsia="仿宋_GB2312"/>
                <w:color w:val="auto"/>
                <w:kern w:val="0"/>
                <w:szCs w:val="21"/>
                <w:highlight w:val="none"/>
                <w:lang w:val="en-US" w:eastAsia="zh-CN"/>
              </w:rPr>
              <w:t>：应征入伍学生家长满意度</w:t>
            </w:r>
          </w:p>
        </w:tc>
        <w:tc>
          <w:tcPr>
            <w:tcW w:w="10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094"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rPr>
        <w:tc>
          <w:tcPr>
            <w:tcW w:w="6395" w:type="dxa"/>
            <w:gridSpan w:val="6"/>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default" w:eastAsia="仿宋_GB2312"/>
                <w:color w:val="auto"/>
                <w:kern w:val="0"/>
                <w:szCs w:val="21"/>
                <w:highlight w:val="none"/>
                <w:lang w:val="en-US" w:eastAsia="zh-CN"/>
              </w:rPr>
              <w:t>总分</w:t>
            </w:r>
          </w:p>
        </w:tc>
        <w:tc>
          <w:tcPr>
            <w:tcW w:w="779"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default" w:eastAsia="仿宋_GB2312"/>
                <w:color w:val="auto"/>
                <w:kern w:val="0"/>
                <w:szCs w:val="21"/>
                <w:highlight w:val="none"/>
                <w:lang w:val="en-US" w:eastAsia="zh-CN"/>
              </w:rPr>
              <w:t>100</w:t>
            </w:r>
          </w:p>
        </w:tc>
        <w:tc>
          <w:tcPr>
            <w:tcW w:w="82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363" w:type="dxa"/>
            <w:shd w:val="clear" w:color="auto" w:fill="auto"/>
            <w:tcMar>
              <w:top w:w="75" w:type="dxa"/>
              <w:left w:w="75" w:type="dxa"/>
              <w:bottom w:w="75" w:type="dxa"/>
              <w:right w:w="75" w:type="dxa"/>
            </w:tcMar>
            <w:vAlign w:val="center"/>
          </w:tcPr>
          <w:p>
            <w:pPr>
              <w:widowControl/>
              <w:jc w:val="center"/>
              <w:rPr>
                <w:rFonts w:hint="default" w:eastAsia="仿宋_GB2312"/>
                <w:color w:val="auto"/>
                <w:kern w:val="0"/>
                <w:szCs w:val="21"/>
                <w:highlight w:val="none"/>
                <w:lang w:val="en-US" w:eastAsia="zh-CN"/>
              </w:rPr>
            </w:pPr>
          </w:p>
        </w:tc>
      </w:tr>
    </w:tbl>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both"/>
        <w:rPr>
          <w:color w:val="auto"/>
          <w:highlight w:val="none"/>
        </w:rPr>
      </w:pPr>
      <w:r>
        <w:rPr>
          <w:rFonts w:hint="eastAsia" w:cs="Times New Roman"/>
          <w:color w:val="auto"/>
          <w:sz w:val="32"/>
          <w:szCs w:val="32"/>
          <w:highlight w:val="none"/>
          <w:lang w:val="en-US" w:eastAsia="zh-CN"/>
        </w:rPr>
        <w:t>附件3-5：</w:t>
      </w:r>
    </w:p>
    <w:p>
      <w:pPr>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2020年度项目支出绩效自评表5</w:t>
      </w:r>
    </w:p>
    <w:tbl>
      <w:tblPr>
        <w:tblStyle w:val="9"/>
        <w:tblW w:w="9851" w:type="dxa"/>
        <w:jc w:val="center"/>
        <w:tblLayout w:type="fixed"/>
        <w:tblCellMar>
          <w:top w:w="0" w:type="dxa"/>
          <w:left w:w="108" w:type="dxa"/>
          <w:bottom w:w="0" w:type="dxa"/>
          <w:right w:w="108" w:type="dxa"/>
        </w:tblCellMar>
      </w:tblPr>
      <w:tblGrid>
        <w:gridCol w:w="751"/>
        <w:gridCol w:w="667"/>
        <w:gridCol w:w="733"/>
        <w:gridCol w:w="1384"/>
        <w:gridCol w:w="1350"/>
        <w:gridCol w:w="1350"/>
        <w:gridCol w:w="999"/>
        <w:gridCol w:w="1496"/>
        <w:gridCol w:w="1121"/>
      </w:tblGrid>
      <w:tr>
        <w:tblPrEx>
          <w:tblCellMar>
            <w:top w:w="0" w:type="dxa"/>
            <w:left w:w="108" w:type="dxa"/>
            <w:bottom w:w="0" w:type="dxa"/>
            <w:right w:w="108" w:type="dxa"/>
          </w:tblCellMar>
        </w:tblPrEx>
        <w:trPr>
          <w:trHeight w:val="1088"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项目支出名称</w:t>
            </w:r>
          </w:p>
        </w:tc>
        <w:tc>
          <w:tcPr>
            <w:tcW w:w="910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职业院校教师素质提高计划</w:t>
            </w:r>
          </w:p>
        </w:tc>
      </w:tr>
      <w:tr>
        <w:tblPrEx>
          <w:tblCellMar>
            <w:top w:w="0" w:type="dxa"/>
            <w:left w:w="108" w:type="dxa"/>
            <w:bottom w:w="0" w:type="dxa"/>
            <w:right w:w="108" w:type="dxa"/>
          </w:tblCellMar>
        </w:tblPrEx>
        <w:trPr>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主管部门</w:t>
            </w:r>
          </w:p>
        </w:tc>
        <w:tc>
          <w:tcPr>
            <w:tcW w:w="413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湖南</w:t>
            </w:r>
            <w:r>
              <w:rPr>
                <w:rFonts w:hint="eastAsia" w:eastAsia="仿宋_GB2312"/>
                <w:color w:val="auto"/>
                <w:kern w:val="0"/>
                <w:szCs w:val="21"/>
                <w:highlight w:val="none"/>
                <w:lang w:eastAsia="zh-CN"/>
              </w:rPr>
              <w:t>建工集团有限公司</w:t>
            </w:r>
          </w:p>
        </w:tc>
        <w:tc>
          <w:tcPr>
            <w:tcW w:w="135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实施单位</w:t>
            </w:r>
          </w:p>
        </w:tc>
        <w:tc>
          <w:tcPr>
            <w:tcW w:w="36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湖南城建职业技术学院</w:t>
            </w:r>
          </w:p>
        </w:tc>
      </w:tr>
      <w:tr>
        <w:tblPrEx>
          <w:tblCellMar>
            <w:top w:w="0" w:type="dxa"/>
            <w:left w:w="108" w:type="dxa"/>
            <w:bottom w:w="0" w:type="dxa"/>
            <w:right w:w="108" w:type="dxa"/>
          </w:tblCellMar>
        </w:tblPrEx>
        <w:trPr>
          <w:jc w:val="center"/>
        </w:trPr>
        <w:tc>
          <w:tcPr>
            <w:tcW w:w="7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项目资金</w:t>
            </w:r>
            <w:r>
              <w:rPr>
                <w:rFonts w:hint="eastAsia" w:eastAsia="仿宋_GB2312"/>
                <w:color w:val="auto"/>
                <w:kern w:val="0"/>
                <w:szCs w:val="21"/>
                <w:highlight w:val="none"/>
                <w:lang w:val="en-US" w:eastAsia="zh-CN"/>
              </w:rPr>
              <w:br w:type="textWrapping"/>
            </w:r>
            <w:r>
              <w:rPr>
                <w:rFonts w:hint="eastAsia" w:eastAsia="仿宋_GB2312"/>
                <w:color w:val="auto"/>
                <w:kern w:val="0"/>
                <w:szCs w:val="21"/>
                <w:highlight w:val="none"/>
                <w:lang w:val="en-US" w:eastAsia="zh-CN"/>
              </w:rPr>
              <w:t>（万元）</w:t>
            </w:r>
          </w:p>
        </w:tc>
        <w:tc>
          <w:tcPr>
            <w:tcW w:w="14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年初</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预算数</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全年</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预算数</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全年</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执行数</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分值</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执行率</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得分</w:t>
            </w:r>
          </w:p>
        </w:tc>
      </w:tr>
      <w:tr>
        <w:tblPrEx>
          <w:tblCellMar>
            <w:top w:w="0" w:type="dxa"/>
            <w:left w:w="108" w:type="dxa"/>
            <w:bottom w:w="0" w:type="dxa"/>
            <w:right w:w="108" w:type="dxa"/>
          </w:tblCellMar>
        </w:tblPrEx>
        <w:trPr>
          <w:jc w:val="center"/>
        </w:trPr>
        <w:tc>
          <w:tcPr>
            <w:tcW w:w="751"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lang w:val="en-US" w:eastAsia="zh-CN"/>
              </w:rPr>
            </w:pPr>
          </w:p>
        </w:tc>
        <w:tc>
          <w:tcPr>
            <w:tcW w:w="14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年度资金总额</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0.9</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0.9</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1.5144</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168%</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r>
      <w:tr>
        <w:tblPrEx>
          <w:tblCellMar>
            <w:top w:w="0" w:type="dxa"/>
            <w:left w:w="108" w:type="dxa"/>
            <w:bottom w:w="0" w:type="dxa"/>
            <w:right w:w="108" w:type="dxa"/>
          </w:tblCellMar>
        </w:tblPrEx>
        <w:trPr>
          <w:jc w:val="center"/>
        </w:trPr>
        <w:tc>
          <w:tcPr>
            <w:tcW w:w="751"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lang w:val="en-US" w:eastAsia="zh-CN"/>
              </w:rPr>
            </w:pPr>
          </w:p>
        </w:tc>
        <w:tc>
          <w:tcPr>
            <w:tcW w:w="14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其中：当年财政拨款</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0.9</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0.9</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jc w:val="center"/>
        </w:trPr>
        <w:tc>
          <w:tcPr>
            <w:tcW w:w="751"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lang w:val="en-US" w:eastAsia="zh-CN"/>
              </w:rPr>
            </w:pPr>
          </w:p>
        </w:tc>
        <w:tc>
          <w:tcPr>
            <w:tcW w:w="14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上年结转资金</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579" w:hRule="atLeast"/>
          <w:jc w:val="center"/>
        </w:trPr>
        <w:tc>
          <w:tcPr>
            <w:tcW w:w="751"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lang w:val="en-US" w:eastAsia="zh-CN"/>
              </w:rPr>
            </w:pPr>
          </w:p>
        </w:tc>
        <w:tc>
          <w:tcPr>
            <w:tcW w:w="14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其他资金</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jc w:val="center"/>
        </w:trPr>
        <w:tc>
          <w:tcPr>
            <w:tcW w:w="7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年度总体目标</w:t>
            </w:r>
          </w:p>
        </w:tc>
        <w:tc>
          <w:tcPr>
            <w:tcW w:w="41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预期目标</w:t>
            </w:r>
          </w:p>
        </w:tc>
        <w:tc>
          <w:tcPr>
            <w:tcW w:w="496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实际完成情况</w:t>
            </w:r>
          </w:p>
        </w:tc>
      </w:tr>
      <w:tr>
        <w:tblPrEx>
          <w:tblCellMar>
            <w:top w:w="0" w:type="dxa"/>
            <w:left w:w="108" w:type="dxa"/>
            <w:bottom w:w="0" w:type="dxa"/>
            <w:right w:w="108" w:type="dxa"/>
          </w:tblCellMar>
        </w:tblPrEx>
        <w:trPr>
          <w:jc w:val="center"/>
        </w:trPr>
        <w:tc>
          <w:tcPr>
            <w:tcW w:w="751"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lang w:val="en-US" w:eastAsia="zh-CN"/>
              </w:rPr>
            </w:pPr>
          </w:p>
        </w:tc>
        <w:tc>
          <w:tcPr>
            <w:tcW w:w="41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完成培训4人次</w:t>
            </w:r>
          </w:p>
        </w:tc>
        <w:tc>
          <w:tcPr>
            <w:tcW w:w="496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完成培训4人次</w:t>
            </w:r>
          </w:p>
        </w:tc>
      </w:tr>
      <w:tr>
        <w:tblPrEx>
          <w:tblCellMar>
            <w:top w:w="0" w:type="dxa"/>
            <w:left w:w="108" w:type="dxa"/>
            <w:bottom w:w="0" w:type="dxa"/>
            <w:right w:w="108" w:type="dxa"/>
          </w:tblCellMar>
        </w:tblPrEx>
        <w:trPr>
          <w:jc w:val="center"/>
        </w:trPr>
        <w:tc>
          <w:tcPr>
            <w:tcW w:w="751" w:type="dxa"/>
            <w:vMerge w:val="restart"/>
            <w:tcBorders>
              <w:top w:val="nil"/>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绩</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效</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标</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一级指标</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二级指标</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三级指标</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年度</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指标值</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实际</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完成值</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分值</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得分</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偏差原因</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分析及</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改进措施</w:t>
            </w:r>
          </w:p>
        </w:tc>
      </w:tr>
      <w:tr>
        <w:tblPrEx>
          <w:tblCellMar>
            <w:top w:w="0" w:type="dxa"/>
            <w:left w:w="108" w:type="dxa"/>
            <w:bottom w:w="0" w:type="dxa"/>
            <w:right w:w="108" w:type="dxa"/>
          </w:tblCellMar>
        </w:tblPrEx>
        <w:trPr>
          <w:trHeight w:val="1729"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p>
            <w:pPr>
              <w:widowControl/>
              <w:jc w:val="center"/>
              <w:rPr>
                <w:rFonts w:hint="eastAsia" w:eastAsia="仿宋_GB2312"/>
                <w:color w:val="auto"/>
                <w:kern w:val="0"/>
                <w:szCs w:val="21"/>
                <w:highlight w:val="none"/>
                <w:lang w:val="en-US" w:eastAsia="zh-CN"/>
              </w:rPr>
            </w:pPr>
          </w:p>
          <w:p>
            <w:pPr>
              <w:widowControl/>
              <w:jc w:val="center"/>
              <w:rPr>
                <w:rFonts w:hint="eastAsia" w:eastAsia="仿宋_GB2312"/>
                <w:color w:val="auto"/>
                <w:kern w:val="0"/>
                <w:szCs w:val="21"/>
                <w:highlight w:val="none"/>
                <w:lang w:val="en-US" w:eastAsia="zh-CN"/>
              </w:rPr>
            </w:pPr>
          </w:p>
          <w:p>
            <w:pPr>
              <w:widowControl/>
              <w:jc w:val="center"/>
              <w:rPr>
                <w:rFonts w:hint="eastAsia" w:eastAsia="仿宋_GB2312"/>
                <w:color w:val="auto"/>
                <w:kern w:val="0"/>
                <w:szCs w:val="21"/>
                <w:highlight w:val="none"/>
                <w:lang w:val="en-US" w:eastAsia="zh-CN"/>
              </w:rPr>
            </w:pPr>
          </w:p>
          <w:p>
            <w:pPr>
              <w:widowControl/>
              <w:jc w:val="center"/>
              <w:rPr>
                <w:rFonts w:hint="eastAsia" w:eastAsia="仿宋_GB2312"/>
                <w:color w:val="auto"/>
                <w:kern w:val="0"/>
                <w:szCs w:val="21"/>
                <w:highlight w:val="none"/>
                <w:lang w:val="en-US" w:eastAsia="zh-CN"/>
              </w:rPr>
            </w:pPr>
          </w:p>
          <w:p>
            <w:pPr>
              <w:widowControl/>
              <w:jc w:val="center"/>
              <w:rPr>
                <w:rFonts w:hint="eastAsia" w:eastAsia="仿宋_GB2312"/>
                <w:color w:val="auto"/>
                <w:kern w:val="0"/>
                <w:szCs w:val="21"/>
                <w:highlight w:val="none"/>
                <w:lang w:val="en-US" w:eastAsia="zh-CN"/>
              </w:rPr>
            </w:pPr>
          </w:p>
          <w:p>
            <w:pPr>
              <w:widowControl/>
              <w:jc w:val="center"/>
              <w:rPr>
                <w:rFonts w:hint="eastAsia" w:eastAsia="仿宋_GB2312"/>
                <w:color w:val="auto"/>
                <w:kern w:val="0"/>
                <w:szCs w:val="21"/>
                <w:highlight w:val="none"/>
                <w:lang w:val="en-US" w:eastAsia="zh-CN"/>
              </w:rPr>
            </w:pPr>
          </w:p>
          <w:p>
            <w:pPr>
              <w:widowControl/>
              <w:jc w:val="center"/>
              <w:rPr>
                <w:rFonts w:hint="eastAsia" w:eastAsia="仿宋_GB2312"/>
                <w:color w:val="auto"/>
                <w:kern w:val="0"/>
                <w:szCs w:val="21"/>
                <w:highlight w:val="none"/>
                <w:lang w:val="en-US" w:eastAsia="zh-CN"/>
              </w:rPr>
            </w:pPr>
          </w:p>
          <w:p>
            <w:pPr>
              <w:widowControl/>
              <w:jc w:val="center"/>
              <w:rPr>
                <w:rFonts w:hint="eastAsia" w:eastAsia="仿宋_GB2312"/>
                <w:color w:val="auto"/>
                <w:kern w:val="0"/>
                <w:szCs w:val="21"/>
                <w:highlight w:val="none"/>
                <w:lang w:val="en-US" w:eastAsia="zh-CN"/>
              </w:rPr>
            </w:pP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产出指标</w:t>
            </w:r>
          </w:p>
          <w:p>
            <w:pPr>
              <w:widowControl/>
              <w:jc w:val="center"/>
              <w:rPr>
                <w:rFonts w:hint="eastAsia" w:eastAsia="仿宋_GB2312"/>
                <w:color w:val="auto"/>
                <w:kern w:val="0"/>
                <w:szCs w:val="21"/>
                <w:highlight w:val="none"/>
                <w:lang w:val="en-US" w:eastAsia="zh-CN"/>
              </w:rPr>
            </w:pP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(50分)</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数量指标</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培训人次</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计划参培4人次</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实际参培4人次</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1549"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质量指标</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完成培训人次</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计划完成培训4人次</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实际完成培训4人次</w:t>
            </w:r>
          </w:p>
        </w:tc>
        <w:tc>
          <w:tcPr>
            <w:tcW w:w="9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14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11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624"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时效指标</w:t>
            </w: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教学副校长专题培训</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2020年11.27-11.30</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2020年11.27-11.30</w:t>
            </w:r>
          </w:p>
        </w:tc>
        <w:tc>
          <w:tcPr>
            <w:tcW w:w="9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1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624"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教务处长专题培训</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2020年11.14-11.18</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2020年11.14-11.18</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624"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科研副校长专题培训</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2020年12</w:t>
            </w:r>
            <w:r>
              <w:rPr>
                <w:rFonts w:hint="eastAsia" w:eastAsia="仿宋_GB2312"/>
                <w:color w:val="auto"/>
                <w:kern w:val="0"/>
                <w:szCs w:val="21"/>
                <w:highlight w:val="none"/>
                <w:lang w:val="en-US" w:eastAsia="zh-CN"/>
              </w:rPr>
              <w:t>.</w:t>
            </w:r>
            <w:r>
              <w:rPr>
                <w:rFonts w:hint="default" w:eastAsia="仿宋_GB2312"/>
                <w:color w:val="auto"/>
                <w:kern w:val="0"/>
                <w:szCs w:val="21"/>
                <w:highlight w:val="none"/>
                <w:lang w:val="en-US" w:eastAsia="zh-CN"/>
              </w:rPr>
              <w:t>25 -12</w:t>
            </w:r>
            <w:r>
              <w:rPr>
                <w:rFonts w:hint="eastAsia" w:eastAsia="仿宋_GB2312"/>
                <w:color w:val="auto"/>
                <w:kern w:val="0"/>
                <w:szCs w:val="21"/>
                <w:highlight w:val="none"/>
                <w:lang w:val="en-US" w:eastAsia="zh-CN"/>
              </w:rPr>
              <w:t>.</w:t>
            </w:r>
            <w:r>
              <w:rPr>
                <w:rFonts w:hint="default" w:eastAsia="仿宋_GB2312"/>
                <w:color w:val="auto"/>
                <w:kern w:val="0"/>
                <w:szCs w:val="21"/>
                <w:highlight w:val="none"/>
                <w:lang w:val="en-US" w:eastAsia="zh-CN"/>
              </w:rPr>
              <w:t>27</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default" w:eastAsia="仿宋_GB2312"/>
                <w:color w:val="auto"/>
                <w:kern w:val="0"/>
                <w:szCs w:val="21"/>
                <w:highlight w:val="none"/>
                <w:lang w:val="en-US" w:eastAsia="zh-CN"/>
              </w:rPr>
              <w:t>202</w:t>
            </w:r>
            <w:r>
              <w:rPr>
                <w:rFonts w:hint="eastAsia" w:eastAsia="仿宋_GB2312"/>
                <w:color w:val="auto"/>
                <w:kern w:val="0"/>
                <w:szCs w:val="21"/>
                <w:highlight w:val="none"/>
                <w:lang w:val="en-US" w:eastAsia="zh-CN"/>
              </w:rPr>
              <w:t>1</w:t>
            </w:r>
            <w:r>
              <w:rPr>
                <w:rFonts w:hint="default" w:eastAsia="仿宋_GB2312"/>
                <w:color w:val="auto"/>
                <w:kern w:val="0"/>
                <w:szCs w:val="21"/>
                <w:highlight w:val="none"/>
                <w:lang w:val="en-US" w:eastAsia="zh-CN"/>
              </w:rPr>
              <w:t>年</w:t>
            </w:r>
            <w:r>
              <w:rPr>
                <w:rFonts w:hint="eastAsia" w:eastAsia="仿宋_GB2312"/>
                <w:color w:val="auto"/>
                <w:kern w:val="0"/>
                <w:szCs w:val="21"/>
                <w:highlight w:val="none"/>
                <w:lang w:val="en-US" w:eastAsia="zh-CN"/>
              </w:rPr>
              <w:t>4.8-4.18</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1.5</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疫情原因延期</w:t>
            </w:r>
          </w:p>
        </w:tc>
      </w:tr>
      <w:tr>
        <w:tblPrEx>
          <w:tblCellMar>
            <w:top w:w="0" w:type="dxa"/>
            <w:left w:w="108" w:type="dxa"/>
            <w:bottom w:w="0" w:type="dxa"/>
            <w:right w:w="108" w:type="dxa"/>
          </w:tblCellMar>
        </w:tblPrEx>
        <w:trPr>
          <w:trHeight w:val="624"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科研处长专题培训</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default" w:eastAsia="仿宋_GB2312"/>
                <w:color w:val="auto"/>
                <w:kern w:val="0"/>
                <w:szCs w:val="21"/>
                <w:highlight w:val="none"/>
                <w:lang w:val="en-US" w:eastAsia="zh-CN"/>
              </w:rPr>
              <w:t>2020年12</w:t>
            </w:r>
            <w:r>
              <w:rPr>
                <w:rFonts w:hint="eastAsia" w:eastAsia="仿宋_GB2312"/>
                <w:color w:val="auto"/>
                <w:kern w:val="0"/>
                <w:szCs w:val="21"/>
                <w:highlight w:val="none"/>
                <w:lang w:val="en-US" w:eastAsia="zh-CN"/>
              </w:rPr>
              <w:t>.</w:t>
            </w:r>
            <w:r>
              <w:rPr>
                <w:rFonts w:hint="default" w:eastAsia="仿宋_GB2312"/>
                <w:color w:val="auto"/>
                <w:kern w:val="0"/>
                <w:szCs w:val="21"/>
                <w:highlight w:val="none"/>
                <w:lang w:val="en-US" w:eastAsia="zh-CN"/>
              </w:rPr>
              <w:t xml:space="preserve">18 </w:t>
            </w:r>
            <w:r>
              <w:rPr>
                <w:rFonts w:hint="eastAsia" w:eastAsia="仿宋_GB2312"/>
                <w:color w:val="auto"/>
                <w:kern w:val="0"/>
                <w:szCs w:val="21"/>
                <w:highlight w:val="none"/>
                <w:lang w:val="en-US" w:eastAsia="zh-CN"/>
              </w:rPr>
              <w:t>-</w:t>
            </w:r>
            <w:r>
              <w:rPr>
                <w:rFonts w:hint="default" w:eastAsia="仿宋_GB2312"/>
                <w:color w:val="auto"/>
                <w:kern w:val="0"/>
                <w:szCs w:val="21"/>
                <w:highlight w:val="none"/>
                <w:lang w:val="en-US" w:eastAsia="zh-CN"/>
              </w:rPr>
              <w:t>12</w:t>
            </w:r>
            <w:r>
              <w:rPr>
                <w:rFonts w:hint="eastAsia" w:eastAsia="仿宋_GB2312"/>
                <w:color w:val="auto"/>
                <w:kern w:val="0"/>
                <w:szCs w:val="21"/>
                <w:highlight w:val="none"/>
                <w:lang w:val="en-US" w:eastAsia="zh-CN"/>
              </w:rPr>
              <w:t>.</w:t>
            </w:r>
            <w:r>
              <w:rPr>
                <w:rFonts w:hint="default" w:eastAsia="仿宋_GB2312"/>
                <w:color w:val="auto"/>
                <w:kern w:val="0"/>
                <w:szCs w:val="21"/>
                <w:highlight w:val="none"/>
                <w:lang w:val="en-US" w:eastAsia="zh-CN"/>
              </w:rPr>
              <w:t>20</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default" w:eastAsia="仿宋_GB2312"/>
                <w:color w:val="auto"/>
                <w:kern w:val="0"/>
                <w:szCs w:val="21"/>
                <w:highlight w:val="none"/>
                <w:lang w:val="en-US" w:eastAsia="zh-CN"/>
              </w:rPr>
              <w:t>2020年12</w:t>
            </w:r>
            <w:r>
              <w:rPr>
                <w:rFonts w:hint="eastAsia" w:eastAsia="仿宋_GB2312"/>
                <w:color w:val="auto"/>
                <w:kern w:val="0"/>
                <w:szCs w:val="21"/>
                <w:highlight w:val="none"/>
                <w:lang w:val="en-US" w:eastAsia="zh-CN"/>
              </w:rPr>
              <w:t>.</w:t>
            </w:r>
            <w:r>
              <w:rPr>
                <w:rFonts w:hint="default" w:eastAsia="仿宋_GB2312"/>
                <w:color w:val="auto"/>
                <w:kern w:val="0"/>
                <w:szCs w:val="21"/>
                <w:highlight w:val="none"/>
                <w:lang w:val="en-US" w:eastAsia="zh-CN"/>
              </w:rPr>
              <w:t xml:space="preserve">18 </w:t>
            </w:r>
            <w:r>
              <w:rPr>
                <w:rFonts w:hint="eastAsia" w:eastAsia="仿宋_GB2312"/>
                <w:color w:val="auto"/>
                <w:kern w:val="0"/>
                <w:szCs w:val="21"/>
                <w:highlight w:val="none"/>
                <w:lang w:val="en-US" w:eastAsia="zh-CN"/>
              </w:rPr>
              <w:t>-</w:t>
            </w:r>
            <w:r>
              <w:rPr>
                <w:rFonts w:hint="default" w:eastAsia="仿宋_GB2312"/>
                <w:color w:val="auto"/>
                <w:kern w:val="0"/>
                <w:szCs w:val="21"/>
                <w:highlight w:val="none"/>
                <w:lang w:val="en-US" w:eastAsia="zh-CN"/>
              </w:rPr>
              <w:t>12</w:t>
            </w:r>
            <w:r>
              <w:rPr>
                <w:rFonts w:hint="eastAsia" w:eastAsia="仿宋_GB2312"/>
                <w:color w:val="auto"/>
                <w:kern w:val="0"/>
                <w:szCs w:val="21"/>
                <w:highlight w:val="none"/>
                <w:lang w:val="en-US" w:eastAsia="zh-CN"/>
              </w:rPr>
              <w:t>.</w:t>
            </w:r>
            <w:r>
              <w:rPr>
                <w:rFonts w:hint="default" w:eastAsia="仿宋_GB2312"/>
                <w:color w:val="auto"/>
                <w:kern w:val="0"/>
                <w:szCs w:val="21"/>
                <w:highlight w:val="none"/>
                <w:lang w:val="en-US" w:eastAsia="zh-CN"/>
              </w:rPr>
              <w:t>20</w:t>
            </w:r>
          </w:p>
        </w:tc>
        <w:tc>
          <w:tcPr>
            <w:tcW w:w="9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1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624"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成本指标</w:t>
            </w:r>
          </w:p>
        </w:tc>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教学副校长专题培训</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2800元</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3917元</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w:t>
            </w:r>
          </w:p>
        </w:tc>
        <w:tc>
          <w:tcPr>
            <w:tcW w:w="1121"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培训地点均距离较远，产生一定的交通费、住宿费、差旅费。</w:t>
            </w:r>
          </w:p>
        </w:tc>
      </w:tr>
      <w:tr>
        <w:tblPrEx>
          <w:tblCellMar>
            <w:top w:w="0" w:type="dxa"/>
            <w:left w:w="108" w:type="dxa"/>
            <w:bottom w:w="0" w:type="dxa"/>
            <w:right w:w="108" w:type="dxa"/>
          </w:tblCellMar>
        </w:tblPrEx>
        <w:trPr>
          <w:trHeight w:val="624"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教务处长专题培训</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2800元</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3967元</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w:t>
            </w:r>
          </w:p>
        </w:tc>
        <w:tc>
          <w:tcPr>
            <w:tcW w:w="1121"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624"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科研副院长专题培训</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1700元</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3947元</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w:t>
            </w:r>
          </w:p>
        </w:tc>
        <w:tc>
          <w:tcPr>
            <w:tcW w:w="1121"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696"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科研处长专题培训</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1700元</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3363元</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w:t>
            </w:r>
          </w:p>
        </w:tc>
        <w:tc>
          <w:tcPr>
            <w:tcW w:w="1121"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434"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效益指标</w:t>
            </w:r>
          </w:p>
          <w:p>
            <w:pPr>
              <w:widowControl/>
              <w:jc w:val="center"/>
              <w:rPr>
                <w:rFonts w:hint="eastAsia" w:eastAsia="仿宋_GB2312"/>
                <w:color w:val="auto"/>
                <w:kern w:val="0"/>
                <w:szCs w:val="21"/>
                <w:highlight w:val="none"/>
                <w:lang w:val="en-US" w:eastAsia="zh-CN"/>
              </w:rPr>
            </w:pP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（30分）</w:t>
            </w:r>
          </w:p>
        </w:tc>
        <w:tc>
          <w:tcPr>
            <w:tcW w:w="733"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经济效</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益指标</w:t>
            </w: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434"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467"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410"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社会效</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益指标</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434"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451"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468"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生态效</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益指标</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417"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474" w:hRule="atLeast"/>
          <w:jc w:val="center"/>
        </w:trPr>
        <w:tc>
          <w:tcPr>
            <w:tcW w:w="7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490" w:hRule="atLeast"/>
          <w:jc w:val="center"/>
        </w:trPr>
        <w:tc>
          <w:tcPr>
            <w:tcW w:w="7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绩</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效</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标</w:t>
            </w:r>
          </w:p>
        </w:tc>
        <w:tc>
          <w:tcPr>
            <w:tcW w:w="6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可持续影响指标</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540"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530"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921"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restart"/>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服务对象满意度指标</w:t>
            </w: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教学副校长专题培训</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满意度达95%</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满意度100%</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921"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满意度</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（10分）</w:t>
            </w:r>
          </w:p>
        </w:tc>
        <w:tc>
          <w:tcPr>
            <w:tcW w:w="73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教务处长专题培训</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满意度达95%</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满意度100%</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905" w:hRule="atLeast"/>
          <w:jc w:val="center"/>
        </w:trPr>
        <w:tc>
          <w:tcPr>
            <w:tcW w:w="751"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科研副院长专题培训</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满意度达95%</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满意度100%</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624" w:hRule="atLeast"/>
          <w:jc w:val="center"/>
        </w:trPr>
        <w:tc>
          <w:tcPr>
            <w:tcW w:w="7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667"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733"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科研处长专题培训</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满意度达95%</w:t>
            </w: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满意度100%</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2.5</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r>
        <w:tblPrEx>
          <w:tblCellMar>
            <w:top w:w="0" w:type="dxa"/>
            <w:left w:w="108" w:type="dxa"/>
            <w:bottom w:w="0" w:type="dxa"/>
            <w:right w:w="108" w:type="dxa"/>
          </w:tblCellMar>
        </w:tblPrEx>
        <w:trPr>
          <w:trHeight w:val="505" w:hRule="atLeast"/>
          <w:jc w:val="center"/>
        </w:trPr>
        <w:tc>
          <w:tcPr>
            <w:tcW w:w="6235"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总分</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496"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97</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p>
        </w:tc>
      </w:tr>
    </w:tbl>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both"/>
        <w:rPr>
          <w:color w:val="auto"/>
          <w:highlight w:val="none"/>
        </w:rPr>
      </w:pPr>
      <w:r>
        <w:rPr>
          <w:rFonts w:hint="eastAsia" w:cs="Times New Roman"/>
          <w:color w:val="auto"/>
          <w:sz w:val="32"/>
          <w:szCs w:val="32"/>
          <w:highlight w:val="none"/>
          <w:lang w:val="en-US" w:eastAsia="zh-CN"/>
        </w:rPr>
        <w:t>附件3-6：</w:t>
      </w:r>
    </w:p>
    <w:p>
      <w:pPr>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2020年度项目支出绩效自评表6</w:t>
      </w:r>
    </w:p>
    <w:tbl>
      <w:tblPr>
        <w:tblStyle w:val="9"/>
        <w:tblW w:w="8844" w:type="dxa"/>
        <w:tblInd w:w="-15" w:type="dxa"/>
        <w:tblLayout w:type="fixed"/>
        <w:tblCellMar>
          <w:top w:w="0" w:type="dxa"/>
          <w:left w:w="0" w:type="dxa"/>
          <w:bottom w:w="0" w:type="dxa"/>
          <w:right w:w="0" w:type="dxa"/>
        </w:tblCellMar>
      </w:tblPr>
      <w:tblGrid>
        <w:gridCol w:w="495"/>
        <w:gridCol w:w="478"/>
        <w:gridCol w:w="886"/>
        <w:gridCol w:w="1883"/>
        <w:gridCol w:w="1455"/>
        <w:gridCol w:w="1005"/>
        <w:gridCol w:w="902"/>
        <w:gridCol w:w="1740"/>
      </w:tblGrid>
      <w:tr>
        <w:tblPrEx>
          <w:tblCellMar>
            <w:top w:w="0" w:type="dxa"/>
            <w:left w:w="0" w:type="dxa"/>
            <w:bottom w:w="0" w:type="dxa"/>
            <w:right w:w="0" w:type="dxa"/>
          </w:tblCellMar>
        </w:tblPrEx>
        <w:trPr>
          <w:trHeight w:val="23" w:hRule="atLeast"/>
        </w:trPr>
        <w:tc>
          <w:tcPr>
            <w:tcW w:w="18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项目支出名称</w:t>
            </w:r>
          </w:p>
        </w:tc>
        <w:tc>
          <w:tcPr>
            <w:tcW w:w="69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职业院校教师素质提高计划—</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2020年第二批国家级培训项目</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“双师型”教师专业技能训练（中高职项目）</w:t>
            </w:r>
          </w:p>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建筑信息模型（BIM）课证融通培训班</w:t>
            </w:r>
          </w:p>
        </w:tc>
      </w:tr>
      <w:tr>
        <w:tblPrEx>
          <w:tblCellMar>
            <w:top w:w="0" w:type="dxa"/>
            <w:left w:w="0" w:type="dxa"/>
            <w:bottom w:w="0" w:type="dxa"/>
            <w:right w:w="0" w:type="dxa"/>
          </w:tblCellMar>
        </w:tblPrEx>
        <w:trPr>
          <w:trHeight w:val="23" w:hRule="atLeast"/>
        </w:trPr>
        <w:tc>
          <w:tcPr>
            <w:tcW w:w="18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主管部门</w:t>
            </w: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湖南</w:t>
            </w:r>
            <w:r>
              <w:rPr>
                <w:rFonts w:hint="eastAsia" w:eastAsia="仿宋_GB2312"/>
                <w:color w:val="auto"/>
                <w:kern w:val="0"/>
                <w:szCs w:val="21"/>
                <w:highlight w:val="none"/>
                <w:lang w:eastAsia="zh-CN"/>
              </w:rPr>
              <w:t>建工集团有限公司</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实施单位</w:t>
            </w:r>
          </w:p>
        </w:tc>
        <w:tc>
          <w:tcPr>
            <w:tcW w:w="26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湖南城建职业技术学院</w:t>
            </w:r>
          </w:p>
        </w:tc>
      </w:tr>
      <w:tr>
        <w:tblPrEx>
          <w:tblCellMar>
            <w:top w:w="0" w:type="dxa"/>
            <w:left w:w="0" w:type="dxa"/>
            <w:bottom w:w="0" w:type="dxa"/>
            <w:right w:w="0" w:type="dxa"/>
          </w:tblCellMar>
        </w:tblPrEx>
        <w:trPr>
          <w:trHeight w:val="23" w:hRule="atLeast"/>
        </w:trPr>
        <w:tc>
          <w:tcPr>
            <w:tcW w:w="1859"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资金情况（万元）</w:t>
            </w: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全年预算数（A）</w:t>
            </w:r>
          </w:p>
        </w:tc>
        <w:tc>
          <w:tcPr>
            <w:tcW w:w="19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全年执行数（B）</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预算执行率（B/A）</w:t>
            </w:r>
          </w:p>
        </w:tc>
      </w:tr>
      <w:tr>
        <w:tblPrEx>
          <w:tblCellMar>
            <w:top w:w="0" w:type="dxa"/>
            <w:left w:w="0" w:type="dxa"/>
            <w:bottom w:w="0" w:type="dxa"/>
            <w:right w:w="0" w:type="dxa"/>
          </w:tblCellMar>
        </w:tblPrEx>
        <w:trPr>
          <w:trHeight w:val="23" w:hRule="atLeast"/>
        </w:trPr>
        <w:tc>
          <w:tcPr>
            <w:tcW w:w="185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年度资金总额：</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264000</w:t>
            </w:r>
          </w:p>
        </w:tc>
        <w:tc>
          <w:tcPr>
            <w:tcW w:w="19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264000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r>
      <w:tr>
        <w:tblPrEx>
          <w:tblCellMar>
            <w:top w:w="0" w:type="dxa"/>
            <w:left w:w="0" w:type="dxa"/>
            <w:bottom w:w="0" w:type="dxa"/>
            <w:right w:w="0" w:type="dxa"/>
          </w:tblCellMar>
        </w:tblPrEx>
        <w:trPr>
          <w:trHeight w:val="23" w:hRule="atLeast"/>
        </w:trPr>
        <w:tc>
          <w:tcPr>
            <w:tcW w:w="185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其中：中央财政资金</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264000</w:t>
            </w:r>
          </w:p>
        </w:tc>
        <w:tc>
          <w:tcPr>
            <w:tcW w:w="19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264000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r>
      <w:tr>
        <w:tblPrEx>
          <w:tblCellMar>
            <w:top w:w="0" w:type="dxa"/>
            <w:left w:w="0" w:type="dxa"/>
            <w:bottom w:w="0" w:type="dxa"/>
            <w:right w:w="0" w:type="dxa"/>
          </w:tblCellMar>
        </w:tblPrEx>
        <w:trPr>
          <w:trHeight w:val="23" w:hRule="atLeast"/>
        </w:trPr>
        <w:tc>
          <w:tcPr>
            <w:tcW w:w="185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地方资金</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9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w:t>
            </w:r>
          </w:p>
        </w:tc>
      </w:tr>
      <w:tr>
        <w:tblPrEx>
          <w:tblCellMar>
            <w:top w:w="0" w:type="dxa"/>
            <w:left w:w="0" w:type="dxa"/>
            <w:bottom w:w="0" w:type="dxa"/>
            <w:right w:w="0" w:type="dxa"/>
          </w:tblCellMar>
        </w:tblPrEx>
        <w:trPr>
          <w:trHeight w:val="23" w:hRule="atLeast"/>
        </w:trPr>
        <w:tc>
          <w:tcPr>
            <w:tcW w:w="1859"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其他资金</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w:t>
            </w:r>
          </w:p>
        </w:tc>
        <w:tc>
          <w:tcPr>
            <w:tcW w:w="19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w:t>
            </w:r>
          </w:p>
        </w:tc>
      </w:tr>
      <w:tr>
        <w:tblPrEx>
          <w:tblCellMar>
            <w:top w:w="0" w:type="dxa"/>
            <w:left w:w="0" w:type="dxa"/>
            <w:bottom w:w="0" w:type="dxa"/>
            <w:right w:w="0" w:type="dxa"/>
          </w:tblCellMar>
        </w:tblPrEx>
        <w:trPr>
          <w:trHeight w:val="23"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总体目标完成情况</w:t>
            </w:r>
          </w:p>
        </w:tc>
        <w:tc>
          <w:tcPr>
            <w:tcW w:w="470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总体目标</w:t>
            </w:r>
          </w:p>
        </w:tc>
        <w:tc>
          <w:tcPr>
            <w:tcW w:w="36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全年实际完成情况</w:t>
            </w: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470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2020年项目目标是，通过建筑信息模型（BIM）课证融通培训为湖南省培养中高职“双师型”教师60名。通过培训，指导教师能有效完成（BIM）技术融入专业人才培养方案、构建课程体系、设计课程模块，对接1+X(BIM)证书考核制度。从而提高教师专业技能和综合素质，提升教师教育学水准，促进师生进行良好互动。</w:t>
            </w:r>
          </w:p>
        </w:tc>
        <w:tc>
          <w:tcPr>
            <w:tcW w:w="364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2020年11月，完成了培训实施方案的制定和布置，因阶段性疫情反复，经汇报上级批准后于2021年1月8日-1月17日按照要求实施，圆满完成培训任务。并认真完成培训报告的撰写。</w:t>
            </w:r>
          </w:p>
        </w:tc>
      </w:tr>
      <w:tr>
        <w:tblPrEx>
          <w:tblCellMar>
            <w:top w:w="0" w:type="dxa"/>
            <w:left w:w="0" w:type="dxa"/>
            <w:bottom w:w="0" w:type="dxa"/>
            <w:right w:w="0" w:type="dxa"/>
          </w:tblCellMar>
        </w:tblPrEx>
        <w:trPr>
          <w:trHeight w:val="407"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绩效指标</w:t>
            </w:r>
          </w:p>
        </w:tc>
        <w:tc>
          <w:tcPr>
            <w:tcW w:w="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一级</w:t>
            </w:r>
            <w:r>
              <w:rPr>
                <w:rFonts w:hint="eastAsia" w:eastAsia="仿宋_GB2312"/>
                <w:color w:val="auto"/>
                <w:kern w:val="0"/>
                <w:szCs w:val="21"/>
                <w:highlight w:val="none"/>
                <w:lang w:val="en-US" w:eastAsia="zh-CN"/>
              </w:rPr>
              <w:br w:type="textWrapping"/>
            </w:r>
            <w:r>
              <w:rPr>
                <w:rFonts w:hint="eastAsia" w:eastAsia="仿宋_GB2312"/>
                <w:color w:val="auto"/>
                <w:kern w:val="0"/>
                <w:szCs w:val="21"/>
                <w:highlight w:val="none"/>
                <w:lang w:val="en-US" w:eastAsia="zh-CN"/>
              </w:rPr>
              <w:t>指标</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二级指标</w:t>
            </w: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三级指标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指标值</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全年实际完成值</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未完成原因和改进措施</w:t>
            </w: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产</w:t>
            </w:r>
            <w:r>
              <w:rPr>
                <w:rFonts w:hint="eastAsia" w:eastAsia="仿宋_GB2312"/>
                <w:color w:val="auto"/>
                <w:kern w:val="0"/>
                <w:szCs w:val="21"/>
                <w:highlight w:val="none"/>
                <w:lang w:val="en-US" w:eastAsia="zh-CN"/>
              </w:rPr>
              <w:br w:type="textWrapping"/>
            </w:r>
            <w:r>
              <w:rPr>
                <w:rFonts w:hint="eastAsia" w:eastAsia="仿宋_GB2312"/>
                <w:color w:val="auto"/>
                <w:kern w:val="0"/>
                <w:szCs w:val="21"/>
                <w:highlight w:val="none"/>
                <w:lang w:val="en-US" w:eastAsia="zh-CN"/>
              </w:rPr>
              <w:t>出</w:t>
            </w:r>
            <w:r>
              <w:rPr>
                <w:rFonts w:hint="eastAsia" w:eastAsia="仿宋_GB2312"/>
                <w:color w:val="auto"/>
                <w:kern w:val="0"/>
                <w:szCs w:val="21"/>
                <w:highlight w:val="none"/>
                <w:lang w:val="en-US" w:eastAsia="zh-CN"/>
              </w:rPr>
              <w:br w:type="textWrapping"/>
            </w:r>
            <w:r>
              <w:rPr>
                <w:rFonts w:hint="eastAsia" w:eastAsia="仿宋_GB2312"/>
                <w:color w:val="auto"/>
                <w:kern w:val="0"/>
                <w:szCs w:val="21"/>
                <w:highlight w:val="none"/>
                <w:lang w:val="en-US" w:eastAsia="zh-CN"/>
              </w:rPr>
              <w:t>指</w:t>
            </w:r>
            <w:r>
              <w:rPr>
                <w:rFonts w:hint="eastAsia" w:eastAsia="仿宋_GB2312"/>
                <w:color w:val="auto"/>
                <w:kern w:val="0"/>
                <w:szCs w:val="21"/>
                <w:highlight w:val="none"/>
                <w:lang w:val="en-US" w:eastAsia="zh-CN"/>
              </w:rPr>
              <w:br w:type="textWrapping"/>
            </w:r>
            <w:r>
              <w:rPr>
                <w:rFonts w:hint="eastAsia" w:eastAsia="仿宋_GB2312"/>
                <w:color w:val="auto"/>
                <w:kern w:val="0"/>
                <w:szCs w:val="21"/>
                <w:highlight w:val="none"/>
                <w:lang w:val="en-US" w:eastAsia="zh-CN"/>
              </w:rPr>
              <w:t>标</w:t>
            </w:r>
          </w:p>
        </w:tc>
        <w:tc>
          <w:tcPr>
            <w:tcW w:w="88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数量指标</w:t>
            </w: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培养教师人数</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60（人）</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60（人）</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无</w:t>
            </w: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培训课时80学时</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质量指标</w:t>
            </w: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举办高水平、高服务的培训（%）</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专业教师考核通过率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时效指标</w:t>
            </w: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10天内集中完成教师培训项目</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确保培训顺利举办</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成本指标</w:t>
            </w: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参培人员消耗经费额度</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4400元/人</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4400元/人</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效</w:t>
            </w:r>
            <w:r>
              <w:rPr>
                <w:rFonts w:hint="eastAsia" w:eastAsia="仿宋_GB2312"/>
                <w:color w:val="auto"/>
                <w:kern w:val="0"/>
                <w:szCs w:val="21"/>
                <w:highlight w:val="none"/>
                <w:lang w:val="en-US" w:eastAsia="zh-CN"/>
              </w:rPr>
              <w:br w:type="textWrapping"/>
            </w:r>
            <w:r>
              <w:rPr>
                <w:rFonts w:hint="eastAsia" w:eastAsia="仿宋_GB2312"/>
                <w:color w:val="auto"/>
                <w:kern w:val="0"/>
                <w:szCs w:val="21"/>
                <w:highlight w:val="none"/>
                <w:lang w:val="en-US" w:eastAsia="zh-CN"/>
              </w:rPr>
              <w:t>益</w:t>
            </w:r>
            <w:r>
              <w:rPr>
                <w:rFonts w:hint="eastAsia" w:eastAsia="仿宋_GB2312"/>
                <w:color w:val="auto"/>
                <w:kern w:val="0"/>
                <w:szCs w:val="21"/>
                <w:highlight w:val="none"/>
                <w:lang w:val="en-US" w:eastAsia="zh-CN"/>
              </w:rPr>
              <w:br w:type="textWrapping"/>
            </w:r>
            <w:r>
              <w:rPr>
                <w:rFonts w:hint="eastAsia" w:eastAsia="仿宋_GB2312"/>
                <w:color w:val="auto"/>
                <w:kern w:val="0"/>
                <w:szCs w:val="21"/>
                <w:highlight w:val="none"/>
                <w:lang w:val="en-US" w:eastAsia="zh-CN"/>
              </w:rPr>
              <w:t>指</w:t>
            </w:r>
            <w:r>
              <w:rPr>
                <w:rFonts w:hint="eastAsia" w:eastAsia="仿宋_GB2312"/>
                <w:color w:val="auto"/>
                <w:kern w:val="0"/>
                <w:szCs w:val="21"/>
                <w:highlight w:val="none"/>
                <w:lang w:val="en-US" w:eastAsia="zh-CN"/>
              </w:rPr>
              <w:br w:type="textWrapping"/>
            </w:r>
            <w:r>
              <w:rPr>
                <w:rFonts w:hint="eastAsia" w:eastAsia="仿宋_GB2312"/>
                <w:color w:val="auto"/>
                <w:kern w:val="0"/>
                <w:szCs w:val="21"/>
                <w:highlight w:val="none"/>
                <w:lang w:val="en-US" w:eastAsia="zh-CN"/>
              </w:rPr>
              <w:t>标</w:t>
            </w:r>
          </w:p>
        </w:tc>
        <w:tc>
          <w:tcPr>
            <w:tcW w:w="88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经济效益指标</w:t>
            </w: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培训为国家拨付经费提升教师能力资助项目，为成本价运作，无经济效益产生</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社会效益</w:t>
            </w:r>
            <w:r>
              <w:rPr>
                <w:rFonts w:hint="eastAsia" w:eastAsia="仿宋_GB2312"/>
                <w:color w:val="auto"/>
                <w:kern w:val="0"/>
                <w:szCs w:val="21"/>
                <w:highlight w:val="none"/>
                <w:lang w:val="en-US" w:eastAsia="zh-CN"/>
              </w:rPr>
              <w:br w:type="textWrapping"/>
            </w:r>
            <w:r>
              <w:rPr>
                <w:rFonts w:hint="eastAsia" w:eastAsia="仿宋_GB2312"/>
                <w:color w:val="auto"/>
                <w:kern w:val="0"/>
                <w:szCs w:val="21"/>
                <w:highlight w:val="none"/>
                <w:lang w:val="en-US" w:eastAsia="zh-CN"/>
              </w:rPr>
              <w:t>指标</w:t>
            </w: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双师型教师能力提升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有实质提升</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有实质提升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建筑信息模型（BIM）课证融通能力提升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有实质提升</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有实质提升</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项目可接受程度（受欢迎程度）</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生态效益</w:t>
            </w:r>
            <w:r>
              <w:rPr>
                <w:rFonts w:hint="eastAsia" w:eastAsia="仿宋_GB2312"/>
                <w:color w:val="auto"/>
                <w:kern w:val="0"/>
                <w:szCs w:val="21"/>
                <w:highlight w:val="none"/>
                <w:lang w:val="en-US" w:eastAsia="zh-CN"/>
              </w:rPr>
              <w:br w:type="textWrapping"/>
            </w:r>
            <w:r>
              <w:rPr>
                <w:rFonts w:hint="eastAsia" w:eastAsia="仿宋_GB2312"/>
                <w:color w:val="auto"/>
                <w:kern w:val="0"/>
                <w:szCs w:val="21"/>
                <w:highlight w:val="none"/>
                <w:lang w:val="en-US" w:eastAsia="zh-CN"/>
              </w:rPr>
              <w:t>指标</w:t>
            </w: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项目实施对生态环境所带来的直接或间接影响力</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可持续影响指标</w:t>
            </w: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对双师型教师的影响力（职业素养提升）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≥85%</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≥95%</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建筑信息模型（BIM）课证融通的影响力（专业水平提升）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≥85%</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≥95%</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满意度指标</w:t>
            </w:r>
          </w:p>
        </w:tc>
        <w:tc>
          <w:tcPr>
            <w:tcW w:w="886"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服务对象</w:t>
            </w:r>
            <w:r>
              <w:rPr>
                <w:rFonts w:hint="eastAsia" w:eastAsia="仿宋_GB2312"/>
                <w:color w:val="auto"/>
                <w:kern w:val="0"/>
                <w:szCs w:val="21"/>
                <w:highlight w:val="none"/>
                <w:lang w:val="en-US" w:eastAsia="zh-CN"/>
              </w:rPr>
              <w:br w:type="textWrapping"/>
            </w:r>
            <w:r>
              <w:rPr>
                <w:rFonts w:hint="eastAsia" w:eastAsia="仿宋_GB2312"/>
                <w:color w:val="auto"/>
                <w:kern w:val="0"/>
                <w:szCs w:val="21"/>
                <w:highlight w:val="none"/>
                <w:lang w:val="en-US" w:eastAsia="zh-CN"/>
              </w:rPr>
              <w:t>满意度指标</w:t>
            </w: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学院满意度</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≥95%</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≥95%</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教员满意度</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≥95%</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≥95%</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rPr>
                <w:rFonts w:hint="eastAsia" w:eastAsia="仿宋_GB2312"/>
                <w:color w:val="auto"/>
                <w:kern w:val="0"/>
                <w:szCs w:val="21"/>
                <w:highlight w:val="none"/>
                <w:lang w:val="en-US" w:eastAsia="zh-CN"/>
              </w:rPr>
            </w:pPr>
          </w:p>
        </w:tc>
        <w:tc>
          <w:tcPr>
            <w:tcW w:w="47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88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c>
          <w:tcPr>
            <w:tcW w:w="3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学员主管部门</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≥95%</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≥95%</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p>
        </w:tc>
      </w:tr>
      <w:tr>
        <w:tblPrEx>
          <w:tblCellMar>
            <w:top w:w="0" w:type="dxa"/>
            <w:left w:w="0" w:type="dxa"/>
            <w:bottom w:w="0" w:type="dxa"/>
            <w:right w:w="0" w:type="dxa"/>
          </w:tblCellMar>
        </w:tblPrEx>
        <w:trPr>
          <w:trHeight w:val="23" w:hRule="atLeast"/>
        </w:trPr>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说明</w:t>
            </w:r>
          </w:p>
        </w:tc>
        <w:tc>
          <w:tcPr>
            <w:tcW w:w="8349"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请在此处简要说明中央巡视、各级审计和财政监督中发现的问题及其所涉及的金额，如没有请填无。</w:t>
            </w:r>
          </w:p>
        </w:tc>
      </w:tr>
    </w:tbl>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both"/>
        <w:rPr>
          <w:rFonts w:hint="default"/>
          <w:color w:val="auto"/>
          <w:highlight w:val="none"/>
          <w:lang w:val="en-US"/>
        </w:rPr>
      </w:pPr>
      <w:r>
        <w:rPr>
          <w:rFonts w:hint="eastAsia" w:cs="Times New Roman"/>
          <w:color w:val="auto"/>
          <w:sz w:val="32"/>
          <w:szCs w:val="32"/>
          <w:highlight w:val="none"/>
          <w:lang w:val="en-US" w:eastAsia="zh-CN"/>
        </w:rPr>
        <w:t>附件3-7：</w:t>
      </w:r>
    </w:p>
    <w:p>
      <w:pPr>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2020年度项目支出绩效自评表7</w:t>
      </w:r>
    </w:p>
    <w:tbl>
      <w:tblPr>
        <w:tblStyle w:val="9"/>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省级预算部门名称</w:t>
            </w:r>
          </w:p>
        </w:tc>
        <w:tc>
          <w:tcPr>
            <w:tcW w:w="8913"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校园招聘一次性补助</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年度预</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算申请</w:t>
            </w:r>
            <w:r>
              <w:rPr>
                <w:rFonts w:hint="eastAsia" w:eastAsia="仿宋_GB2312"/>
                <w:color w:val="auto"/>
                <w:kern w:val="0"/>
                <w:szCs w:val="21"/>
                <w:highlight w:val="none"/>
              </w:rPr>
              <w:br w:type="textWrapping"/>
            </w:r>
            <w:r>
              <w:rPr>
                <w:rFonts w:hint="eastAsia" w:eastAsia="仿宋_GB2312"/>
                <w:color w:val="auto"/>
                <w:kern w:val="0"/>
                <w:szCs w:val="21"/>
                <w:highlight w:val="none"/>
              </w:rPr>
              <w:t>（万元）</w:t>
            </w:r>
          </w:p>
        </w:tc>
        <w:tc>
          <w:tcPr>
            <w:tcW w:w="203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年初</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全年预算数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全年执行数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执行率</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2033"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年度资金总额</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21.6</w:t>
            </w:r>
          </w:p>
        </w:tc>
        <w:tc>
          <w:tcPr>
            <w:tcW w:w="1295"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21.6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按收入性质分：</w:t>
            </w:r>
          </w:p>
        </w:tc>
        <w:tc>
          <w:tcPr>
            <w:tcW w:w="432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其中：  一般公共预算：</w:t>
            </w:r>
          </w:p>
        </w:tc>
        <w:tc>
          <w:tcPr>
            <w:tcW w:w="432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其中：基本支出：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政府性基金拨款：</w:t>
            </w:r>
          </w:p>
        </w:tc>
        <w:tc>
          <w:tcPr>
            <w:tcW w:w="432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纳入专户管理的非税收入拨款：</w:t>
            </w:r>
          </w:p>
        </w:tc>
        <w:tc>
          <w:tcPr>
            <w:tcW w:w="432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4584" w:type="dxa"/>
            <w:gridSpan w:val="5"/>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其他资金：</w:t>
            </w:r>
          </w:p>
        </w:tc>
        <w:tc>
          <w:tcPr>
            <w:tcW w:w="432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年度总体目标</w:t>
            </w:r>
          </w:p>
        </w:tc>
        <w:tc>
          <w:tcPr>
            <w:tcW w:w="45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预期目标</w:t>
            </w:r>
          </w:p>
        </w:tc>
        <w:tc>
          <w:tcPr>
            <w:tcW w:w="432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实际完成情况</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458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完成专场招聘100场、大型招聘会一场、毕业生离校前招聘会一场</w:t>
            </w:r>
          </w:p>
        </w:tc>
        <w:tc>
          <w:tcPr>
            <w:tcW w:w="432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完成专场招聘100场、大型招聘会一场、毕业生离校前招聘会一场</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实际完成值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953"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数量指标</w:t>
            </w: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专场招聘</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100场</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120场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大型招聘会</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1场</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1场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毕业生离校前招聘会</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1场</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1场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质量指标</w:t>
            </w: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初次就业率</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85</w:t>
            </w:r>
            <w:r>
              <w:rPr>
                <w:rFonts w:hint="eastAsia" w:eastAsia="仿宋_GB2312"/>
                <w:color w:val="auto"/>
                <w:kern w:val="0"/>
                <w:szCs w:val="21"/>
                <w:highlight w:val="none"/>
              </w:rPr>
              <w:t>%左右</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82.41</w:t>
            </w:r>
            <w:r>
              <w:rPr>
                <w:rFonts w:hint="eastAsia" w:eastAsia="仿宋_GB2312"/>
                <w:color w:val="auto"/>
                <w:kern w:val="0"/>
                <w:szCs w:val="21"/>
                <w:highlight w:val="none"/>
              </w:rPr>
              <w:t>%左右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3</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加强学生就业意识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年终就业率</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89</w:t>
            </w:r>
            <w:r>
              <w:rPr>
                <w:rFonts w:hint="eastAsia" w:eastAsia="仿宋_GB2312"/>
                <w:color w:val="auto"/>
                <w:kern w:val="0"/>
                <w:szCs w:val="21"/>
                <w:highlight w:val="none"/>
              </w:rPr>
              <w:t>%左右</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92</w:t>
            </w:r>
            <w:r>
              <w:rPr>
                <w:rFonts w:hint="eastAsia" w:eastAsia="仿宋_GB2312"/>
                <w:color w:val="auto"/>
                <w:kern w:val="0"/>
                <w:szCs w:val="21"/>
                <w:highlight w:val="none"/>
              </w:rPr>
              <w:t>%左右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用人单位满意率</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85</w:t>
            </w:r>
            <w:r>
              <w:rPr>
                <w:rFonts w:hint="eastAsia" w:eastAsia="仿宋_GB2312"/>
                <w:color w:val="auto"/>
                <w:kern w:val="0"/>
                <w:szCs w:val="21"/>
                <w:highlight w:val="none"/>
              </w:rPr>
              <w:t>%以上</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95</w:t>
            </w:r>
            <w:r>
              <w:rPr>
                <w:rFonts w:hint="eastAsia" w:eastAsia="仿宋_GB2312"/>
                <w:color w:val="auto"/>
                <w:kern w:val="0"/>
                <w:szCs w:val="21"/>
                <w:highlight w:val="none"/>
              </w:rPr>
              <w:t>%以上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时效指标</w:t>
            </w: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专场招聘</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20</w:t>
            </w:r>
            <w:r>
              <w:rPr>
                <w:rFonts w:hint="eastAsia" w:eastAsia="仿宋_GB2312"/>
                <w:color w:val="auto"/>
                <w:kern w:val="0"/>
                <w:szCs w:val="21"/>
                <w:highlight w:val="none"/>
                <w:lang w:val="en-US" w:eastAsia="zh-CN"/>
              </w:rPr>
              <w:t>20</w:t>
            </w:r>
            <w:r>
              <w:rPr>
                <w:rFonts w:hint="eastAsia" w:eastAsia="仿宋_GB2312"/>
                <w:color w:val="auto"/>
                <w:kern w:val="0"/>
                <w:szCs w:val="21"/>
                <w:highlight w:val="none"/>
              </w:rPr>
              <w:t>年7月前</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20</w:t>
            </w:r>
            <w:r>
              <w:rPr>
                <w:rFonts w:hint="eastAsia" w:eastAsia="仿宋_GB2312"/>
                <w:color w:val="auto"/>
                <w:kern w:val="0"/>
                <w:szCs w:val="21"/>
                <w:highlight w:val="none"/>
                <w:lang w:val="en-US" w:eastAsia="zh-CN"/>
              </w:rPr>
              <w:t>20</w:t>
            </w:r>
            <w:r>
              <w:rPr>
                <w:rFonts w:hint="eastAsia" w:eastAsia="仿宋_GB2312"/>
                <w:color w:val="auto"/>
                <w:kern w:val="0"/>
                <w:szCs w:val="21"/>
                <w:highlight w:val="none"/>
              </w:rPr>
              <w:t>年7月前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大型招聘会</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20</w:t>
            </w:r>
            <w:r>
              <w:rPr>
                <w:rFonts w:hint="eastAsia" w:eastAsia="仿宋_GB2312"/>
                <w:color w:val="auto"/>
                <w:kern w:val="0"/>
                <w:szCs w:val="21"/>
                <w:highlight w:val="none"/>
                <w:lang w:val="en-US" w:eastAsia="zh-CN"/>
              </w:rPr>
              <w:t>20</w:t>
            </w:r>
            <w:r>
              <w:rPr>
                <w:rFonts w:hint="eastAsia" w:eastAsia="仿宋_GB2312"/>
                <w:color w:val="auto"/>
                <w:kern w:val="0"/>
                <w:szCs w:val="21"/>
                <w:highlight w:val="none"/>
              </w:rPr>
              <w:t>年</w:t>
            </w:r>
            <w:r>
              <w:rPr>
                <w:rFonts w:hint="eastAsia" w:eastAsia="仿宋_GB2312"/>
                <w:color w:val="auto"/>
                <w:kern w:val="0"/>
                <w:szCs w:val="21"/>
                <w:highlight w:val="none"/>
                <w:lang w:val="en-US" w:eastAsia="zh-CN"/>
              </w:rPr>
              <w:t>11</w:t>
            </w:r>
            <w:r>
              <w:rPr>
                <w:rFonts w:hint="eastAsia" w:eastAsia="仿宋_GB2312"/>
                <w:color w:val="auto"/>
                <w:kern w:val="0"/>
                <w:szCs w:val="21"/>
                <w:highlight w:val="none"/>
              </w:rPr>
              <w:t>月</w:t>
            </w:r>
            <w:r>
              <w:rPr>
                <w:rFonts w:hint="eastAsia" w:eastAsia="仿宋_GB2312"/>
                <w:color w:val="auto"/>
                <w:kern w:val="0"/>
                <w:szCs w:val="21"/>
                <w:highlight w:val="none"/>
                <w:lang w:val="en-US" w:eastAsia="zh-CN"/>
              </w:rPr>
              <w:t>28</w:t>
            </w:r>
            <w:r>
              <w:rPr>
                <w:rFonts w:hint="eastAsia" w:eastAsia="仿宋_GB2312"/>
                <w:color w:val="auto"/>
                <w:kern w:val="0"/>
                <w:szCs w:val="21"/>
                <w:highlight w:val="none"/>
              </w:rPr>
              <w:t>日</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20</w:t>
            </w:r>
            <w:r>
              <w:rPr>
                <w:rFonts w:hint="eastAsia" w:eastAsia="仿宋_GB2312"/>
                <w:color w:val="auto"/>
                <w:kern w:val="0"/>
                <w:szCs w:val="21"/>
                <w:highlight w:val="none"/>
                <w:lang w:val="en-US" w:eastAsia="zh-CN"/>
              </w:rPr>
              <w:t>20</w:t>
            </w:r>
            <w:r>
              <w:rPr>
                <w:rFonts w:hint="eastAsia" w:eastAsia="仿宋_GB2312"/>
                <w:color w:val="auto"/>
                <w:kern w:val="0"/>
                <w:szCs w:val="21"/>
                <w:highlight w:val="none"/>
              </w:rPr>
              <w:t>年</w:t>
            </w:r>
            <w:r>
              <w:rPr>
                <w:rFonts w:hint="eastAsia" w:eastAsia="仿宋_GB2312"/>
                <w:color w:val="auto"/>
                <w:kern w:val="0"/>
                <w:szCs w:val="21"/>
                <w:highlight w:val="none"/>
                <w:lang w:val="en-US" w:eastAsia="zh-CN"/>
              </w:rPr>
              <w:t>11</w:t>
            </w:r>
            <w:r>
              <w:rPr>
                <w:rFonts w:hint="eastAsia" w:eastAsia="仿宋_GB2312"/>
                <w:color w:val="auto"/>
                <w:kern w:val="0"/>
                <w:szCs w:val="21"/>
                <w:highlight w:val="none"/>
              </w:rPr>
              <w:t>月</w:t>
            </w:r>
            <w:r>
              <w:rPr>
                <w:rFonts w:hint="eastAsia" w:eastAsia="仿宋_GB2312"/>
                <w:color w:val="auto"/>
                <w:kern w:val="0"/>
                <w:szCs w:val="21"/>
                <w:highlight w:val="none"/>
                <w:lang w:val="en-US" w:eastAsia="zh-CN"/>
              </w:rPr>
              <w:t>28</w:t>
            </w:r>
            <w:r>
              <w:rPr>
                <w:rFonts w:hint="eastAsia" w:eastAsia="仿宋_GB2312"/>
                <w:color w:val="auto"/>
                <w:kern w:val="0"/>
                <w:szCs w:val="21"/>
                <w:highlight w:val="none"/>
              </w:rPr>
              <w:t>日</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毕业生离校前招聘会</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20</w:t>
            </w:r>
            <w:r>
              <w:rPr>
                <w:rFonts w:hint="eastAsia" w:eastAsia="仿宋_GB2312"/>
                <w:color w:val="auto"/>
                <w:kern w:val="0"/>
                <w:szCs w:val="21"/>
                <w:highlight w:val="none"/>
                <w:lang w:val="en-US" w:eastAsia="zh-CN"/>
              </w:rPr>
              <w:t>20</w:t>
            </w:r>
            <w:r>
              <w:rPr>
                <w:rFonts w:hint="eastAsia" w:eastAsia="仿宋_GB2312"/>
                <w:color w:val="auto"/>
                <w:kern w:val="0"/>
                <w:szCs w:val="21"/>
                <w:highlight w:val="none"/>
              </w:rPr>
              <w:t>年6月底</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20</w:t>
            </w:r>
            <w:r>
              <w:rPr>
                <w:rFonts w:hint="eastAsia" w:eastAsia="仿宋_GB2312"/>
                <w:color w:val="auto"/>
                <w:kern w:val="0"/>
                <w:szCs w:val="21"/>
                <w:highlight w:val="none"/>
                <w:lang w:val="en-US" w:eastAsia="zh-CN"/>
              </w:rPr>
              <w:t>20</w:t>
            </w:r>
            <w:r>
              <w:rPr>
                <w:rFonts w:hint="eastAsia" w:eastAsia="仿宋_GB2312"/>
                <w:color w:val="auto"/>
                <w:kern w:val="0"/>
                <w:szCs w:val="21"/>
                <w:highlight w:val="none"/>
              </w:rPr>
              <w:t>年6月底</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lang w:val="en-US" w:eastAsia="zh-CN"/>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成本指标</w:t>
            </w: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专场招聘</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1000元/场</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900元/场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大型招聘会</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80000元/场</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80000元/场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毕业生离校前招聘会</w:t>
            </w:r>
          </w:p>
        </w:tc>
        <w:tc>
          <w:tcPr>
            <w:tcW w:w="1200"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50000元/场</w:t>
            </w:r>
          </w:p>
        </w:tc>
        <w:tc>
          <w:tcPr>
            <w:tcW w:w="1276" w:type="dxa"/>
            <w:tcBorders>
              <w:top w:val="nil"/>
              <w:left w:val="nil"/>
              <w:bottom w:val="single" w:color="auto" w:sz="4" w:space="0"/>
              <w:right w:val="single" w:color="auto" w:sz="4" w:space="0"/>
            </w:tcBorders>
            <w:shd w:val="clear" w:color="auto" w:fill="auto"/>
            <w:vAlign w:val="bottom"/>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rPr>
              <w:t>50000元/场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4</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效益指标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（30分）</w:t>
            </w:r>
          </w:p>
        </w:tc>
        <w:tc>
          <w:tcPr>
            <w:tcW w:w="953"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经济效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社会效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生态效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可持续影响指标</w:t>
            </w:r>
          </w:p>
        </w:tc>
        <w:tc>
          <w:tcPr>
            <w:tcW w:w="1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满意度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（10分）</w:t>
            </w:r>
          </w:p>
        </w:tc>
        <w:tc>
          <w:tcPr>
            <w:tcW w:w="953"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服务对象满意度指标</w:t>
            </w: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53"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99</w:t>
            </w: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bl>
    <w:p>
      <w:pPr>
        <w:pStyle w:val="8"/>
        <w:ind w:left="0" w:leftChars="0" w:firstLine="0" w:firstLineChars="0"/>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5"/>
        <w:jc w:val="center"/>
        <w:rPr>
          <w:rFonts w:hint="eastAsia" w:cs="Times New Roman"/>
          <w:color w:val="auto"/>
          <w:sz w:val="32"/>
          <w:szCs w:val="32"/>
          <w:highlight w:val="none"/>
          <w:lang w:val="en-US" w:eastAsia="zh-CN"/>
        </w:rPr>
      </w:pPr>
    </w:p>
    <w:p>
      <w:pPr>
        <w:pStyle w:val="8"/>
        <w:ind w:left="0" w:leftChars="0" w:firstLine="0" w:firstLineChars="0"/>
        <w:jc w:val="both"/>
        <w:rPr>
          <w:rFonts w:hint="default"/>
          <w:color w:val="auto"/>
          <w:highlight w:val="none"/>
          <w:lang w:val="en-US"/>
        </w:rPr>
      </w:pPr>
      <w:r>
        <w:rPr>
          <w:rFonts w:hint="eastAsia" w:cs="Times New Roman"/>
          <w:color w:val="auto"/>
          <w:sz w:val="32"/>
          <w:szCs w:val="32"/>
          <w:highlight w:val="none"/>
          <w:lang w:val="en-US" w:eastAsia="zh-CN"/>
        </w:rPr>
        <w:t>附件3-8：</w:t>
      </w:r>
    </w:p>
    <w:p>
      <w:pPr>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2020年度项目支出绩效自评表8</w:t>
      </w:r>
    </w:p>
    <w:tbl>
      <w:tblPr>
        <w:tblStyle w:val="9"/>
        <w:tblW w:w="9851" w:type="dxa"/>
        <w:jc w:val="center"/>
        <w:tblLayout w:type="autofit"/>
        <w:tblCellMar>
          <w:top w:w="0" w:type="dxa"/>
          <w:left w:w="108" w:type="dxa"/>
          <w:bottom w:w="0" w:type="dxa"/>
          <w:right w:w="108" w:type="dxa"/>
        </w:tblCellMar>
      </w:tblPr>
      <w:tblGrid>
        <w:gridCol w:w="1069"/>
        <w:gridCol w:w="1069"/>
        <w:gridCol w:w="1064"/>
        <w:gridCol w:w="1210"/>
        <w:gridCol w:w="1179"/>
        <w:gridCol w:w="1179"/>
        <w:gridCol w:w="821"/>
        <w:gridCol w:w="866"/>
        <w:gridCol w:w="1394"/>
      </w:tblGrid>
      <w:tr>
        <w:tblPrEx>
          <w:tblCellMar>
            <w:top w:w="0" w:type="dxa"/>
            <w:left w:w="108" w:type="dxa"/>
            <w:bottom w:w="0" w:type="dxa"/>
            <w:right w:w="108" w:type="dxa"/>
          </w:tblCellMar>
        </w:tblPrEx>
        <w:trPr>
          <w:jc w:val="center"/>
        </w:trPr>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项目支</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出名称</w:t>
            </w:r>
          </w:p>
        </w:tc>
        <w:tc>
          <w:tcPr>
            <w:tcW w:w="8782"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“中国制造2025”背景下职业院校劳动教育体系建构研究（19YBG009）</w:t>
            </w:r>
          </w:p>
        </w:tc>
      </w:tr>
      <w:tr>
        <w:tblPrEx>
          <w:tblCellMar>
            <w:top w:w="0" w:type="dxa"/>
            <w:left w:w="108" w:type="dxa"/>
            <w:bottom w:w="0" w:type="dxa"/>
            <w:right w:w="108" w:type="dxa"/>
          </w:tblCellMar>
        </w:tblPrEx>
        <w:trPr>
          <w:jc w:val="center"/>
        </w:trPr>
        <w:tc>
          <w:tcPr>
            <w:tcW w:w="1069"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主管部门</w:t>
            </w:r>
          </w:p>
        </w:tc>
        <w:tc>
          <w:tcPr>
            <w:tcW w:w="452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湖南省哲学社会科学规划基金办公室</w:t>
            </w:r>
          </w:p>
        </w:tc>
        <w:tc>
          <w:tcPr>
            <w:tcW w:w="1179" w:type="dxa"/>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实施单位</w:t>
            </w:r>
          </w:p>
        </w:tc>
        <w:tc>
          <w:tcPr>
            <w:tcW w:w="308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湖南城建职业技术学院</w:t>
            </w:r>
          </w:p>
        </w:tc>
      </w:tr>
      <w:tr>
        <w:tblPrEx>
          <w:tblCellMar>
            <w:top w:w="0" w:type="dxa"/>
            <w:left w:w="108" w:type="dxa"/>
            <w:bottom w:w="0" w:type="dxa"/>
            <w:right w:w="108" w:type="dxa"/>
          </w:tblCellMar>
        </w:tblPrEx>
        <w:trPr>
          <w:jc w:val="center"/>
        </w:trPr>
        <w:tc>
          <w:tcPr>
            <w:tcW w:w="106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项目资金</w:t>
            </w:r>
            <w:r>
              <w:rPr>
                <w:rFonts w:hint="eastAsia" w:eastAsia="仿宋_GB2312"/>
                <w:color w:val="auto"/>
                <w:kern w:val="0"/>
                <w:szCs w:val="21"/>
                <w:highlight w:val="none"/>
              </w:rPr>
              <w:br w:type="textWrapping"/>
            </w:r>
            <w:r>
              <w:rPr>
                <w:rFonts w:hint="eastAsia" w:eastAsia="仿宋_GB2312"/>
                <w:color w:val="auto"/>
                <w:kern w:val="0"/>
                <w:szCs w:val="21"/>
                <w:highlight w:val="none"/>
              </w:rPr>
              <w:t>（万元）</w:t>
            </w:r>
          </w:p>
        </w:tc>
        <w:tc>
          <w:tcPr>
            <w:tcW w:w="2133" w:type="dxa"/>
            <w:gridSpan w:val="2"/>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年初</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执行数</w:t>
            </w: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执行率</w:t>
            </w: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r>
      <w:tr>
        <w:tblPrEx>
          <w:tblCellMar>
            <w:top w:w="0" w:type="dxa"/>
            <w:left w:w="108" w:type="dxa"/>
            <w:bottom w:w="0" w:type="dxa"/>
            <w:right w:w="108" w:type="dxa"/>
          </w:tblCellMar>
        </w:tblPrEx>
        <w:trPr>
          <w:jc w:val="center"/>
        </w:trPr>
        <w:tc>
          <w:tcPr>
            <w:tcW w:w="1069"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2133" w:type="dxa"/>
            <w:gridSpan w:val="2"/>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年度资金总额</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1.8</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1.8</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1.37</w:t>
            </w: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76%</w:t>
            </w: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w:t>
            </w:r>
          </w:p>
        </w:tc>
      </w:tr>
      <w:tr>
        <w:tblPrEx>
          <w:tblCellMar>
            <w:top w:w="0" w:type="dxa"/>
            <w:left w:w="108" w:type="dxa"/>
            <w:bottom w:w="0" w:type="dxa"/>
            <w:right w:w="108" w:type="dxa"/>
          </w:tblCellMar>
        </w:tblPrEx>
        <w:trPr>
          <w:jc w:val="center"/>
        </w:trPr>
        <w:tc>
          <w:tcPr>
            <w:tcW w:w="1069"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2133" w:type="dxa"/>
            <w:gridSpan w:val="2"/>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其中：当年财政拨款</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2133" w:type="dxa"/>
            <w:gridSpan w:val="2"/>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上年结转资金</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2133" w:type="dxa"/>
            <w:gridSpan w:val="2"/>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其他资金</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年度总体目标</w:t>
            </w:r>
          </w:p>
        </w:tc>
        <w:tc>
          <w:tcPr>
            <w:tcW w:w="4522"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预期目标</w:t>
            </w:r>
          </w:p>
        </w:tc>
        <w:tc>
          <w:tcPr>
            <w:tcW w:w="426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实际完成情况</w:t>
            </w:r>
          </w:p>
        </w:tc>
      </w:tr>
      <w:tr>
        <w:tblPrEx>
          <w:tblCellMar>
            <w:top w:w="0" w:type="dxa"/>
            <w:left w:w="108" w:type="dxa"/>
            <w:bottom w:w="0" w:type="dxa"/>
            <w:right w:w="108" w:type="dxa"/>
          </w:tblCellMar>
        </w:tblPrEx>
        <w:trPr>
          <w:jc w:val="center"/>
        </w:trPr>
        <w:tc>
          <w:tcPr>
            <w:tcW w:w="1069"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4522"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发表3篇论文</w:t>
            </w:r>
          </w:p>
        </w:tc>
        <w:tc>
          <w:tcPr>
            <w:tcW w:w="4260"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发表4篇论文</w:t>
            </w:r>
          </w:p>
        </w:tc>
      </w:tr>
      <w:tr>
        <w:tblPrEx>
          <w:tblCellMar>
            <w:top w:w="0" w:type="dxa"/>
            <w:left w:w="108" w:type="dxa"/>
            <w:bottom w:w="0" w:type="dxa"/>
            <w:right w:w="108" w:type="dxa"/>
          </w:tblCellMar>
        </w:tblPrEx>
        <w:trPr>
          <w:jc w:val="center"/>
        </w:trPr>
        <w:tc>
          <w:tcPr>
            <w:tcW w:w="1069" w:type="dxa"/>
            <w:vMerge w:val="restart"/>
            <w:tcBorders>
              <w:top w:val="nil"/>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6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完成值</w:t>
            </w: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restart"/>
            <w:tcBorders>
              <w:top w:val="nil"/>
              <w:left w:val="nil"/>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1064" w:type="dxa"/>
            <w:vMerge w:val="restart"/>
            <w:tcBorders>
              <w:top w:val="nil"/>
              <w:left w:val="nil"/>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数量指标</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论文</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4</w:t>
            </w: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20</w:t>
            </w: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20</w:t>
            </w: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restart"/>
            <w:tcBorders>
              <w:top w:val="nil"/>
              <w:left w:val="nil"/>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质量指标</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期刊等级</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省级</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省级</w:t>
            </w: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restart"/>
            <w:tcBorders>
              <w:top w:val="nil"/>
              <w:left w:val="nil"/>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时效指标</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论文发表时间</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2020.05-08</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2020.05-09</w:t>
            </w: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restart"/>
            <w:tcBorders>
              <w:top w:val="nil"/>
              <w:left w:val="nil"/>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成本指标</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费用</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1.8</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1.37</w:t>
            </w: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w:t>
            </w: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未按时报账</w:t>
            </w: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restart"/>
            <w:tcBorders>
              <w:top w:val="nil"/>
              <w:left w:val="nil"/>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效益指标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（30分）</w:t>
            </w:r>
          </w:p>
          <w:p>
            <w:pPr>
              <w:widowControl/>
              <w:jc w:val="center"/>
              <w:rPr>
                <w:rFonts w:hint="eastAsia" w:eastAsia="仿宋_GB2312"/>
                <w:color w:val="auto"/>
                <w:kern w:val="0"/>
                <w:szCs w:val="21"/>
                <w:highlight w:val="none"/>
              </w:rPr>
            </w:pPr>
          </w:p>
        </w:tc>
        <w:tc>
          <w:tcPr>
            <w:tcW w:w="1064" w:type="dxa"/>
            <w:vMerge w:val="restart"/>
            <w:tcBorders>
              <w:top w:val="nil"/>
              <w:left w:val="nil"/>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经济效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成本控制</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1.8</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1.37</w:t>
            </w: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20</w:t>
            </w: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20</w:t>
            </w: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restart"/>
            <w:tcBorders>
              <w:top w:val="nil"/>
              <w:left w:val="nil"/>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社会效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restart"/>
            <w:tcBorders>
              <w:top w:val="nil"/>
              <w:left w:val="nil"/>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生态效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指标1：</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可持续影响指标</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是否影响后续研究</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不影响</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正常</w:t>
            </w: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17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restart"/>
            <w:tcBorders>
              <w:top w:val="nil"/>
              <w:left w:val="nil"/>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满意度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（10分）</w:t>
            </w:r>
          </w:p>
        </w:tc>
        <w:tc>
          <w:tcPr>
            <w:tcW w:w="1064" w:type="dxa"/>
            <w:vMerge w:val="restart"/>
            <w:tcBorders>
              <w:top w:val="nil"/>
              <w:left w:val="nil"/>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服务对象满意度指标</w:t>
            </w: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任务完成情况</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省级期刊发表3篇</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省级期刊发表4篇</w:t>
            </w: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指标2：</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6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9" w:type="dxa"/>
            <w:vMerge w:val="continue"/>
            <w:tcBorders>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064" w:type="dxa"/>
            <w:vMerge w:val="continue"/>
            <w:tcBorders>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210"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179"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6770"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总分</w:t>
            </w:r>
          </w:p>
        </w:tc>
        <w:tc>
          <w:tcPr>
            <w:tcW w:w="821"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866"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96</w:t>
            </w:r>
          </w:p>
        </w:tc>
        <w:tc>
          <w:tcPr>
            <w:tcW w:w="1394" w:type="dxa"/>
            <w:tcBorders>
              <w:top w:val="nil"/>
              <w:left w:val="nil"/>
              <w:bottom w:val="single" w:color="auto" w:sz="4" w:space="0"/>
              <w:right w:val="single" w:color="auto" w:sz="4" w:space="0"/>
            </w:tcBorders>
            <w:noWrap w:val="0"/>
            <w:vAlign w:val="center"/>
          </w:tcPr>
          <w:p>
            <w:pPr>
              <w:widowControl/>
              <w:jc w:val="center"/>
              <w:rPr>
                <w:rFonts w:hint="eastAsia" w:eastAsia="仿宋_GB2312"/>
                <w:color w:val="auto"/>
                <w:kern w:val="0"/>
                <w:szCs w:val="21"/>
                <w:highlight w:val="none"/>
              </w:rPr>
            </w:pPr>
          </w:p>
        </w:tc>
      </w:tr>
    </w:tbl>
    <w:p>
      <w:pPr>
        <w:pStyle w:val="8"/>
        <w:ind w:left="0" w:leftChars="0" w:firstLine="0" w:firstLineChars="0"/>
        <w:jc w:val="both"/>
        <w:rPr>
          <w:rFonts w:hint="default"/>
          <w:color w:val="auto"/>
          <w:highlight w:val="none"/>
          <w:lang w:val="en-US"/>
        </w:rPr>
      </w:pPr>
      <w:r>
        <w:rPr>
          <w:rFonts w:hint="eastAsia" w:cs="Times New Roman"/>
          <w:color w:val="auto"/>
          <w:sz w:val="32"/>
          <w:szCs w:val="32"/>
          <w:highlight w:val="none"/>
          <w:lang w:val="en-US" w:eastAsia="zh-CN"/>
        </w:rPr>
        <w:t>附件3-9：</w:t>
      </w:r>
    </w:p>
    <w:p>
      <w:pPr>
        <w:jc w:val="center"/>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2020年度项目支出绩效自评表9</w:t>
      </w:r>
    </w:p>
    <w:tbl>
      <w:tblPr>
        <w:tblStyle w:val="9"/>
        <w:tblW w:w="9600" w:type="dxa"/>
        <w:jc w:val="center"/>
        <w:tblLayout w:type="fixed"/>
        <w:tblCellMar>
          <w:top w:w="0" w:type="dxa"/>
          <w:left w:w="108" w:type="dxa"/>
          <w:bottom w:w="0" w:type="dxa"/>
          <w:right w:w="108" w:type="dxa"/>
        </w:tblCellMar>
      </w:tblPr>
      <w:tblGrid>
        <w:gridCol w:w="1080"/>
        <w:gridCol w:w="1080"/>
        <w:gridCol w:w="1080"/>
        <w:gridCol w:w="1121"/>
        <w:gridCol w:w="1031"/>
        <w:gridCol w:w="1134"/>
        <w:gridCol w:w="828"/>
        <w:gridCol w:w="873"/>
        <w:gridCol w:w="1373"/>
      </w:tblGrid>
      <w:tr>
        <w:tblPrEx>
          <w:tblCellMar>
            <w:top w:w="0" w:type="dxa"/>
            <w:left w:w="108" w:type="dxa"/>
            <w:bottom w:w="0" w:type="dxa"/>
            <w:right w:w="108" w:type="dxa"/>
          </w:tblCellMar>
        </w:tblPrEx>
        <w:trPr>
          <w:trHeight w:val="454"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项目支</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出名称</w:t>
            </w:r>
          </w:p>
        </w:tc>
        <w:tc>
          <w:tcPr>
            <w:tcW w:w="8520" w:type="dxa"/>
            <w:gridSpan w:val="8"/>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lang w:val="en-US" w:eastAsia="zh-CN"/>
              </w:rPr>
              <w:t>学生公寓（7、8号）</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主管部门</w:t>
            </w:r>
          </w:p>
        </w:tc>
        <w:tc>
          <w:tcPr>
            <w:tcW w:w="4312" w:type="dxa"/>
            <w:gridSpan w:val="4"/>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湖南</w:t>
            </w:r>
            <w:r>
              <w:rPr>
                <w:rFonts w:hint="eastAsia" w:eastAsia="仿宋_GB2312"/>
                <w:color w:val="auto"/>
                <w:kern w:val="0"/>
                <w:szCs w:val="21"/>
                <w:highlight w:val="none"/>
                <w:lang w:eastAsia="zh-CN"/>
              </w:rPr>
              <w:t>建工集团有限公司</w:t>
            </w:r>
          </w:p>
        </w:tc>
        <w:tc>
          <w:tcPr>
            <w:tcW w:w="1134" w:type="dxa"/>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实施单位</w:t>
            </w:r>
          </w:p>
        </w:tc>
        <w:tc>
          <w:tcPr>
            <w:tcW w:w="3074" w:type="dxa"/>
            <w:gridSpan w:val="3"/>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lang w:eastAsia="zh-CN"/>
              </w:rPr>
            </w:pPr>
            <w:r>
              <w:rPr>
                <w:rFonts w:hint="eastAsia" w:eastAsia="仿宋_GB2312"/>
                <w:color w:val="auto"/>
                <w:kern w:val="0"/>
                <w:szCs w:val="21"/>
                <w:highlight w:val="none"/>
                <w:lang w:eastAsia="zh-CN"/>
              </w:rPr>
              <w:t>湖南城建职业技术学院</w:t>
            </w:r>
          </w:p>
        </w:tc>
      </w:tr>
      <w:tr>
        <w:tblPrEx>
          <w:tblCellMar>
            <w:top w:w="0" w:type="dxa"/>
            <w:left w:w="108" w:type="dxa"/>
            <w:bottom w:w="0" w:type="dxa"/>
            <w:right w:w="108" w:type="dxa"/>
          </w:tblCellMar>
        </w:tblPrEx>
        <w:trPr>
          <w:trHeight w:val="454"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项目资金</w:t>
            </w:r>
            <w:r>
              <w:rPr>
                <w:rFonts w:hint="eastAsia" w:eastAsia="仿宋_GB2312"/>
                <w:color w:val="auto"/>
                <w:kern w:val="0"/>
                <w:szCs w:val="21"/>
                <w:highlight w:val="none"/>
              </w:rPr>
              <w:br w:type="textWrapping"/>
            </w:r>
            <w:r>
              <w:rPr>
                <w:rFonts w:hint="eastAsia" w:eastAsia="仿宋_GB2312"/>
                <w:color w:val="auto"/>
                <w:kern w:val="0"/>
                <w:szCs w:val="21"/>
                <w:highlight w:val="none"/>
              </w:rPr>
              <w:t>（万元）</w:t>
            </w:r>
          </w:p>
        </w:tc>
        <w:tc>
          <w:tcPr>
            <w:tcW w:w="2160" w:type="dxa"/>
            <w:gridSpan w:val="2"/>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2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年初</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03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执行数</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执行率</w:t>
            </w:r>
          </w:p>
        </w:tc>
        <w:tc>
          <w:tcPr>
            <w:tcW w:w="13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r>
      <w:tr>
        <w:tblPrEx>
          <w:tblCellMar>
            <w:top w:w="0" w:type="dxa"/>
            <w:left w:w="108" w:type="dxa"/>
            <w:bottom w:w="0" w:type="dxa"/>
            <w:right w:w="108" w:type="dxa"/>
          </w:tblCellMar>
        </w:tblPrEx>
        <w:trPr>
          <w:trHeight w:val="454"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年度资金总额</w:t>
            </w:r>
          </w:p>
        </w:tc>
        <w:tc>
          <w:tcPr>
            <w:tcW w:w="112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3050</w:t>
            </w:r>
          </w:p>
        </w:tc>
        <w:tc>
          <w:tcPr>
            <w:tcW w:w="1031" w:type="dxa"/>
            <w:tcBorders>
              <w:top w:val="nil"/>
              <w:left w:val="nil"/>
              <w:bottom w:val="single" w:color="auto" w:sz="4" w:space="0"/>
              <w:right w:val="single" w:color="auto" w:sz="4" w:space="0"/>
            </w:tcBorders>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4511</w:t>
            </w:r>
          </w:p>
        </w:tc>
        <w:tc>
          <w:tcPr>
            <w:tcW w:w="1134" w:type="dxa"/>
            <w:tcBorders>
              <w:top w:val="nil"/>
              <w:left w:val="nil"/>
              <w:bottom w:val="single" w:color="auto" w:sz="4" w:space="0"/>
              <w:right w:val="single" w:color="auto" w:sz="4" w:space="0"/>
            </w:tcBorders>
            <w:vAlign w:val="bottom"/>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lang w:val="en-US" w:eastAsia="zh-CN"/>
              </w:rPr>
              <w:t>45</w:t>
            </w:r>
            <w:r>
              <w:rPr>
                <w:rFonts w:hint="eastAsia" w:eastAsia="仿宋_GB2312"/>
                <w:color w:val="auto"/>
                <w:kern w:val="0"/>
                <w:szCs w:val="21"/>
                <w:highlight w:val="none"/>
              </w:rPr>
              <w:t>83.36</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lang w:val="en-US" w:eastAsia="zh-CN"/>
              </w:rPr>
              <w:t>101</w:t>
            </w:r>
            <w:r>
              <w:rPr>
                <w:rFonts w:hint="eastAsia" w:eastAsia="仿宋_GB2312"/>
                <w:color w:val="auto"/>
                <w:kern w:val="0"/>
                <w:szCs w:val="21"/>
                <w:highlight w:val="none"/>
              </w:rPr>
              <w:t>%</w:t>
            </w:r>
          </w:p>
        </w:tc>
        <w:tc>
          <w:tcPr>
            <w:tcW w:w="1373" w:type="dxa"/>
            <w:tcBorders>
              <w:top w:val="nil"/>
              <w:left w:val="nil"/>
              <w:bottom w:val="single" w:color="auto" w:sz="4" w:space="0"/>
              <w:right w:val="single" w:color="auto" w:sz="4" w:space="0"/>
            </w:tcBorders>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w:t>
            </w:r>
          </w:p>
        </w:tc>
      </w:tr>
      <w:tr>
        <w:tblPrEx>
          <w:tblCellMar>
            <w:top w:w="0" w:type="dxa"/>
            <w:left w:w="108" w:type="dxa"/>
            <w:bottom w:w="0" w:type="dxa"/>
            <w:right w:w="108" w:type="dxa"/>
          </w:tblCellMar>
        </w:tblPrEx>
        <w:trPr>
          <w:trHeight w:val="454"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其中：当年财政拨款</w:t>
            </w:r>
          </w:p>
        </w:tc>
        <w:tc>
          <w:tcPr>
            <w:tcW w:w="112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3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上年结转资金</w:t>
            </w:r>
          </w:p>
        </w:tc>
        <w:tc>
          <w:tcPr>
            <w:tcW w:w="112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3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其他资金</w:t>
            </w:r>
          </w:p>
        </w:tc>
        <w:tc>
          <w:tcPr>
            <w:tcW w:w="112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3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年度总体目标</w:t>
            </w:r>
          </w:p>
        </w:tc>
        <w:tc>
          <w:tcPr>
            <w:tcW w:w="4312" w:type="dxa"/>
            <w:gridSpan w:val="4"/>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预期目标</w:t>
            </w:r>
          </w:p>
        </w:tc>
        <w:tc>
          <w:tcPr>
            <w:tcW w:w="4208" w:type="dxa"/>
            <w:gridSpan w:val="4"/>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实际完成情况</w:t>
            </w:r>
          </w:p>
        </w:tc>
      </w:tr>
      <w:tr>
        <w:tblPrEx>
          <w:tblCellMar>
            <w:top w:w="0" w:type="dxa"/>
            <w:left w:w="108" w:type="dxa"/>
            <w:bottom w:w="0" w:type="dxa"/>
            <w:right w:w="108" w:type="dxa"/>
          </w:tblCellMar>
        </w:tblPrEx>
        <w:trPr>
          <w:trHeight w:val="454"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4312" w:type="dxa"/>
            <w:gridSpan w:val="4"/>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学院办学条件不断改善</w:t>
            </w:r>
          </w:p>
        </w:tc>
        <w:tc>
          <w:tcPr>
            <w:tcW w:w="4208" w:type="dxa"/>
            <w:gridSpan w:val="4"/>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项目正在建设中</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8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108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112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103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完成值</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13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CellMar>
            <w:top w:w="0" w:type="dxa"/>
            <w:left w:w="108" w:type="dxa"/>
            <w:bottom w:w="0" w:type="dxa"/>
            <w:right w:w="108" w:type="dxa"/>
          </w:tblCellMar>
        </w:tblPrEx>
        <w:trPr>
          <w:trHeight w:val="347" w:hRule="atLeast"/>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1080"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数量指标</w:t>
            </w:r>
          </w:p>
        </w:tc>
        <w:tc>
          <w:tcPr>
            <w:tcW w:w="1121" w:type="dxa"/>
            <w:tcBorders>
              <w:top w:val="nil"/>
              <w:left w:val="nil"/>
              <w:right w:val="single" w:color="auto" w:sz="4" w:space="0"/>
            </w:tcBorders>
            <w:vAlign w:val="center"/>
          </w:tcPr>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采购学生公寓面积</w:t>
            </w:r>
          </w:p>
        </w:tc>
        <w:tc>
          <w:tcPr>
            <w:tcW w:w="1031"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p>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40000平方米</w:t>
            </w:r>
          </w:p>
        </w:tc>
        <w:tc>
          <w:tcPr>
            <w:tcW w:w="1134"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40000平方米</w:t>
            </w:r>
          </w:p>
        </w:tc>
        <w:tc>
          <w:tcPr>
            <w:tcW w:w="828"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p>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50</w:t>
            </w:r>
          </w:p>
        </w:tc>
        <w:tc>
          <w:tcPr>
            <w:tcW w:w="873"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p>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50</w:t>
            </w:r>
          </w:p>
        </w:tc>
        <w:tc>
          <w:tcPr>
            <w:tcW w:w="1373"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项目正在建设中，工程进度已完工92%。</w:t>
            </w:r>
          </w:p>
        </w:tc>
      </w:tr>
      <w:tr>
        <w:tblPrEx>
          <w:tblCellMar>
            <w:top w:w="0" w:type="dxa"/>
            <w:left w:w="108" w:type="dxa"/>
            <w:bottom w:w="0" w:type="dxa"/>
            <w:right w:w="108" w:type="dxa"/>
          </w:tblCellMar>
        </w:tblPrEx>
        <w:trPr>
          <w:trHeight w:val="346" w:hRule="atLeast"/>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2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31"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34"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28"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73"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73"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vAlign w:val="center"/>
          </w:tcPr>
          <w:p>
            <w:pPr>
              <w:widowControl/>
              <w:jc w:val="center"/>
              <w:rPr>
                <w:rFonts w:hint="eastAsia" w:eastAsia="仿宋_GB2312"/>
                <w:color w:val="auto"/>
                <w:kern w:val="0"/>
                <w:szCs w:val="21"/>
                <w:highlight w:val="none"/>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质量指标</w:t>
            </w:r>
          </w:p>
        </w:tc>
        <w:tc>
          <w:tcPr>
            <w:tcW w:w="1121" w:type="dxa"/>
            <w:tcBorders>
              <w:top w:val="single" w:color="auto" w:sz="4" w:space="0"/>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采购学生公寓质量达标率</w:t>
            </w:r>
          </w:p>
        </w:tc>
        <w:tc>
          <w:tcPr>
            <w:tcW w:w="1031" w:type="dxa"/>
            <w:tcBorders>
              <w:top w:val="single" w:color="auto" w:sz="4" w:space="0"/>
              <w:left w:val="nil"/>
              <w:bottom w:val="single" w:color="auto" w:sz="4" w:space="0"/>
              <w:right w:val="single" w:color="auto" w:sz="4" w:space="0"/>
            </w:tcBorders>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98%</w:t>
            </w:r>
          </w:p>
        </w:tc>
        <w:tc>
          <w:tcPr>
            <w:tcW w:w="828" w:type="dxa"/>
            <w:tcBorders>
              <w:top w:val="single" w:color="auto" w:sz="4" w:space="0"/>
              <w:left w:val="nil"/>
              <w:bottom w:val="single" w:color="auto" w:sz="4" w:space="0"/>
              <w:right w:val="single" w:color="auto" w:sz="4" w:space="0"/>
            </w:tcBorders>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20</w:t>
            </w:r>
          </w:p>
        </w:tc>
        <w:tc>
          <w:tcPr>
            <w:tcW w:w="873" w:type="dxa"/>
            <w:tcBorders>
              <w:top w:val="single" w:color="auto" w:sz="4" w:space="0"/>
              <w:left w:val="nil"/>
              <w:bottom w:val="single" w:color="auto" w:sz="4" w:space="0"/>
              <w:right w:val="single" w:color="auto" w:sz="4" w:space="0"/>
            </w:tcBorders>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18</w:t>
            </w:r>
          </w:p>
        </w:tc>
        <w:tc>
          <w:tcPr>
            <w:tcW w:w="1373"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vAlign w:val="center"/>
          </w:tcPr>
          <w:p>
            <w:pPr>
              <w:widowControl/>
              <w:jc w:val="center"/>
              <w:rPr>
                <w:rFonts w:hint="eastAsia" w:eastAsia="仿宋_GB2312"/>
                <w:color w:val="auto"/>
                <w:kern w:val="0"/>
                <w:szCs w:val="21"/>
                <w:highlight w:val="none"/>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时效指标</w:t>
            </w:r>
          </w:p>
        </w:tc>
        <w:tc>
          <w:tcPr>
            <w:tcW w:w="1121"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承建商按计划完成建设任务</w:t>
            </w:r>
          </w:p>
        </w:tc>
        <w:tc>
          <w:tcPr>
            <w:tcW w:w="103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1134" w:type="dxa"/>
            <w:tcBorders>
              <w:top w:val="nil"/>
              <w:left w:val="nil"/>
              <w:bottom w:val="single" w:color="auto" w:sz="4" w:space="0"/>
              <w:right w:val="single" w:color="auto" w:sz="4" w:space="0"/>
            </w:tcBorders>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98%</w:t>
            </w:r>
          </w:p>
        </w:tc>
        <w:tc>
          <w:tcPr>
            <w:tcW w:w="828" w:type="dxa"/>
            <w:tcBorders>
              <w:top w:val="nil"/>
              <w:left w:val="nil"/>
              <w:bottom w:val="single" w:color="auto" w:sz="4" w:space="0"/>
              <w:right w:val="single" w:color="auto" w:sz="4" w:space="0"/>
            </w:tcBorders>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20</w:t>
            </w:r>
          </w:p>
        </w:tc>
        <w:tc>
          <w:tcPr>
            <w:tcW w:w="873" w:type="dxa"/>
            <w:tcBorders>
              <w:top w:val="nil"/>
              <w:left w:val="nil"/>
              <w:bottom w:val="single" w:color="auto" w:sz="4" w:space="0"/>
              <w:right w:val="single" w:color="auto" w:sz="4" w:space="0"/>
            </w:tcBorders>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18</w:t>
            </w:r>
          </w:p>
        </w:tc>
        <w:tc>
          <w:tcPr>
            <w:tcW w:w="13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808" w:hRule="atLeast"/>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效益指标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（30分）</w:t>
            </w:r>
          </w:p>
          <w:p>
            <w:pPr>
              <w:widowControl/>
              <w:jc w:val="center"/>
              <w:rPr>
                <w:rFonts w:hint="eastAsia" w:eastAsia="仿宋_GB2312"/>
                <w:color w:val="auto"/>
                <w:kern w:val="0"/>
                <w:szCs w:val="21"/>
                <w:highlight w:val="none"/>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社会效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12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3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tcBorders>
              <w:top w:val="single" w:color="auto" w:sz="4" w:space="0"/>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满意度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（10分）</w:t>
            </w:r>
          </w:p>
        </w:tc>
        <w:tc>
          <w:tcPr>
            <w:tcW w:w="1080" w:type="dxa"/>
            <w:tcBorders>
              <w:top w:val="single" w:color="auto" w:sz="4" w:space="0"/>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服务对象满意度指标</w:t>
            </w:r>
          </w:p>
        </w:tc>
        <w:tc>
          <w:tcPr>
            <w:tcW w:w="112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31"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6526"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总分</w:t>
            </w:r>
          </w:p>
        </w:tc>
        <w:tc>
          <w:tcPr>
            <w:tcW w:w="828" w:type="dxa"/>
            <w:tcBorders>
              <w:top w:val="nil"/>
              <w:left w:val="nil"/>
              <w:bottom w:val="single" w:color="auto" w:sz="4" w:space="0"/>
              <w:right w:val="single" w:color="auto" w:sz="4" w:space="0"/>
            </w:tcBorders>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100</w:t>
            </w:r>
          </w:p>
        </w:tc>
        <w:tc>
          <w:tcPr>
            <w:tcW w:w="873" w:type="dxa"/>
            <w:tcBorders>
              <w:top w:val="nil"/>
              <w:left w:val="nil"/>
              <w:bottom w:val="single" w:color="auto" w:sz="4" w:space="0"/>
              <w:right w:val="single" w:color="auto" w:sz="4" w:space="0"/>
            </w:tcBorders>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98</w:t>
            </w:r>
          </w:p>
        </w:tc>
        <w:tc>
          <w:tcPr>
            <w:tcW w:w="1373"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bl>
    <w:p>
      <w:pPr>
        <w:pStyle w:val="8"/>
        <w:ind w:left="0" w:leftChars="0" w:firstLine="0" w:firstLineChars="0"/>
        <w:jc w:val="center"/>
        <w:rPr>
          <w:rFonts w:hint="default"/>
          <w:color w:val="auto"/>
          <w:highlight w:val="none"/>
          <w:lang w:val="en-US"/>
        </w:rPr>
      </w:pPr>
    </w:p>
    <w:p>
      <w:pPr>
        <w:pStyle w:val="8"/>
        <w:ind w:left="0" w:leftChars="0" w:firstLine="0" w:firstLineChars="0"/>
        <w:jc w:val="center"/>
        <w:rPr>
          <w:rFonts w:hint="eastAsia" w:cs="Times New Roman"/>
          <w:color w:val="auto"/>
          <w:sz w:val="32"/>
          <w:szCs w:val="32"/>
          <w:highlight w:val="none"/>
          <w:lang w:val="en-US" w:eastAsia="zh-CN"/>
        </w:rPr>
      </w:pPr>
    </w:p>
    <w:p>
      <w:pPr>
        <w:pStyle w:val="8"/>
        <w:ind w:left="0" w:leftChars="0" w:firstLine="0" w:firstLineChars="0"/>
        <w:jc w:val="both"/>
        <w:rPr>
          <w:rFonts w:hint="default"/>
          <w:color w:val="auto"/>
          <w:highlight w:val="none"/>
          <w:lang w:val="en-US"/>
        </w:rPr>
      </w:pPr>
      <w:r>
        <w:rPr>
          <w:rFonts w:hint="eastAsia" w:cs="Times New Roman"/>
          <w:color w:val="auto"/>
          <w:sz w:val="32"/>
          <w:szCs w:val="32"/>
          <w:highlight w:val="none"/>
          <w:lang w:val="en-US" w:eastAsia="zh-CN"/>
        </w:rPr>
        <w:t>附件3-10：</w:t>
      </w:r>
    </w:p>
    <w:p>
      <w:pPr>
        <w:jc w:val="center"/>
        <w:rPr>
          <w:rFonts w:hint="default"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2020年度项目支出绩效自评表10</w:t>
      </w:r>
    </w:p>
    <w:tbl>
      <w:tblPr>
        <w:tblStyle w:val="9"/>
        <w:tblW w:w="9957" w:type="dxa"/>
        <w:jc w:val="center"/>
        <w:tblLayout w:type="fixed"/>
        <w:tblCellMar>
          <w:top w:w="0" w:type="dxa"/>
          <w:left w:w="108" w:type="dxa"/>
          <w:bottom w:w="0" w:type="dxa"/>
          <w:right w:w="108" w:type="dxa"/>
        </w:tblCellMar>
      </w:tblPr>
      <w:tblGrid>
        <w:gridCol w:w="1080"/>
        <w:gridCol w:w="1080"/>
        <w:gridCol w:w="1080"/>
        <w:gridCol w:w="1330"/>
        <w:gridCol w:w="1129"/>
        <w:gridCol w:w="1386"/>
        <w:gridCol w:w="828"/>
        <w:gridCol w:w="910"/>
        <w:gridCol w:w="1134"/>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项目支</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出名称</w:t>
            </w:r>
          </w:p>
        </w:tc>
        <w:tc>
          <w:tcPr>
            <w:tcW w:w="8877" w:type="dxa"/>
            <w:gridSpan w:val="8"/>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图书、软件、固定资产购置</w:t>
            </w:r>
          </w:p>
        </w:tc>
      </w:tr>
      <w:tr>
        <w:tblPrEx>
          <w:tblCellMar>
            <w:top w:w="0" w:type="dxa"/>
            <w:left w:w="108" w:type="dxa"/>
            <w:bottom w:w="0" w:type="dxa"/>
            <w:right w:w="108" w:type="dxa"/>
          </w:tblCellMar>
        </w:tblPrEx>
        <w:trPr>
          <w:trHeight w:val="454"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主管部门</w:t>
            </w:r>
          </w:p>
        </w:tc>
        <w:tc>
          <w:tcPr>
            <w:tcW w:w="4619" w:type="dxa"/>
            <w:gridSpan w:val="4"/>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湖南省建筑工程集团总公司</w:t>
            </w:r>
          </w:p>
        </w:tc>
        <w:tc>
          <w:tcPr>
            <w:tcW w:w="1386" w:type="dxa"/>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实施单位</w:t>
            </w:r>
          </w:p>
        </w:tc>
        <w:tc>
          <w:tcPr>
            <w:tcW w:w="2872" w:type="dxa"/>
            <w:gridSpan w:val="3"/>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lang w:eastAsia="zh-CN"/>
              </w:rPr>
            </w:pPr>
            <w:r>
              <w:rPr>
                <w:rFonts w:hint="eastAsia" w:eastAsia="仿宋_GB2312"/>
                <w:color w:val="auto"/>
                <w:kern w:val="0"/>
                <w:szCs w:val="21"/>
                <w:highlight w:val="none"/>
                <w:lang w:eastAsia="zh-CN"/>
              </w:rPr>
              <w:t>湖南城建职业技术学院</w:t>
            </w:r>
          </w:p>
        </w:tc>
      </w:tr>
      <w:tr>
        <w:tblPrEx>
          <w:tblCellMar>
            <w:top w:w="0" w:type="dxa"/>
            <w:left w:w="108" w:type="dxa"/>
            <w:bottom w:w="0" w:type="dxa"/>
            <w:right w:w="108" w:type="dxa"/>
          </w:tblCellMar>
        </w:tblPrEx>
        <w:trPr>
          <w:trHeight w:val="454"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项目资金</w:t>
            </w:r>
            <w:r>
              <w:rPr>
                <w:rFonts w:hint="eastAsia" w:eastAsia="仿宋_GB2312"/>
                <w:color w:val="auto"/>
                <w:kern w:val="0"/>
                <w:szCs w:val="21"/>
                <w:highlight w:val="none"/>
              </w:rPr>
              <w:br w:type="textWrapping"/>
            </w:r>
            <w:r>
              <w:rPr>
                <w:rFonts w:hint="eastAsia" w:eastAsia="仿宋_GB2312"/>
                <w:color w:val="auto"/>
                <w:kern w:val="0"/>
                <w:szCs w:val="21"/>
                <w:highlight w:val="none"/>
              </w:rPr>
              <w:t>（万元）</w:t>
            </w:r>
          </w:p>
        </w:tc>
        <w:tc>
          <w:tcPr>
            <w:tcW w:w="2160" w:type="dxa"/>
            <w:gridSpan w:val="2"/>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3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年初</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129"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386"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执行数</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91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执行率</w:t>
            </w: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r>
      <w:tr>
        <w:tblPrEx>
          <w:tblCellMar>
            <w:top w:w="0" w:type="dxa"/>
            <w:left w:w="108" w:type="dxa"/>
            <w:bottom w:w="0" w:type="dxa"/>
            <w:right w:w="108" w:type="dxa"/>
          </w:tblCellMar>
        </w:tblPrEx>
        <w:trPr>
          <w:trHeight w:val="454"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年度资金总额</w:t>
            </w:r>
          </w:p>
        </w:tc>
        <w:tc>
          <w:tcPr>
            <w:tcW w:w="133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330</w:t>
            </w:r>
          </w:p>
        </w:tc>
        <w:tc>
          <w:tcPr>
            <w:tcW w:w="1129"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1033.61</w:t>
            </w:r>
          </w:p>
        </w:tc>
        <w:tc>
          <w:tcPr>
            <w:tcW w:w="1386"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896.9</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91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86.77%</w:t>
            </w: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8.67</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其中：当年财政拨款</w:t>
            </w:r>
          </w:p>
        </w:tc>
        <w:tc>
          <w:tcPr>
            <w:tcW w:w="133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29"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86"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91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上年结转资金</w:t>
            </w:r>
          </w:p>
        </w:tc>
        <w:tc>
          <w:tcPr>
            <w:tcW w:w="133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29"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86"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91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其他资金</w:t>
            </w:r>
          </w:p>
        </w:tc>
        <w:tc>
          <w:tcPr>
            <w:tcW w:w="133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29"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86"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91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年度总体目标</w:t>
            </w:r>
          </w:p>
        </w:tc>
        <w:tc>
          <w:tcPr>
            <w:tcW w:w="4619" w:type="dxa"/>
            <w:gridSpan w:val="4"/>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预期目标</w:t>
            </w:r>
          </w:p>
        </w:tc>
        <w:tc>
          <w:tcPr>
            <w:tcW w:w="4258" w:type="dxa"/>
            <w:gridSpan w:val="4"/>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实际完成情况</w:t>
            </w:r>
          </w:p>
        </w:tc>
      </w:tr>
      <w:tr>
        <w:tblPrEx>
          <w:tblCellMar>
            <w:top w:w="0" w:type="dxa"/>
            <w:left w:w="108" w:type="dxa"/>
            <w:bottom w:w="0" w:type="dxa"/>
            <w:right w:w="108" w:type="dxa"/>
          </w:tblCellMar>
        </w:tblPrEx>
        <w:trPr>
          <w:trHeight w:val="454"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4619" w:type="dxa"/>
            <w:gridSpan w:val="4"/>
            <w:tcBorders>
              <w:top w:val="single" w:color="auto" w:sz="4" w:space="0"/>
              <w:left w:val="nil"/>
              <w:bottom w:val="single" w:color="auto" w:sz="4" w:space="0"/>
              <w:right w:val="single" w:color="000000"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学院办学条件不断改善</w:t>
            </w:r>
          </w:p>
        </w:tc>
        <w:tc>
          <w:tcPr>
            <w:tcW w:w="4258" w:type="dxa"/>
            <w:gridSpan w:val="4"/>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学院办学条件得到改善</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8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108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133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1129"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1386"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完成值</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91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CellMar>
            <w:top w:w="0" w:type="dxa"/>
            <w:left w:w="108" w:type="dxa"/>
            <w:bottom w:w="0" w:type="dxa"/>
            <w:right w:w="108" w:type="dxa"/>
          </w:tblCellMar>
        </w:tblPrEx>
        <w:trPr>
          <w:trHeight w:val="347" w:hRule="atLeast"/>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1080"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数量指标</w:t>
            </w:r>
          </w:p>
        </w:tc>
        <w:tc>
          <w:tcPr>
            <w:tcW w:w="1330" w:type="dxa"/>
            <w:tcBorders>
              <w:top w:val="nil"/>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购置教学仪器设备数量</w:t>
            </w:r>
          </w:p>
        </w:tc>
        <w:tc>
          <w:tcPr>
            <w:tcW w:w="1129"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≥800台（或个）</w:t>
            </w:r>
          </w:p>
          <w:p>
            <w:pPr>
              <w:widowControl/>
              <w:jc w:val="center"/>
              <w:rPr>
                <w:rFonts w:hint="eastAsia" w:eastAsia="仿宋_GB2312"/>
                <w:color w:val="auto"/>
                <w:kern w:val="0"/>
                <w:szCs w:val="21"/>
                <w:highlight w:val="none"/>
              </w:rPr>
            </w:pPr>
          </w:p>
        </w:tc>
        <w:tc>
          <w:tcPr>
            <w:tcW w:w="1386"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1098台（或个）</w:t>
            </w:r>
          </w:p>
        </w:tc>
        <w:tc>
          <w:tcPr>
            <w:tcW w:w="828"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p>
            <w:pPr>
              <w:widowControl/>
              <w:jc w:val="center"/>
              <w:rPr>
                <w:rFonts w:hint="eastAsia" w:eastAsia="仿宋_GB2312"/>
                <w:color w:val="auto"/>
                <w:kern w:val="0"/>
                <w:szCs w:val="21"/>
                <w:highlight w:val="none"/>
              </w:rPr>
            </w:pPr>
          </w:p>
        </w:tc>
        <w:tc>
          <w:tcPr>
            <w:tcW w:w="910"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p>
            <w:pPr>
              <w:widowControl/>
              <w:jc w:val="center"/>
              <w:rPr>
                <w:rFonts w:hint="eastAsia" w:eastAsia="仿宋_GB2312"/>
                <w:color w:val="auto"/>
                <w:kern w:val="0"/>
                <w:szCs w:val="21"/>
                <w:highlight w:val="none"/>
              </w:rPr>
            </w:pPr>
          </w:p>
        </w:tc>
        <w:tc>
          <w:tcPr>
            <w:tcW w:w="1134" w:type="dxa"/>
            <w:vMerge w:val="restart"/>
            <w:tcBorders>
              <w:top w:val="nil"/>
              <w:left w:val="nil"/>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145" w:hRule="atLeast"/>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vAlign w:val="center"/>
          </w:tcPr>
          <w:p>
            <w:pPr>
              <w:widowControl/>
              <w:jc w:val="center"/>
              <w:rPr>
                <w:rFonts w:hint="eastAsia" w:eastAsia="仿宋_GB2312"/>
                <w:color w:val="auto"/>
                <w:kern w:val="0"/>
                <w:szCs w:val="21"/>
                <w:highlight w:val="none"/>
              </w:rPr>
            </w:pPr>
          </w:p>
        </w:tc>
        <w:tc>
          <w:tcPr>
            <w:tcW w:w="133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29"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86"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828"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910"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134"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vAlign w:val="center"/>
          </w:tcPr>
          <w:p>
            <w:pPr>
              <w:widowControl/>
              <w:jc w:val="center"/>
              <w:rPr>
                <w:rFonts w:hint="eastAsia" w:eastAsia="仿宋_GB2312"/>
                <w:color w:val="auto"/>
                <w:kern w:val="0"/>
                <w:szCs w:val="21"/>
                <w:highlight w:val="none"/>
              </w:rPr>
            </w:pPr>
          </w:p>
        </w:tc>
        <w:tc>
          <w:tcPr>
            <w:tcW w:w="133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图书购置数量</w:t>
            </w:r>
          </w:p>
        </w:tc>
        <w:tc>
          <w:tcPr>
            <w:tcW w:w="1129" w:type="dxa"/>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≥2万册</w:t>
            </w:r>
          </w:p>
        </w:tc>
        <w:tc>
          <w:tcPr>
            <w:tcW w:w="1386" w:type="dxa"/>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纸质图书1066册</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电子图书、期刊2万册</w:t>
            </w:r>
          </w:p>
        </w:tc>
        <w:tc>
          <w:tcPr>
            <w:tcW w:w="828" w:type="dxa"/>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910" w:type="dxa"/>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134" w:type="dxa"/>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33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购置软件数量</w:t>
            </w:r>
          </w:p>
        </w:tc>
        <w:tc>
          <w:tcPr>
            <w:tcW w:w="1129" w:type="dxa"/>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≥10套</w:t>
            </w:r>
          </w:p>
        </w:tc>
        <w:tc>
          <w:tcPr>
            <w:tcW w:w="1386" w:type="dxa"/>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14套</w:t>
            </w:r>
          </w:p>
        </w:tc>
        <w:tc>
          <w:tcPr>
            <w:tcW w:w="828" w:type="dxa"/>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910" w:type="dxa"/>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134" w:type="dxa"/>
            <w:tcBorders>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vAlign w:val="center"/>
          </w:tcPr>
          <w:p>
            <w:pPr>
              <w:widowControl/>
              <w:jc w:val="center"/>
              <w:rPr>
                <w:rFonts w:hint="eastAsia" w:eastAsia="仿宋_GB2312"/>
                <w:color w:val="auto"/>
                <w:kern w:val="0"/>
                <w:szCs w:val="21"/>
                <w:highlight w:val="none"/>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质量指标</w:t>
            </w:r>
          </w:p>
        </w:tc>
        <w:tc>
          <w:tcPr>
            <w:tcW w:w="1330" w:type="dxa"/>
            <w:tcBorders>
              <w:top w:val="single" w:color="auto" w:sz="4" w:space="0"/>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购置教学仪器设备、图书、软件质量达标率</w:t>
            </w:r>
          </w:p>
        </w:tc>
        <w:tc>
          <w:tcPr>
            <w:tcW w:w="1129"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98%</w:t>
            </w:r>
          </w:p>
        </w:tc>
        <w:tc>
          <w:tcPr>
            <w:tcW w:w="1386"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98%</w:t>
            </w:r>
          </w:p>
        </w:tc>
        <w:tc>
          <w:tcPr>
            <w:tcW w:w="828"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910"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9.8</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vAlign w:val="center"/>
          </w:tcPr>
          <w:p>
            <w:pPr>
              <w:widowControl/>
              <w:jc w:val="center"/>
              <w:rPr>
                <w:rFonts w:hint="eastAsia" w:eastAsia="仿宋_GB2312"/>
                <w:color w:val="auto"/>
                <w:kern w:val="0"/>
                <w:szCs w:val="21"/>
                <w:highlight w:val="none"/>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时效指标</w:t>
            </w:r>
          </w:p>
        </w:tc>
        <w:tc>
          <w:tcPr>
            <w:tcW w:w="1330"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教学仪器设备、图书、软件购置完成率</w:t>
            </w:r>
          </w:p>
        </w:tc>
        <w:tc>
          <w:tcPr>
            <w:tcW w:w="1129"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1386"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91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814" w:hRule="atLeast"/>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效益指标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（30分）</w:t>
            </w:r>
          </w:p>
          <w:p>
            <w:pPr>
              <w:widowControl/>
              <w:jc w:val="center"/>
              <w:rPr>
                <w:rFonts w:hint="eastAsia" w:eastAsia="仿宋_GB2312"/>
                <w:color w:val="auto"/>
                <w:kern w:val="0"/>
                <w:szCs w:val="21"/>
                <w:highlight w:val="none"/>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社会效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33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学院办学条件</w:t>
            </w:r>
          </w:p>
        </w:tc>
        <w:tc>
          <w:tcPr>
            <w:tcW w:w="1129"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逐步改善</w:t>
            </w:r>
          </w:p>
        </w:tc>
        <w:tc>
          <w:tcPr>
            <w:tcW w:w="1386"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逐步改善</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w:t>
            </w:r>
          </w:p>
        </w:tc>
        <w:tc>
          <w:tcPr>
            <w:tcW w:w="91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28</w:t>
            </w: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c>
          <w:tcPr>
            <w:tcW w:w="1080" w:type="dxa"/>
            <w:tcBorders>
              <w:top w:val="single" w:color="auto" w:sz="4" w:space="0"/>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满意度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（10分）</w:t>
            </w:r>
          </w:p>
        </w:tc>
        <w:tc>
          <w:tcPr>
            <w:tcW w:w="1080" w:type="dxa"/>
            <w:tcBorders>
              <w:top w:val="single" w:color="auto" w:sz="4" w:space="0"/>
              <w:left w:val="nil"/>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服务对象满意度指标</w:t>
            </w:r>
          </w:p>
        </w:tc>
        <w:tc>
          <w:tcPr>
            <w:tcW w:w="133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受益学院教师学生满意度</w:t>
            </w:r>
          </w:p>
        </w:tc>
        <w:tc>
          <w:tcPr>
            <w:tcW w:w="1129"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≥98%</w:t>
            </w:r>
          </w:p>
        </w:tc>
        <w:tc>
          <w:tcPr>
            <w:tcW w:w="1386"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≥98%</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91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9.8</w:t>
            </w: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7085"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总分</w:t>
            </w:r>
          </w:p>
        </w:tc>
        <w:tc>
          <w:tcPr>
            <w:tcW w:w="828"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910"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96.27</w:t>
            </w:r>
          </w:p>
        </w:tc>
        <w:tc>
          <w:tcPr>
            <w:tcW w:w="1134" w:type="dxa"/>
            <w:tcBorders>
              <w:top w:val="nil"/>
              <w:left w:val="nil"/>
              <w:bottom w:val="single" w:color="auto" w:sz="4" w:space="0"/>
              <w:right w:val="single" w:color="auto" w:sz="4" w:space="0"/>
            </w:tcBorders>
            <w:vAlign w:val="center"/>
          </w:tcPr>
          <w:p>
            <w:pPr>
              <w:widowControl/>
              <w:jc w:val="center"/>
              <w:rPr>
                <w:rFonts w:hint="eastAsia" w:eastAsia="仿宋_GB2312"/>
                <w:color w:val="auto"/>
                <w:kern w:val="0"/>
                <w:szCs w:val="21"/>
                <w:highlight w:val="none"/>
              </w:rPr>
            </w:pPr>
          </w:p>
        </w:tc>
      </w:tr>
    </w:tbl>
    <w:p>
      <w:pPr>
        <w:widowControl/>
        <w:spacing w:line="600" w:lineRule="exact"/>
        <w:jc w:val="both"/>
        <w:rPr>
          <w:rFonts w:hint="default" w:ascii="Times New Roman" w:hAnsi="Times New Roman" w:eastAsia="黑体" w:cs="Times New Roman"/>
          <w:color w:val="auto"/>
          <w:sz w:val="32"/>
          <w:szCs w:val="32"/>
          <w:highlight w:val="none"/>
          <w:lang w:val="en-US" w:eastAsia="zh-CN"/>
        </w:rPr>
      </w:pPr>
      <w:r>
        <w:rPr>
          <w:rFonts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3-11</w:t>
      </w:r>
    </w:p>
    <w:p>
      <w:pPr>
        <w:widowControl/>
        <w:spacing w:line="600" w:lineRule="exact"/>
        <w:jc w:val="center"/>
        <w:rPr>
          <w:rFonts w:ascii="Times New Roman" w:hAnsi="Times New Roman" w:eastAsia="方正小标宋_GBK" w:cs="Times New Roman"/>
          <w:color w:val="auto"/>
          <w:kern w:val="0"/>
          <w:sz w:val="36"/>
          <w:szCs w:val="36"/>
          <w:highlight w:val="none"/>
        </w:rPr>
      </w:pPr>
      <w:r>
        <w:rPr>
          <w:rFonts w:ascii="Times New Roman" w:hAnsi="Times New Roman" w:eastAsia="方正小标宋_GBK" w:cs="Times New Roman"/>
          <w:color w:val="auto"/>
          <w:kern w:val="0"/>
          <w:sz w:val="36"/>
          <w:szCs w:val="36"/>
          <w:highlight w:val="none"/>
        </w:rPr>
        <w:t>2020年度项目支出绩效自评表</w:t>
      </w:r>
    </w:p>
    <w:tbl>
      <w:tblPr>
        <w:tblStyle w:val="9"/>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trHeight w:val="9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项目支</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出名称</w:t>
            </w:r>
          </w:p>
        </w:tc>
        <w:tc>
          <w:tcPr>
            <w:tcW w:w="8771"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就业补助专项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主管部门</w:t>
            </w:r>
          </w:p>
        </w:tc>
        <w:tc>
          <w:tcPr>
            <w:tcW w:w="451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湖南建工集团有限公司</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实施单位</w:t>
            </w:r>
          </w:p>
        </w:tc>
        <w:tc>
          <w:tcPr>
            <w:tcW w:w="31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湖南建筑高级技工学校</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项目资金</w:t>
            </w:r>
            <w:r>
              <w:rPr>
                <w:rFonts w:hint="eastAsia" w:eastAsia="仿宋_GB2312"/>
                <w:color w:val="auto"/>
                <w:kern w:val="0"/>
                <w:szCs w:val="21"/>
                <w:highlight w:val="none"/>
              </w:rPr>
              <w:br w:type="textWrapping"/>
            </w:r>
            <w:r>
              <w:rPr>
                <w:rFonts w:hint="eastAsia" w:eastAsia="仿宋_GB2312"/>
                <w:color w:val="auto"/>
                <w:kern w:val="0"/>
                <w:szCs w:val="21"/>
                <w:highlight w:val="none"/>
              </w:rPr>
              <w:t>（万元）</w:t>
            </w: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年初</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预算数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全年</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执行数</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执行率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年度资金总额</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315.58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300.47</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95.21%</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其中：当年财政拨款</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247.76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232.65</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93.90%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上年结转资金</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67.82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67.82</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216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其他资金</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年度总体目标</w:t>
            </w:r>
          </w:p>
        </w:tc>
        <w:tc>
          <w:tcPr>
            <w:tcW w:w="45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预期目标</w:t>
            </w:r>
          </w:p>
        </w:tc>
        <w:tc>
          <w:tcPr>
            <w:tcW w:w="42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实际完成情况</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eastAsia="仿宋_GB2312"/>
                <w:color w:val="auto"/>
                <w:kern w:val="0"/>
                <w:szCs w:val="21"/>
                <w:highlight w:val="none"/>
              </w:rPr>
            </w:pPr>
          </w:p>
        </w:tc>
        <w:tc>
          <w:tcPr>
            <w:tcW w:w="451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促进职业教育发展，提高学校办学水平系长期目标</w:t>
            </w:r>
          </w:p>
        </w:tc>
        <w:tc>
          <w:tcPr>
            <w:tcW w:w="42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促进职业教育发展，提高学校办学水平，年度师生获得校外技能赛事各类奖项共44人次</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一级指标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二级指标</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三级指标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指标值</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完成值</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分值</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得分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偏差原因</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分析及</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产出指标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(50分)</w:t>
            </w: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数量指标</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按期申报就业补助专项资金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对符合条件的学生进行资格核查，及时准确申报实训补贴资金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申报人数1236人</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质量指标</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采购符合国家现行标准的设备设施和材料</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采购符合国家现行标准的设备设施和材料，达到政府采购条件的，实行政府采购</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采购符合国家现行标准的设备设施和材料，达到政府采购条件的，已实行政府采购</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时效指标</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分两年完成</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每年完成50%以上的指标支付</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2020年累计支出300.47万，预算完成率95.21%</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15</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12</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成本指标</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学生实训材料人均成本1600元</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年度指标值197.76万元</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实际完成值189.45万元</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15</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12</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效益指标</w:t>
            </w:r>
          </w:p>
          <w:p>
            <w:pPr>
              <w:widowControl/>
              <w:jc w:val="center"/>
              <w:rPr>
                <w:rFonts w:hint="eastAsia" w:eastAsia="仿宋_GB2312"/>
                <w:color w:val="auto"/>
                <w:kern w:val="0"/>
                <w:szCs w:val="21"/>
                <w:highlight w:val="none"/>
              </w:rPr>
            </w:pP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（30分）</w:t>
            </w: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经济效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项目是否直接或间接产生经济效益</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增加实训设备、实训材料投入后，提高学生动手实操能力</w:t>
            </w:r>
          </w:p>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2020年度师生获得校外技能赛事各类奖项共44人次</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社会效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提升学生技能，稳定学生就业率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在一定程度上，增强技工教育的吸引力，稳定学生就业率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超额完成年度招生目标，学生就业率达95%以上</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restart"/>
            <w:tcBorders>
              <w:top w:val="nil"/>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生态效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益指标</w:t>
            </w: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采购符合现行国家标准的设备设施和材料</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采购符合现行国家标准的设备设施和材料，达到政府采购条件的，实行政府采购</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采购符合现行国家标准的设备设施和材料，达到政府采购条件的，已实行政府采购</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绩</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效</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标</w:t>
            </w: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在专项政策期限内可持续</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在专项政策期限内可持续</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在专项政策期限内可持续</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22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c>
          <w:tcPr>
            <w:tcW w:w="1080" w:type="dxa"/>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满意度</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指标</w:t>
            </w:r>
          </w:p>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（10分）</w:t>
            </w:r>
          </w:p>
        </w:tc>
        <w:tc>
          <w:tcPr>
            <w:tcW w:w="1080" w:type="dxa"/>
            <w:tcBorders>
              <w:top w:val="single" w:color="auto" w:sz="4" w:space="0"/>
              <w:left w:val="nil"/>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服务对象满意度指标</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师生整体满意度达95%以上</w:t>
            </w:r>
          </w:p>
        </w:tc>
        <w:tc>
          <w:tcPr>
            <w:tcW w:w="1134" w:type="dxa"/>
            <w:tcBorders>
              <w:top w:val="nil"/>
              <w:left w:val="nil"/>
              <w:bottom w:val="single" w:color="auto" w:sz="4" w:space="0"/>
              <w:right w:val="single" w:color="auto" w:sz="4" w:space="0"/>
            </w:tcBorders>
            <w:shd w:val="clear" w:color="auto" w:fill="auto"/>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师生整体满意度达95%以上</w:t>
            </w:r>
          </w:p>
        </w:tc>
        <w:tc>
          <w:tcPr>
            <w:tcW w:w="1134" w:type="dxa"/>
            <w:tcBorders>
              <w:top w:val="nil"/>
              <w:left w:val="nil"/>
              <w:bottom w:val="single" w:color="auto" w:sz="4" w:space="0"/>
              <w:right w:val="single" w:color="auto" w:sz="4" w:space="0"/>
            </w:tcBorders>
            <w:shd w:val="clear" w:color="auto" w:fill="auto"/>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师生整体满意度达95%以上</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r>
              <w:rPr>
                <w:rFonts w:hint="eastAsia" w:eastAsia="仿宋_GB2312"/>
                <w:color w:val="auto"/>
                <w:kern w:val="0"/>
                <w:szCs w:val="21"/>
                <w:highlight w:val="none"/>
              </w:rPr>
              <w:t>10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eastAsia="仿宋_GB2312"/>
                <w:color w:val="auto"/>
                <w:kern w:val="0"/>
                <w:szCs w:val="21"/>
                <w:highlight w:val="none"/>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总分</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ascii="Times New Roman" w:hAnsi="Times New Roman" w:eastAsia="仿宋_GB2312" w:cs="Times New Roman"/>
                <w:color w:val="auto"/>
                <w:kern w:val="0"/>
                <w:szCs w:val="21"/>
                <w:highlight w:val="none"/>
              </w:rPr>
              <w:t>100</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r>
              <w:rPr>
                <w:rFonts w:hint="eastAsia" w:ascii="Times New Roman" w:hAnsi="Times New Roman" w:eastAsia="仿宋_GB2312" w:cs="Times New Roman"/>
                <w:color w:val="auto"/>
                <w:kern w:val="0"/>
                <w:szCs w:val="21"/>
                <w:highlight w:val="none"/>
              </w:rPr>
              <w:t>92</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highlight w:val="none"/>
              </w:rPr>
            </w:pPr>
          </w:p>
        </w:tc>
      </w:tr>
    </w:tbl>
    <w:p>
      <w:pPr>
        <w:jc w:val="both"/>
        <w:rPr>
          <w:color w:val="auto"/>
          <w:highlight w:val="none"/>
        </w:rPr>
      </w:pPr>
    </w:p>
    <w:sectPr>
      <w:pgSz w:w="11906" w:h="16838"/>
      <w:pgMar w:top="1440" w:right="1803" w:bottom="675"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016EC"/>
    <w:multiLevelType w:val="singleLevel"/>
    <w:tmpl w:val="AC8016EC"/>
    <w:lvl w:ilvl="0" w:tentative="0">
      <w:start w:val="4"/>
      <w:numFmt w:val="chineseCounting"/>
      <w:suff w:val="nothing"/>
      <w:lvlText w:val="%1、"/>
      <w:lvlJc w:val="left"/>
      <w:rPr>
        <w:rFonts w:hint="eastAsia"/>
      </w:rPr>
    </w:lvl>
  </w:abstractNum>
  <w:abstractNum w:abstractNumId="1">
    <w:nsid w:val="1C953307"/>
    <w:multiLevelType w:val="multilevel"/>
    <w:tmpl w:val="1C953307"/>
    <w:lvl w:ilvl="0" w:tentative="0">
      <w:start w:val="7"/>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BF010DC"/>
    <w:multiLevelType w:val="singleLevel"/>
    <w:tmpl w:val="6BF010D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45BF0"/>
    <w:rsid w:val="00AF06D3"/>
    <w:rsid w:val="016323C1"/>
    <w:rsid w:val="018B1D99"/>
    <w:rsid w:val="02E5275D"/>
    <w:rsid w:val="0512354F"/>
    <w:rsid w:val="052142C4"/>
    <w:rsid w:val="05774529"/>
    <w:rsid w:val="06121443"/>
    <w:rsid w:val="0653784C"/>
    <w:rsid w:val="06A3651C"/>
    <w:rsid w:val="07AF6518"/>
    <w:rsid w:val="080920B9"/>
    <w:rsid w:val="081B2BC7"/>
    <w:rsid w:val="097A7AB5"/>
    <w:rsid w:val="0A6A3541"/>
    <w:rsid w:val="0A9315AD"/>
    <w:rsid w:val="0AC207BA"/>
    <w:rsid w:val="0AFB7374"/>
    <w:rsid w:val="0B646C3B"/>
    <w:rsid w:val="0E462D78"/>
    <w:rsid w:val="0EBD7100"/>
    <w:rsid w:val="111556EA"/>
    <w:rsid w:val="11EC7A88"/>
    <w:rsid w:val="120227AE"/>
    <w:rsid w:val="127B3F2C"/>
    <w:rsid w:val="12E80E29"/>
    <w:rsid w:val="13922F17"/>
    <w:rsid w:val="14B3609B"/>
    <w:rsid w:val="14BF4719"/>
    <w:rsid w:val="163F53B8"/>
    <w:rsid w:val="166C78D2"/>
    <w:rsid w:val="16C67473"/>
    <w:rsid w:val="16CB6593"/>
    <w:rsid w:val="170515EA"/>
    <w:rsid w:val="176D09AA"/>
    <w:rsid w:val="18D66009"/>
    <w:rsid w:val="18E4404D"/>
    <w:rsid w:val="19705974"/>
    <w:rsid w:val="19CA1C69"/>
    <w:rsid w:val="1A4A2695"/>
    <w:rsid w:val="1ADE3CF2"/>
    <w:rsid w:val="1C1B7274"/>
    <w:rsid w:val="1CCA7D61"/>
    <w:rsid w:val="1CCE00F1"/>
    <w:rsid w:val="1D2F4049"/>
    <w:rsid w:val="1D876CCD"/>
    <w:rsid w:val="1DB11C54"/>
    <w:rsid w:val="1DED2C78"/>
    <w:rsid w:val="1F5B0D97"/>
    <w:rsid w:val="21571A7A"/>
    <w:rsid w:val="218E2E33"/>
    <w:rsid w:val="21C16F79"/>
    <w:rsid w:val="21C509B2"/>
    <w:rsid w:val="21F03A01"/>
    <w:rsid w:val="22331AA9"/>
    <w:rsid w:val="227401C1"/>
    <w:rsid w:val="242325ED"/>
    <w:rsid w:val="242D00A7"/>
    <w:rsid w:val="242F33C9"/>
    <w:rsid w:val="26CD53C3"/>
    <w:rsid w:val="271F6458"/>
    <w:rsid w:val="273E0C67"/>
    <w:rsid w:val="28013B55"/>
    <w:rsid w:val="29955CA6"/>
    <w:rsid w:val="2A1F0018"/>
    <w:rsid w:val="2A883F52"/>
    <w:rsid w:val="2AD242F3"/>
    <w:rsid w:val="2AD67A68"/>
    <w:rsid w:val="2AFB1E85"/>
    <w:rsid w:val="2B6105D1"/>
    <w:rsid w:val="2BDA1214"/>
    <w:rsid w:val="2C2B6336"/>
    <w:rsid w:val="2C7D416F"/>
    <w:rsid w:val="2CCE5C7A"/>
    <w:rsid w:val="2CE1787E"/>
    <w:rsid w:val="2CFE32BF"/>
    <w:rsid w:val="2D584DAB"/>
    <w:rsid w:val="2E5374C0"/>
    <w:rsid w:val="2F082761"/>
    <w:rsid w:val="2F920C6D"/>
    <w:rsid w:val="30971CF6"/>
    <w:rsid w:val="30BA203F"/>
    <w:rsid w:val="316D11FF"/>
    <w:rsid w:val="336D4996"/>
    <w:rsid w:val="359978A1"/>
    <w:rsid w:val="35A61398"/>
    <w:rsid w:val="36785C0A"/>
    <w:rsid w:val="36F800CD"/>
    <w:rsid w:val="37166693"/>
    <w:rsid w:val="37631775"/>
    <w:rsid w:val="379E015A"/>
    <w:rsid w:val="3A117121"/>
    <w:rsid w:val="3A55033E"/>
    <w:rsid w:val="3A8C49BF"/>
    <w:rsid w:val="3AAC6EA5"/>
    <w:rsid w:val="3AD75B94"/>
    <w:rsid w:val="3B8F352C"/>
    <w:rsid w:val="3C3976CB"/>
    <w:rsid w:val="3C7E3141"/>
    <w:rsid w:val="3E336081"/>
    <w:rsid w:val="3F974C0F"/>
    <w:rsid w:val="3FAF0662"/>
    <w:rsid w:val="3FDE363D"/>
    <w:rsid w:val="404A0D42"/>
    <w:rsid w:val="40637059"/>
    <w:rsid w:val="40D80945"/>
    <w:rsid w:val="40F83CF9"/>
    <w:rsid w:val="414D074C"/>
    <w:rsid w:val="42616B63"/>
    <w:rsid w:val="428306EC"/>
    <w:rsid w:val="429F3196"/>
    <w:rsid w:val="42CE077A"/>
    <w:rsid w:val="42D83792"/>
    <w:rsid w:val="43A10BF8"/>
    <w:rsid w:val="43C14588"/>
    <w:rsid w:val="447D40F2"/>
    <w:rsid w:val="4524505F"/>
    <w:rsid w:val="4670500C"/>
    <w:rsid w:val="46D96B6F"/>
    <w:rsid w:val="47443D40"/>
    <w:rsid w:val="479C3582"/>
    <w:rsid w:val="495F3DD4"/>
    <w:rsid w:val="49903BA5"/>
    <w:rsid w:val="49A27C8C"/>
    <w:rsid w:val="49FD6038"/>
    <w:rsid w:val="4AFA224D"/>
    <w:rsid w:val="4B086390"/>
    <w:rsid w:val="4B2049DA"/>
    <w:rsid w:val="4BA03960"/>
    <w:rsid w:val="4C8554B2"/>
    <w:rsid w:val="4D2253E0"/>
    <w:rsid w:val="4D51349B"/>
    <w:rsid w:val="4E6551CF"/>
    <w:rsid w:val="4F10049B"/>
    <w:rsid w:val="4F3238DD"/>
    <w:rsid w:val="4F4F0D32"/>
    <w:rsid w:val="4FB520A2"/>
    <w:rsid w:val="4FDF43A0"/>
    <w:rsid w:val="50E1740F"/>
    <w:rsid w:val="51AB18C2"/>
    <w:rsid w:val="51C50C33"/>
    <w:rsid w:val="51EE190B"/>
    <w:rsid w:val="526F3633"/>
    <w:rsid w:val="52C371CD"/>
    <w:rsid w:val="534C2071"/>
    <w:rsid w:val="53713215"/>
    <w:rsid w:val="5417644C"/>
    <w:rsid w:val="5449584A"/>
    <w:rsid w:val="552F5B3B"/>
    <w:rsid w:val="559557B0"/>
    <w:rsid w:val="55AA6CFA"/>
    <w:rsid w:val="562E2EE6"/>
    <w:rsid w:val="563E7122"/>
    <w:rsid w:val="56575019"/>
    <w:rsid w:val="565E70AE"/>
    <w:rsid w:val="587C23C8"/>
    <w:rsid w:val="59576D7E"/>
    <w:rsid w:val="599A7E5D"/>
    <w:rsid w:val="5A1479A3"/>
    <w:rsid w:val="5A201784"/>
    <w:rsid w:val="5A834F5B"/>
    <w:rsid w:val="5C31489F"/>
    <w:rsid w:val="5C333D2C"/>
    <w:rsid w:val="5C89207C"/>
    <w:rsid w:val="5CE7574D"/>
    <w:rsid w:val="5D000EA8"/>
    <w:rsid w:val="5D3F0DB4"/>
    <w:rsid w:val="5DB8421A"/>
    <w:rsid w:val="5DE67414"/>
    <w:rsid w:val="5DF82542"/>
    <w:rsid w:val="5E71418D"/>
    <w:rsid w:val="5E9D1310"/>
    <w:rsid w:val="5EA42B30"/>
    <w:rsid w:val="5EBE2BE4"/>
    <w:rsid w:val="5EF90A10"/>
    <w:rsid w:val="601E5B74"/>
    <w:rsid w:val="60383250"/>
    <w:rsid w:val="61494905"/>
    <w:rsid w:val="61AE77EC"/>
    <w:rsid w:val="61E80454"/>
    <w:rsid w:val="62701B62"/>
    <w:rsid w:val="628208E7"/>
    <w:rsid w:val="62A1320C"/>
    <w:rsid w:val="62ED6116"/>
    <w:rsid w:val="63D504BD"/>
    <w:rsid w:val="64D66046"/>
    <w:rsid w:val="655955A2"/>
    <w:rsid w:val="672D0625"/>
    <w:rsid w:val="67604603"/>
    <w:rsid w:val="686B0869"/>
    <w:rsid w:val="68C53B27"/>
    <w:rsid w:val="69CD606C"/>
    <w:rsid w:val="6A2E474C"/>
    <w:rsid w:val="6AF772E4"/>
    <w:rsid w:val="6AFB7942"/>
    <w:rsid w:val="6B0A08E6"/>
    <w:rsid w:val="6B27745F"/>
    <w:rsid w:val="6B3A6092"/>
    <w:rsid w:val="6BCB55B1"/>
    <w:rsid w:val="6C626F41"/>
    <w:rsid w:val="6CDC300D"/>
    <w:rsid w:val="6D47321D"/>
    <w:rsid w:val="6D7A66A4"/>
    <w:rsid w:val="6D935DAA"/>
    <w:rsid w:val="6DC212D4"/>
    <w:rsid w:val="6DC2797B"/>
    <w:rsid w:val="6E425C67"/>
    <w:rsid w:val="6ECE42F1"/>
    <w:rsid w:val="6F30175C"/>
    <w:rsid w:val="6FB453F0"/>
    <w:rsid w:val="6FE10447"/>
    <w:rsid w:val="703B23D6"/>
    <w:rsid w:val="71F97279"/>
    <w:rsid w:val="725C08A3"/>
    <w:rsid w:val="72A67A6F"/>
    <w:rsid w:val="73016A04"/>
    <w:rsid w:val="730D2BEF"/>
    <w:rsid w:val="732B120F"/>
    <w:rsid w:val="74817751"/>
    <w:rsid w:val="75CD4E67"/>
    <w:rsid w:val="76AB565D"/>
    <w:rsid w:val="77A57FFF"/>
    <w:rsid w:val="78881B42"/>
    <w:rsid w:val="78993925"/>
    <w:rsid w:val="78ED34F7"/>
    <w:rsid w:val="79545BF0"/>
    <w:rsid w:val="79883281"/>
    <w:rsid w:val="79942CD6"/>
    <w:rsid w:val="79E46DE1"/>
    <w:rsid w:val="7B3214EF"/>
    <w:rsid w:val="7C0D6473"/>
    <w:rsid w:val="7C300C8D"/>
    <w:rsid w:val="7D6E22AD"/>
    <w:rsid w:val="7DCF7ADB"/>
    <w:rsid w:val="7F00059D"/>
    <w:rsid w:val="7F645241"/>
    <w:rsid w:val="7FB67BBF"/>
    <w:rsid w:val="7FD41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仿宋_GB2312"/>
      <w:szCs w:val="21"/>
    </w:rPr>
  </w:style>
  <w:style w:type="paragraph" w:styleId="4">
    <w:name w:val="Body Text Indent"/>
    <w:basedOn w:val="1"/>
    <w:qFormat/>
    <w:uiPriority w:val="0"/>
    <w:pPr>
      <w:spacing w:after="120"/>
      <w:ind w:left="420" w:leftChars="200"/>
    </w:pPr>
    <w:rPr>
      <w:rFonts w:ascii="Times New Roman" w:hAnsi="Times New Roman"/>
    </w:rPr>
  </w:style>
  <w:style w:type="paragraph" w:styleId="5">
    <w:name w:val="Block Text"/>
    <w:basedOn w:val="1"/>
    <w:qFormat/>
    <w:uiPriority w:val="0"/>
    <w:pPr>
      <w:spacing w:after="120"/>
      <w:ind w:left="1440" w:leftChars="700" w:right="700" w:rightChars="7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10"/>
    <w:pPr>
      <w:spacing w:before="240" w:beforeLines="0" w:beforeAutospacing="0" w:after="60" w:afterLines="0" w:afterAutospacing="0"/>
      <w:jc w:val="center"/>
      <w:outlineLvl w:val="0"/>
    </w:pPr>
    <w:rPr>
      <w:rFonts w:ascii="Arial" w:hAnsi="Arial"/>
      <w:sz w:val="32"/>
    </w:rPr>
  </w:style>
  <w:style w:type="paragraph" w:styleId="8">
    <w:name w:val="Body Text First Indent 2"/>
    <w:basedOn w:val="4"/>
    <w:next w:val="5"/>
    <w:qFormat/>
    <w:uiPriority w:val="0"/>
    <w:pPr>
      <w:spacing w:before="100" w:beforeAutospacing="1" w:after="0"/>
      <w:ind w:left="0" w:firstLine="420" w:firstLineChars="200"/>
    </w:pPr>
    <w:rPr>
      <w:rFonts w:ascii="Calibri" w:hAnsi="Calibri"/>
    </w:rPr>
  </w:style>
  <w:style w:type="character" w:styleId="11">
    <w:name w:val="Strong"/>
    <w:basedOn w:val="10"/>
    <w:qFormat/>
    <w:uiPriority w:val="0"/>
  </w:style>
  <w:style w:type="character" w:styleId="12">
    <w:name w:val="FollowedHyperlink"/>
    <w:basedOn w:val="10"/>
    <w:qFormat/>
    <w:uiPriority w:val="0"/>
    <w:rPr>
      <w:color w:val="444444"/>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444444"/>
      <w:u w:val="none"/>
    </w:rPr>
  </w:style>
  <w:style w:type="character" w:styleId="18">
    <w:name w:val="HTML Code"/>
    <w:basedOn w:val="10"/>
    <w:qFormat/>
    <w:uiPriority w:val="0"/>
    <w:rPr>
      <w:rFonts w:ascii="Courier New" w:hAnsi="Courier New"/>
      <w:color w:val="D72500"/>
      <w:sz w:val="20"/>
    </w:rPr>
  </w:style>
  <w:style w:type="character" w:styleId="19">
    <w:name w:val="HTML Cite"/>
    <w:basedOn w:val="10"/>
    <w:qFormat/>
    <w:uiPriority w:val="0"/>
  </w:style>
  <w:style w:type="paragraph" w:styleId="20">
    <w:name w:val="List Paragraph"/>
    <w:basedOn w:val="1"/>
    <w:qFormat/>
    <w:uiPriority w:val="99"/>
    <w:pPr>
      <w:ind w:firstLine="420" w:firstLineChars="200"/>
    </w:pPr>
    <w:rPr>
      <w:rFonts w:ascii="Calibri" w:hAnsi="Calibri" w:eastAsia="宋体" w:cs="Times New Roman"/>
      <w:szCs w:val="22"/>
    </w:rPr>
  </w:style>
  <w:style w:type="character" w:customStyle="1" w:styleId="21">
    <w:name w:val="wecome"/>
    <w:basedOn w:val="10"/>
    <w:qFormat/>
    <w:uiPriority w:val="0"/>
    <w:rPr>
      <w:color w:val="FFFFFF"/>
    </w:rPr>
  </w:style>
  <w:style w:type="character" w:customStyle="1" w:styleId="22">
    <w:name w:val="font11"/>
    <w:basedOn w:val="10"/>
    <w:qFormat/>
    <w:uiPriority w:val="0"/>
    <w:rPr>
      <w:rFonts w:hint="eastAsia" w:ascii="宋体" w:hAnsi="宋体" w:eastAsia="宋体" w:cs="宋体"/>
      <w:color w:val="000000"/>
      <w:sz w:val="22"/>
      <w:szCs w:val="22"/>
      <w:u w:val="none"/>
    </w:rPr>
  </w:style>
  <w:style w:type="character" w:customStyle="1" w:styleId="23">
    <w:name w:val="ca-12"/>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cuments\tencent%20files\605197298\filerecv\0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cuments\tencent%20files\605197298\filerecv\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[工作簿1]Sheet1!$B$1:$B$2</c:f>
              <c:strCache>
                <c:ptCount val="1"/>
                <c:pt idx="0">
                  <c:v>工资福利支出情况 金额</c:v>
                </c:pt>
              </c:strCache>
            </c:strRef>
          </c:tx>
          <c:spPr>
            <a:solidFill>
              <a:schemeClr val="accent1"/>
            </a:solidFill>
            <a:ln>
              <a:noFill/>
            </a:ln>
            <a:effectLst/>
          </c:spPr>
          <c:invertIfNegative val="0"/>
          <c:dLbls>
            <c:delete val="1"/>
          </c:dLbls>
          <c:cat>
            <c:strRef>
              <c:f>[工作簿1]Sheet1!$A$3:$A$7</c:f>
              <c:strCache>
                <c:ptCount val="5"/>
                <c:pt idx="0">
                  <c:v>基本工资</c:v>
                </c:pt>
                <c:pt idx="1">
                  <c:v>津贴补贴</c:v>
                </c:pt>
                <c:pt idx="2">
                  <c:v>绩效工资、奖金</c:v>
                </c:pt>
                <c:pt idx="3">
                  <c:v>社会保险、公积金</c:v>
                </c:pt>
                <c:pt idx="4">
                  <c:v>其他工资福利支出</c:v>
                </c:pt>
              </c:strCache>
            </c:strRef>
          </c:cat>
          <c:val>
            <c:numRef>
              <c:f>[工作簿1]Sheet1!$B$3:$B$7</c:f>
              <c:numCache>
                <c:formatCode>General</c:formatCode>
                <c:ptCount val="5"/>
                <c:pt idx="0">
                  <c:v>3362.64</c:v>
                </c:pt>
                <c:pt idx="1">
                  <c:v>551.79</c:v>
                </c:pt>
                <c:pt idx="2">
                  <c:v>6643.82</c:v>
                </c:pt>
                <c:pt idx="3">
                  <c:v>3309.51</c:v>
                </c:pt>
                <c:pt idx="4">
                  <c:v>332.48</c:v>
                </c:pt>
              </c:numCache>
            </c:numRef>
          </c:val>
        </c:ser>
        <c:dLbls>
          <c:showLegendKey val="0"/>
          <c:showVal val="0"/>
          <c:showCatName val="0"/>
          <c:showSerName val="0"/>
          <c:showPercent val="0"/>
          <c:showBubbleSize val="0"/>
        </c:dLbls>
        <c:gapWidth val="219"/>
        <c:overlap val="-27"/>
        <c:axId val="308091886"/>
        <c:axId val="168456790"/>
      </c:barChart>
      <c:catAx>
        <c:axId val="3080918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456790"/>
        <c:crosses val="autoZero"/>
        <c:auto val="1"/>
        <c:lblAlgn val="ctr"/>
        <c:lblOffset val="100"/>
        <c:noMultiLvlLbl val="0"/>
      </c:catAx>
      <c:valAx>
        <c:axId val="1684567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809188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商品和服务支出分布情况</a:t>
            </a:r>
          </a:p>
        </c:rich>
      </c:tx>
      <c:layout/>
      <c:overlay val="0"/>
      <c:spPr>
        <a:noFill/>
        <a:ln>
          <a:noFill/>
        </a:ln>
        <a:effectLst/>
      </c:spPr>
    </c:title>
    <c:autoTitleDeleted val="0"/>
    <c:plotArea>
      <c:layout>
        <c:manualLayout>
          <c:layoutTarget val="inner"/>
          <c:xMode val="edge"/>
          <c:yMode val="edge"/>
          <c:x val="0.100488466757123"/>
          <c:y val="0.203858875413451"/>
          <c:w val="0.841845318860244"/>
          <c:h val="0.55521499448732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[00.xlsx]Sheet1!$A$13:$Q$13</c:f>
              <c:strCache>
                <c:ptCount val="17"/>
                <c:pt idx="0">
                  <c:v>办公费</c:v>
                </c:pt>
                <c:pt idx="1">
                  <c:v>印刷、咨询、手续费</c:v>
                </c:pt>
                <c:pt idx="2">
                  <c:v>水、电、邮、物业费</c:v>
                </c:pt>
                <c:pt idx="3">
                  <c:v>差旅费</c:v>
                </c:pt>
                <c:pt idx="4">
                  <c:v>维修（护）、租赁费</c:v>
                </c:pt>
                <c:pt idx="5">
                  <c:v>会议费</c:v>
                </c:pt>
                <c:pt idx="6">
                  <c:v>培训费</c:v>
                </c:pt>
                <c:pt idx="7">
                  <c:v>公务接待费</c:v>
                </c:pt>
                <c:pt idx="8">
                  <c:v>专用材料费</c:v>
                </c:pt>
                <c:pt idx="9">
                  <c:v>劳务费</c:v>
                </c:pt>
                <c:pt idx="10">
                  <c:v>委托业务费</c:v>
                </c:pt>
                <c:pt idx="11">
                  <c:v>工会经费</c:v>
                </c:pt>
                <c:pt idx="12">
                  <c:v>福利费</c:v>
                </c:pt>
                <c:pt idx="13">
                  <c:v>公务用车运行维护、其他交通费</c:v>
                </c:pt>
                <c:pt idx="14">
                  <c:v>其他交通费用</c:v>
                </c:pt>
                <c:pt idx="15">
                  <c:v>税金及附加费用</c:v>
                </c:pt>
                <c:pt idx="16">
                  <c:v>其他商品和服务支出</c:v>
                </c:pt>
              </c:strCache>
            </c:strRef>
          </c:cat>
          <c:val>
            <c:numRef>
              <c:f>[00.xlsx]Sheet1!$A$14:$Q$14</c:f>
              <c:numCache>
                <c:formatCode>0"."0,""</c:formatCode>
                <c:ptCount val="17"/>
                <c:pt idx="0">
                  <c:v>970979.37</c:v>
                </c:pt>
                <c:pt idx="1" c:formatCode="General">
                  <c:v>189.4</c:v>
                </c:pt>
                <c:pt idx="2" c:formatCode="General">
                  <c:v>1280.25</c:v>
                </c:pt>
                <c:pt idx="3">
                  <c:v>1885720.83</c:v>
                </c:pt>
                <c:pt idx="4" c:formatCode="0.00_ ">
                  <c:v>1819.6</c:v>
                </c:pt>
                <c:pt idx="5">
                  <c:v>74217.25</c:v>
                </c:pt>
                <c:pt idx="6">
                  <c:v>347396.35</c:v>
                </c:pt>
                <c:pt idx="7">
                  <c:v>182749.67</c:v>
                </c:pt>
                <c:pt idx="8">
                  <c:v>632170.74</c:v>
                </c:pt>
                <c:pt idx="9">
                  <c:v>875347.67</c:v>
                </c:pt>
                <c:pt idx="10">
                  <c:v>9631914.41</c:v>
                </c:pt>
                <c:pt idx="11">
                  <c:v>5206630.15</c:v>
                </c:pt>
                <c:pt idx="12">
                  <c:v>1106929.7</c:v>
                </c:pt>
                <c:pt idx="13">
                  <c:v>276537.78</c:v>
                </c:pt>
                <c:pt idx="14">
                  <c:v>156284.02</c:v>
                </c:pt>
                <c:pt idx="15">
                  <c:v>551020.6</c:v>
                </c:pt>
                <c:pt idx="16">
                  <c:v>3495930.96</c:v>
                </c:pt>
              </c:numCache>
            </c:numRef>
          </c:val>
        </c:ser>
        <c:dLbls>
          <c:showLegendKey val="0"/>
          <c:showVal val="1"/>
          <c:showCatName val="0"/>
          <c:showSerName val="0"/>
          <c:showPercent val="0"/>
          <c:showBubbleSize val="0"/>
        </c:dLbls>
        <c:gapWidth val="219"/>
        <c:overlap val="-27"/>
        <c:axId val="594980500"/>
        <c:axId val="603026630"/>
      </c:barChart>
      <c:catAx>
        <c:axId val="5949805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026630"/>
        <c:crosses val="autoZero"/>
        <c:auto val="1"/>
        <c:lblAlgn val="ctr"/>
        <c:lblOffset val="100"/>
        <c:noMultiLvlLbl val="0"/>
      </c:catAx>
      <c:valAx>
        <c:axId val="603026630"/>
        <c:scaling>
          <c:orientation val="minMax"/>
        </c:scaling>
        <c:delete val="0"/>
        <c:axPos val="l"/>
        <c:majorGridlines>
          <c:spPr>
            <a:ln w="9525" cap="flat" cmpd="sng" algn="ctr">
              <a:solidFill>
                <a:schemeClr val="tx1">
                  <a:lumMod val="15000"/>
                  <a:lumOff val="85000"/>
                </a:schemeClr>
              </a:solidFill>
              <a:round/>
            </a:ln>
            <a:effectLst/>
          </c:spPr>
        </c:majorGridlines>
        <c:numFmt formatCode="0&quot;.&quot;0,&quot;&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9805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对个人和家庭补助支出分布情况</a:t>
            </a:r>
          </a:p>
        </c:rich>
      </c:tx>
      <c:layout/>
      <c:overlay val="0"/>
      <c:spPr>
        <a:noFill/>
        <a:ln>
          <a:noFill/>
        </a:ln>
        <a:effectLst/>
      </c:spPr>
    </c:title>
    <c:autoTitleDeleted val="0"/>
    <c:plotArea>
      <c:layout>
        <c:manualLayout>
          <c:layoutTarget val="inner"/>
          <c:xMode val="edge"/>
          <c:yMode val="edge"/>
          <c:x val="0.100488466757123"/>
          <c:y val="0.203858875413451"/>
          <c:w val="0.841845318860244"/>
          <c:h val="0.55521499448732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[00.xlsx]Sheet1!$F$15:$Q$15</c:f>
              <c:strCache>
                <c:ptCount val="12"/>
                <c:pt idx="0">
                  <c:v>离休费</c:v>
                </c:pt>
                <c:pt idx="1">
                  <c:v>退休费</c:v>
                </c:pt>
                <c:pt idx="2">
                  <c:v>退职（役）费</c:v>
                </c:pt>
                <c:pt idx="3">
                  <c:v>抚恤金</c:v>
                </c:pt>
                <c:pt idx="4">
                  <c:v>生活补助</c:v>
                </c:pt>
                <c:pt idx="5">
                  <c:v>救济费</c:v>
                </c:pt>
                <c:pt idx="6">
                  <c:v>医疗费补助</c:v>
                </c:pt>
                <c:pt idx="7">
                  <c:v>助学金</c:v>
                </c:pt>
                <c:pt idx="8">
                  <c:v>奖励金</c:v>
                </c:pt>
                <c:pt idx="9">
                  <c:v>个人农业生产补贴</c:v>
                </c:pt>
                <c:pt idx="10">
                  <c:v>代缴社会保险费</c:v>
                </c:pt>
                <c:pt idx="11">
                  <c:v>其他对个人和家庭的补助</c:v>
                </c:pt>
              </c:strCache>
            </c:strRef>
          </c:cat>
          <c:val>
            <c:numRef>
              <c:f>[00.xlsx]Sheet1!$F$16:$Q$16</c:f>
              <c:numCache>
                <c:formatCode>#,##0.00</c:formatCode>
                <c:ptCount val="12"/>
                <c:pt idx="0">
                  <c:v>358.2</c:v>
                </c:pt>
                <c:pt idx="1">
                  <c:v>674.16</c:v>
                </c:pt>
                <c:pt idx="2">
                  <c:v>2.47</c:v>
                </c:pt>
                <c:pt idx="3">
                  <c:v>77.39</c:v>
                </c:pt>
                <c:pt idx="4">
                  <c:v>11.09</c:v>
                </c:pt>
                <c:pt idx="5">
                  <c:v>0</c:v>
                </c:pt>
                <c:pt idx="6">
                  <c:v>0</c:v>
                </c:pt>
                <c:pt idx="7">
                  <c:v>395.16</c:v>
                </c:pt>
                <c:pt idx="8">
                  <c:v>3.2</c:v>
                </c:pt>
                <c:pt idx="9">
                  <c:v>0</c:v>
                </c:pt>
                <c:pt idx="10">
                  <c:v>0</c:v>
                </c:pt>
                <c:pt idx="11">
                  <c:v>4.85</c:v>
                </c:pt>
              </c:numCache>
            </c:numRef>
          </c:val>
        </c:ser>
        <c:dLbls>
          <c:showLegendKey val="0"/>
          <c:showVal val="1"/>
          <c:showCatName val="0"/>
          <c:showSerName val="0"/>
          <c:showPercent val="0"/>
          <c:showBubbleSize val="0"/>
        </c:dLbls>
        <c:gapWidth val="219"/>
        <c:overlap val="-27"/>
        <c:axId val="594980500"/>
        <c:axId val="603026630"/>
      </c:barChart>
      <c:catAx>
        <c:axId val="5949805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026630"/>
        <c:crosses val="autoZero"/>
        <c:auto val="1"/>
        <c:lblAlgn val="ctr"/>
        <c:lblOffset val="100"/>
        <c:noMultiLvlLbl val="0"/>
      </c:catAx>
      <c:valAx>
        <c:axId val="60302663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9805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2020-06-03T01:06:00Z</dcterms:created>
  <dc:creator>Administrator</dc:creator>
  <cp:lastModifiedBy>暁琳_Lucifer</cp:lastModifiedBy>
  <cp:lastPrinted>2021-05-27T06:59:00Z</cp:lastPrinted>
  <dcterms:modified xsi:type="dcterms:W3CDTF">2021-07-01T08:42:08Z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D5F8F034931D456F94BC7A506BC33753</vt:lpwstr>
  </property>
</Properties>
</file>