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EB" w:rsidRDefault="000460EB" w:rsidP="000460EB">
      <w:pPr>
        <w:widowControl/>
        <w:jc w:val="left"/>
        <w:rPr>
          <w:rFonts w:ascii="黑体" w:eastAsia="黑体" w:hAnsi="黑体"/>
          <w:sz w:val="32"/>
          <w:szCs w:val="32"/>
        </w:rPr>
      </w:pPr>
      <w:r w:rsidRPr="005357C5">
        <w:rPr>
          <w:rFonts w:ascii="黑体" w:eastAsia="黑体" w:hAnsi="黑体" w:hint="eastAsia"/>
          <w:sz w:val="32"/>
          <w:szCs w:val="32"/>
        </w:rPr>
        <w:t>附件</w:t>
      </w:r>
      <w:r w:rsidRPr="005357C5">
        <w:rPr>
          <w:rFonts w:ascii="黑体" w:eastAsia="黑体" w:hAnsi="黑体"/>
          <w:sz w:val="32"/>
          <w:szCs w:val="32"/>
        </w:rPr>
        <w:t>2</w:t>
      </w:r>
    </w:p>
    <w:p w:rsidR="005357C5" w:rsidRPr="005357C5" w:rsidRDefault="005357C5" w:rsidP="005357C5">
      <w:pPr>
        <w:widowControl/>
        <w:spacing w:line="240" w:lineRule="exact"/>
        <w:jc w:val="left"/>
        <w:rPr>
          <w:rFonts w:ascii="黑体" w:eastAsia="黑体" w:hAnsi="黑体"/>
          <w:sz w:val="32"/>
          <w:szCs w:val="32"/>
        </w:rPr>
      </w:pPr>
    </w:p>
    <w:p w:rsidR="000460EB" w:rsidRPr="005357C5" w:rsidRDefault="000460EB" w:rsidP="00E87073">
      <w:pPr>
        <w:widowControl/>
        <w:spacing w:afterLines="50" w:line="600" w:lineRule="exact"/>
        <w:jc w:val="center"/>
        <w:rPr>
          <w:rFonts w:ascii="方正小标宋简体" w:eastAsia="方正小标宋简体" w:hAnsi="Times New Roman"/>
          <w:color w:val="000000"/>
          <w:kern w:val="0"/>
          <w:sz w:val="36"/>
          <w:szCs w:val="36"/>
        </w:rPr>
      </w:pPr>
      <w:r w:rsidRPr="005357C5">
        <w:rPr>
          <w:rFonts w:ascii="方正小标宋简体" w:eastAsia="方正小标宋简体" w:hAnsi="Times New Roman" w:hint="eastAsia"/>
          <w:color w:val="000000"/>
          <w:kern w:val="0"/>
          <w:sz w:val="36"/>
          <w:szCs w:val="36"/>
        </w:rPr>
        <w:t>2021年度部门整体支出绩效自评表</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636"/>
        <w:gridCol w:w="732"/>
        <w:gridCol w:w="1649"/>
        <w:gridCol w:w="1056"/>
        <w:gridCol w:w="1132"/>
        <w:gridCol w:w="10"/>
        <w:gridCol w:w="785"/>
        <w:gridCol w:w="949"/>
        <w:gridCol w:w="1237"/>
      </w:tblGrid>
      <w:tr w:rsidR="005357C5" w:rsidRPr="005357C5" w:rsidTr="005357C5">
        <w:trPr>
          <w:jc w:val="center"/>
        </w:trPr>
        <w:tc>
          <w:tcPr>
            <w:tcW w:w="90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省级预算部门名称</w:t>
            </w:r>
          </w:p>
        </w:tc>
        <w:tc>
          <w:tcPr>
            <w:tcW w:w="8186" w:type="dxa"/>
            <w:gridSpan w:val="9"/>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湖南省文学艺术界联合会　</w:t>
            </w:r>
          </w:p>
        </w:tc>
      </w:tr>
      <w:tr w:rsidR="005357C5" w:rsidRPr="005357C5" w:rsidTr="005357C5">
        <w:trPr>
          <w:trHeight w:val="649"/>
          <w:jc w:val="center"/>
        </w:trPr>
        <w:tc>
          <w:tcPr>
            <w:tcW w:w="909" w:type="dxa"/>
            <w:vMerge w:val="restart"/>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年度预</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算申请</w:t>
            </w:r>
            <w:r w:rsidRPr="005357C5">
              <w:rPr>
                <w:rFonts w:ascii="仿宋_GB2312" w:eastAsia="仿宋_GB2312" w:hAnsi="Times New Roman" w:hint="eastAsia"/>
                <w:color w:val="000000"/>
                <w:kern w:val="0"/>
                <w:szCs w:val="21"/>
              </w:rPr>
              <w:br/>
              <w:t>（万元）</w:t>
            </w:r>
          </w:p>
        </w:tc>
        <w:tc>
          <w:tcPr>
            <w:tcW w:w="1368" w:type="dxa"/>
            <w:gridSpan w:val="2"/>
            <w:vAlign w:val="center"/>
          </w:tcPr>
          <w:p w:rsidR="000460EB" w:rsidRPr="005357C5" w:rsidRDefault="000460EB" w:rsidP="005357C5">
            <w:pPr>
              <w:spacing w:line="300" w:lineRule="exact"/>
              <w:jc w:val="center"/>
              <w:rPr>
                <w:rFonts w:ascii="仿宋_GB2312" w:eastAsia="仿宋_GB2312" w:hAnsi="Times New Roman"/>
                <w:szCs w:val="21"/>
              </w:rPr>
            </w:pPr>
          </w:p>
        </w:tc>
        <w:tc>
          <w:tcPr>
            <w:tcW w:w="1649" w:type="dxa"/>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年初</w:t>
            </w:r>
          </w:p>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预算数</w:t>
            </w:r>
          </w:p>
        </w:tc>
        <w:tc>
          <w:tcPr>
            <w:tcW w:w="1056" w:type="dxa"/>
            <w:vAlign w:val="center"/>
            <w:hideMark/>
          </w:tcPr>
          <w:p w:rsidR="000460EB" w:rsidRPr="005357C5" w:rsidRDefault="000460EB" w:rsidP="005357C5">
            <w:pPr>
              <w:spacing w:line="300" w:lineRule="exact"/>
              <w:jc w:val="center"/>
              <w:rPr>
                <w:rFonts w:ascii="仿宋_GB2312" w:eastAsia="仿宋_GB2312" w:hAnsi="Times New Roman"/>
                <w:spacing w:val="-16"/>
                <w:szCs w:val="21"/>
              </w:rPr>
            </w:pPr>
            <w:r w:rsidRPr="005357C5">
              <w:rPr>
                <w:rFonts w:ascii="仿宋_GB2312" w:eastAsia="仿宋_GB2312" w:hAnsi="Times New Roman" w:hint="eastAsia"/>
                <w:spacing w:val="-16"/>
                <w:szCs w:val="21"/>
              </w:rPr>
              <w:t>全年预算数</w:t>
            </w:r>
          </w:p>
        </w:tc>
        <w:tc>
          <w:tcPr>
            <w:tcW w:w="1142" w:type="dxa"/>
            <w:gridSpan w:val="2"/>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pacing w:val="-16"/>
                <w:szCs w:val="21"/>
              </w:rPr>
              <w:t>全年执行数</w:t>
            </w:r>
          </w:p>
        </w:tc>
        <w:tc>
          <w:tcPr>
            <w:tcW w:w="785" w:type="dxa"/>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分值</w:t>
            </w:r>
          </w:p>
        </w:tc>
        <w:tc>
          <w:tcPr>
            <w:tcW w:w="949" w:type="dxa"/>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执行率</w:t>
            </w:r>
          </w:p>
        </w:tc>
        <w:tc>
          <w:tcPr>
            <w:tcW w:w="1237" w:type="dxa"/>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得分</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368" w:type="dxa"/>
            <w:gridSpan w:val="2"/>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color w:val="000000"/>
                <w:kern w:val="0"/>
                <w:szCs w:val="21"/>
              </w:rPr>
              <w:t>年度资金总额</w:t>
            </w:r>
          </w:p>
        </w:tc>
        <w:tc>
          <w:tcPr>
            <w:tcW w:w="1649" w:type="dxa"/>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6202.82</w:t>
            </w:r>
          </w:p>
        </w:tc>
        <w:tc>
          <w:tcPr>
            <w:tcW w:w="1056" w:type="dxa"/>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12730.54</w:t>
            </w:r>
          </w:p>
        </w:tc>
        <w:tc>
          <w:tcPr>
            <w:tcW w:w="1132" w:type="dxa"/>
            <w:vAlign w:val="center"/>
            <w:hideMark/>
          </w:tcPr>
          <w:p w:rsidR="000460EB" w:rsidRPr="005357C5" w:rsidRDefault="000460EB" w:rsidP="005357C5">
            <w:pPr>
              <w:spacing w:line="300" w:lineRule="exact"/>
              <w:jc w:val="center"/>
              <w:rPr>
                <w:rFonts w:ascii="仿宋_GB2312" w:eastAsia="仿宋_GB2312" w:hAnsi="Times New Roman"/>
                <w:color w:val="000000"/>
                <w:szCs w:val="21"/>
              </w:rPr>
            </w:pPr>
            <w:r w:rsidRPr="005357C5">
              <w:rPr>
                <w:rFonts w:ascii="仿宋_GB2312" w:eastAsia="仿宋_GB2312" w:hAnsi="Times New Roman" w:hint="eastAsia"/>
                <w:color w:val="000000"/>
                <w:szCs w:val="21"/>
              </w:rPr>
              <w:t>9077.25</w:t>
            </w:r>
          </w:p>
        </w:tc>
        <w:tc>
          <w:tcPr>
            <w:tcW w:w="795" w:type="dxa"/>
            <w:gridSpan w:val="2"/>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10</w:t>
            </w:r>
          </w:p>
        </w:tc>
        <w:tc>
          <w:tcPr>
            <w:tcW w:w="949" w:type="dxa"/>
            <w:vAlign w:val="center"/>
            <w:hideMark/>
          </w:tcPr>
          <w:p w:rsidR="000460EB" w:rsidRPr="005357C5" w:rsidRDefault="000460EB" w:rsidP="005357C5">
            <w:pPr>
              <w:spacing w:line="300" w:lineRule="exact"/>
              <w:jc w:val="center"/>
              <w:rPr>
                <w:rFonts w:ascii="仿宋_GB2312" w:eastAsia="仿宋_GB2312" w:hAnsi="Times New Roman"/>
                <w:szCs w:val="21"/>
              </w:rPr>
            </w:pPr>
            <w:r w:rsidRPr="005357C5">
              <w:rPr>
                <w:rFonts w:ascii="仿宋_GB2312" w:eastAsia="仿宋_GB2312" w:hAnsi="Times New Roman" w:hint="eastAsia"/>
                <w:szCs w:val="21"/>
              </w:rPr>
              <w:t>71.3%</w:t>
            </w:r>
          </w:p>
        </w:tc>
        <w:tc>
          <w:tcPr>
            <w:tcW w:w="1237" w:type="dxa"/>
            <w:vAlign w:val="center"/>
            <w:hideMark/>
          </w:tcPr>
          <w:p w:rsidR="000460EB" w:rsidRPr="005357C5" w:rsidRDefault="000460EB" w:rsidP="005357C5">
            <w:pPr>
              <w:spacing w:line="300" w:lineRule="exact"/>
              <w:jc w:val="center"/>
              <w:rPr>
                <w:rFonts w:ascii="仿宋_GB2312" w:eastAsia="仿宋_GB2312" w:hAnsi="Times New Roman"/>
                <w:color w:val="000000"/>
                <w:szCs w:val="21"/>
              </w:rPr>
            </w:pPr>
            <w:r w:rsidRPr="005357C5">
              <w:rPr>
                <w:rFonts w:ascii="仿宋_GB2312" w:eastAsia="仿宋_GB2312" w:hAnsi="Times New Roman" w:hint="eastAsia"/>
                <w:color w:val="000000"/>
                <w:szCs w:val="21"/>
              </w:rPr>
              <w:t>7.13</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4073" w:type="dxa"/>
            <w:gridSpan w:val="4"/>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按收入性质分：</w:t>
            </w:r>
          </w:p>
        </w:tc>
        <w:tc>
          <w:tcPr>
            <w:tcW w:w="4113" w:type="dxa"/>
            <w:gridSpan w:val="5"/>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按支出性质分：</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4073" w:type="dxa"/>
            <w:gridSpan w:val="4"/>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其中：  一般公共预算：12714.54</w:t>
            </w:r>
          </w:p>
        </w:tc>
        <w:tc>
          <w:tcPr>
            <w:tcW w:w="4113" w:type="dxa"/>
            <w:gridSpan w:val="5"/>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其中：基本支出：4393.82</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4073" w:type="dxa"/>
            <w:gridSpan w:val="4"/>
            <w:vAlign w:val="center"/>
            <w:hideMark/>
          </w:tcPr>
          <w:p w:rsidR="000460EB" w:rsidRPr="005357C5" w:rsidRDefault="000460EB" w:rsidP="005357C5">
            <w:pPr>
              <w:widowControl/>
              <w:spacing w:line="300" w:lineRule="exact"/>
              <w:ind w:firstLineChars="400" w:firstLine="840"/>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政府性基金拨款：16</w:t>
            </w:r>
          </w:p>
        </w:tc>
        <w:tc>
          <w:tcPr>
            <w:tcW w:w="4113" w:type="dxa"/>
            <w:gridSpan w:val="5"/>
            <w:vAlign w:val="center"/>
            <w:hideMark/>
          </w:tcPr>
          <w:p w:rsidR="000460EB" w:rsidRPr="005357C5" w:rsidRDefault="000460EB" w:rsidP="005357C5">
            <w:pPr>
              <w:widowControl/>
              <w:spacing w:line="300" w:lineRule="exact"/>
              <w:ind w:firstLineChars="300" w:firstLine="630"/>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项目支出：4683.43</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4073" w:type="dxa"/>
            <w:gridSpan w:val="4"/>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纳入专户管理的非税收入拨款：0</w:t>
            </w:r>
          </w:p>
        </w:tc>
        <w:tc>
          <w:tcPr>
            <w:tcW w:w="4113" w:type="dxa"/>
            <w:gridSpan w:val="5"/>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4073" w:type="dxa"/>
            <w:gridSpan w:val="4"/>
            <w:vAlign w:val="center"/>
            <w:hideMark/>
          </w:tcPr>
          <w:p w:rsidR="000460EB" w:rsidRPr="005357C5" w:rsidRDefault="000460EB" w:rsidP="005357C5">
            <w:pPr>
              <w:widowControl/>
              <w:spacing w:line="300" w:lineRule="exact"/>
              <w:ind w:firstLineChars="700" w:firstLine="1470"/>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其他资金：0</w:t>
            </w:r>
          </w:p>
        </w:tc>
        <w:tc>
          <w:tcPr>
            <w:tcW w:w="4113" w:type="dxa"/>
            <w:gridSpan w:val="5"/>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restart"/>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年度总体目标</w:t>
            </w:r>
          </w:p>
        </w:tc>
        <w:tc>
          <w:tcPr>
            <w:tcW w:w="4073" w:type="dxa"/>
            <w:gridSpan w:val="4"/>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预期目标</w:t>
            </w:r>
          </w:p>
        </w:tc>
        <w:tc>
          <w:tcPr>
            <w:tcW w:w="4113" w:type="dxa"/>
            <w:gridSpan w:val="5"/>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实际完成情况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4073" w:type="dxa"/>
            <w:gridSpan w:val="4"/>
          </w:tcPr>
          <w:p w:rsidR="000460EB" w:rsidRPr="005357C5" w:rsidRDefault="000460EB" w:rsidP="005357C5">
            <w:pPr>
              <w:spacing w:line="300" w:lineRule="exac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始终坚持以习近平新时代中国特色社会主义思想为指导，全面贯彻落实习近平总书记关于文艺工作的重要论述和对湖南重要指示批示精神，学习贯彻省第十二次党代会和省第十次文代会精神，围绕庆祝中国共产党成立100周年这条主线，不断强化思想政治引领，积极开展党史学习教育，组织开展各类文艺活动，优化文艺创作环境，强化文艺精品创作生产，打造高素质文艺人才队伍，抓好党组织和机关建设，团结引导全省广大文艺工作者听党话、跟党走，不断出精品、出人才、攀高峰，自觉承担起时代赋予的使命，推进新时代湖南文艺事业高质量发展。</w:t>
            </w:r>
          </w:p>
        </w:tc>
        <w:tc>
          <w:tcPr>
            <w:tcW w:w="4113" w:type="dxa"/>
            <w:gridSpan w:val="5"/>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1．围绕建党百年这条主线，强化文艺界思想政治引领。</w:t>
            </w:r>
          </w:p>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2.围绕中心、服务大局，扎实开展各类文艺活动。</w:t>
            </w:r>
          </w:p>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3.坚持以人民为中心的创作导向，推动文艺精品创作结硕果。</w:t>
            </w:r>
          </w:p>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restart"/>
            <w:vAlign w:val="center"/>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绩</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效</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标</w:t>
            </w:r>
          </w:p>
          <w:p w:rsidR="000460EB" w:rsidRPr="005357C5" w:rsidRDefault="000460EB" w:rsidP="005357C5">
            <w:pPr>
              <w:spacing w:line="300" w:lineRule="exact"/>
              <w:jc w:val="center"/>
              <w:rPr>
                <w:rFonts w:ascii="仿宋_GB2312" w:eastAsia="仿宋_GB2312" w:hAnsi="Times New Roman"/>
                <w:color w:val="000000"/>
                <w:kern w:val="0"/>
                <w:szCs w:val="21"/>
              </w:rPr>
            </w:pPr>
          </w:p>
        </w:tc>
        <w:tc>
          <w:tcPr>
            <w:tcW w:w="63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一级</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tc>
        <w:tc>
          <w:tcPr>
            <w:tcW w:w="7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二级</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tc>
        <w:tc>
          <w:tcPr>
            <w:tcW w:w="16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三级指标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年度</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指标值</w:t>
            </w:r>
          </w:p>
        </w:tc>
        <w:tc>
          <w:tcPr>
            <w:tcW w:w="1132" w:type="dxa"/>
            <w:vAlign w:val="center"/>
            <w:hideMark/>
          </w:tcPr>
          <w:p w:rsidR="000460EB" w:rsidRPr="005357C5" w:rsidRDefault="000460EB" w:rsidP="005357C5">
            <w:pPr>
              <w:widowControl/>
              <w:spacing w:line="300" w:lineRule="exac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实际完成值</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分值</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得分</w:t>
            </w:r>
          </w:p>
        </w:tc>
        <w:tc>
          <w:tcPr>
            <w:tcW w:w="1237" w:type="dxa"/>
            <w:vAlign w:val="center"/>
            <w:hideMark/>
          </w:tcPr>
          <w:p w:rsidR="000460EB" w:rsidRPr="005357C5" w:rsidRDefault="000460EB"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偏差原因分析及改进措施</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restart"/>
            <w:vAlign w:val="center"/>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产出</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(50分)</w:t>
            </w:r>
          </w:p>
        </w:tc>
        <w:tc>
          <w:tcPr>
            <w:tcW w:w="732" w:type="dxa"/>
            <w:vMerge w:val="restart"/>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数量</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省级会员培训班期数</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宋体" w:cs="宋体" w:hint="eastAsia"/>
                <w:color w:val="000000"/>
                <w:kern w:val="0"/>
                <w:szCs w:val="21"/>
              </w:rPr>
              <w:t>≥10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8</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1.6</w:t>
            </w:r>
          </w:p>
        </w:tc>
        <w:tc>
          <w:tcPr>
            <w:tcW w:w="1237" w:type="dxa"/>
            <w:vAlign w:val="center"/>
            <w:hideMark/>
          </w:tcPr>
          <w:p w:rsidR="000460EB" w:rsidRPr="005357C5" w:rsidRDefault="000460EB" w:rsidP="005357C5">
            <w:pPr>
              <w:widowControl/>
              <w:spacing w:line="24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受疫情影响部分会员培训时间推迟到2021年完成</w:t>
            </w:r>
          </w:p>
        </w:tc>
      </w:tr>
      <w:tr w:rsidR="005357C5" w:rsidRPr="005357C5" w:rsidTr="005357C5">
        <w:trPr>
          <w:trHeight w:val="605"/>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rPr>
                <w:rFonts w:ascii="仿宋_GB2312" w:eastAsia="仿宋_GB2312" w:hAnsi="Times New Roman"/>
                <w:color w:val="000000"/>
                <w:spacing w:val="-10"/>
                <w:kern w:val="0"/>
                <w:szCs w:val="21"/>
              </w:rPr>
            </w:pPr>
            <w:r w:rsidRPr="005357C5">
              <w:rPr>
                <w:rFonts w:ascii="仿宋_GB2312" w:eastAsia="仿宋_GB2312" w:hAnsi="Times New Roman" w:hint="eastAsia"/>
                <w:color w:val="000000"/>
                <w:spacing w:val="-10"/>
                <w:kern w:val="0"/>
                <w:szCs w:val="21"/>
              </w:rPr>
              <w:t>刊物发行数量</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12</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12</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ind w:firstLineChars="50" w:firstLine="105"/>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spacing w:line="300" w:lineRule="exact"/>
              <w:jc w:val="center"/>
              <w:rPr>
                <w:rFonts w:ascii="仿宋_GB2312" w:eastAsia="仿宋_GB2312" w:hAnsi="Times New Roman"/>
                <w:color w:val="000000"/>
                <w:spacing w:val="-20"/>
                <w:kern w:val="0"/>
                <w:szCs w:val="21"/>
              </w:rPr>
            </w:pPr>
            <w:r w:rsidRPr="005357C5">
              <w:rPr>
                <w:rFonts w:ascii="仿宋_GB2312" w:eastAsia="仿宋_GB2312" w:hAnsi="Times New Roman" w:hint="eastAsia"/>
                <w:spacing w:val="-16"/>
                <w:szCs w:val="21"/>
              </w:rPr>
              <w:t>建党百年系列活动</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宋体" w:cs="宋体" w:hint="eastAsia"/>
                <w:color w:val="000000"/>
                <w:kern w:val="0"/>
                <w:szCs w:val="21"/>
              </w:rPr>
              <w:t>≥25场</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37</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rPr>
                <w:rFonts w:ascii="仿宋_GB2312" w:eastAsia="仿宋_GB2312" w:hAnsi="Times New Roman"/>
                <w:color w:val="000000"/>
                <w:spacing w:val="-10"/>
                <w:kern w:val="0"/>
                <w:szCs w:val="21"/>
              </w:rPr>
            </w:pPr>
            <w:r w:rsidRPr="005357C5">
              <w:rPr>
                <w:rFonts w:ascii="仿宋_GB2312" w:eastAsia="仿宋_GB2312" w:hAnsi="Times New Roman" w:hint="eastAsia"/>
                <w:color w:val="000000"/>
                <w:spacing w:val="-10"/>
                <w:kern w:val="0"/>
                <w:szCs w:val="21"/>
              </w:rPr>
              <w:t>“三百工程”文艺人才扶持</w:t>
            </w:r>
          </w:p>
        </w:tc>
        <w:tc>
          <w:tcPr>
            <w:tcW w:w="1056" w:type="dxa"/>
            <w:vAlign w:val="center"/>
            <w:hideMark/>
          </w:tcPr>
          <w:p w:rsidR="000460EB" w:rsidRPr="005357C5" w:rsidRDefault="000460EB" w:rsidP="005357C5">
            <w:pPr>
              <w:widowControl/>
              <w:spacing w:line="300" w:lineRule="exact"/>
              <w:rPr>
                <w:rFonts w:ascii="仿宋_GB2312" w:eastAsia="仿宋_GB2312" w:hAnsi="Times New Roman"/>
                <w:color w:val="000000"/>
                <w:spacing w:val="-10"/>
                <w:kern w:val="0"/>
                <w:szCs w:val="21"/>
              </w:rPr>
            </w:pPr>
            <w:r w:rsidRPr="005357C5">
              <w:rPr>
                <w:rFonts w:ascii="仿宋_GB2312" w:eastAsia="仿宋_GB2312" w:hAnsi="Times New Roman" w:hint="eastAsia"/>
                <w:color w:val="000000"/>
                <w:spacing w:val="-10"/>
                <w:kern w:val="0"/>
                <w:szCs w:val="21"/>
              </w:rPr>
              <w:t>≥25人</w:t>
            </w:r>
          </w:p>
        </w:tc>
        <w:tc>
          <w:tcPr>
            <w:tcW w:w="1132" w:type="dxa"/>
            <w:vAlign w:val="center"/>
            <w:hideMark/>
          </w:tcPr>
          <w:p w:rsidR="000460EB" w:rsidRPr="005357C5" w:rsidRDefault="000460EB" w:rsidP="005357C5">
            <w:pPr>
              <w:widowControl/>
              <w:spacing w:line="300" w:lineRule="exact"/>
              <w:rPr>
                <w:rFonts w:ascii="仿宋_GB2312" w:eastAsia="仿宋_GB2312" w:hAnsi="Times New Roman"/>
                <w:color w:val="000000"/>
                <w:spacing w:val="-10"/>
                <w:kern w:val="0"/>
                <w:szCs w:val="21"/>
              </w:rPr>
            </w:pPr>
            <w:r w:rsidRPr="005357C5">
              <w:rPr>
                <w:rFonts w:ascii="仿宋_GB2312" w:eastAsia="仿宋_GB2312" w:hAnsi="Times New Roman" w:hint="eastAsia"/>
                <w:color w:val="000000"/>
                <w:spacing w:val="-10"/>
                <w:kern w:val="0"/>
                <w:szCs w:val="21"/>
              </w:rPr>
              <w:t>0</w:t>
            </w:r>
          </w:p>
        </w:tc>
        <w:tc>
          <w:tcPr>
            <w:tcW w:w="795" w:type="dxa"/>
            <w:gridSpan w:val="2"/>
            <w:vAlign w:val="center"/>
            <w:hideMark/>
          </w:tcPr>
          <w:p w:rsidR="000460EB" w:rsidRPr="005357C5" w:rsidRDefault="000460EB" w:rsidP="005357C5">
            <w:pPr>
              <w:widowControl/>
              <w:spacing w:line="300" w:lineRule="exact"/>
              <w:rPr>
                <w:rFonts w:ascii="仿宋_GB2312" w:eastAsia="仿宋_GB2312" w:hAnsi="Times New Roman"/>
                <w:color w:val="000000"/>
                <w:spacing w:val="-10"/>
                <w:kern w:val="0"/>
                <w:szCs w:val="21"/>
              </w:rPr>
            </w:pPr>
            <w:r w:rsidRPr="005357C5">
              <w:rPr>
                <w:rFonts w:ascii="仿宋_GB2312" w:eastAsia="仿宋_GB2312" w:hAnsi="Times New Roman" w:hint="eastAsia"/>
                <w:color w:val="000000"/>
                <w:spacing w:val="-10"/>
                <w:kern w:val="0"/>
                <w:szCs w:val="21"/>
              </w:rPr>
              <w:t>2</w:t>
            </w:r>
          </w:p>
        </w:tc>
        <w:tc>
          <w:tcPr>
            <w:tcW w:w="949" w:type="dxa"/>
            <w:vAlign w:val="center"/>
            <w:hideMark/>
          </w:tcPr>
          <w:p w:rsidR="000460EB" w:rsidRPr="005357C5" w:rsidRDefault="000460EB" w:rsidP="005357C5">
            <w:pPr>
              <w:widowControl/>
              <w:spacing w:line="300" w:lineRule="exact"/>
              <w:rPr>
                <w:rFonts w:ascii="仿宋_GB2312" w:eastAsia="仿宋_GB2312" w:hAnsi="Times New Roman"/>
                <w:color w:val="000000"/>
                <w:spacing w:val="-10"/>
                <w:kern w:val="0"/>
                <w:szCs w:val="21"/>
              </w:rPr>
            </w:pPr>
            <w:r w:rsidRPr="005357C5">
              <w:rPr>
                <w:rFonts w:ascii="仿宋_GB2312" w:eastAsia="仿宋_GB2312" w:hAnsi="Times New Roman" w:hint="eastAsia"/>
                <w:color w:val="000000"/>
                <w:spacing w:val="-10"/>
                <w:kern w:val="0"/>
                <w:szCs w:val="21"/>
              </w:rPr>
              <w:t>0</w:t>
            </w:r>
          </w:p>
        </w:tc>
        <w:tc>
          <w:tcPr>
            <w:tcW w:w="1237" w:type="dxa"/>
            <w:vAlign w:val="center"/>
            <w:hideMark/>
          </w:tcPr>
          <w:p w:rsidR="000460EB" w:rsidRPr="005357C5" w:rsidRDefault="000460EB" w:rsidP="005357C5">
            <w:pPr>
              <w:widowControl/>
              <w:spacing w:line="240" w:lineRule="exact"/>
              <w:jc w:val="left"/>
              <w:rPr>
                <w:rFonts w:ascii="仿宋_GB2312" w:eastAsia="仿宋_GB2312" w:hAnsi="仿宋" w:cs="宋体"/>
                <w:color w:val="000000"/>
                <w:kern w:val="0"/>
                <w:szCs w:val="21"/>
              </w:rPr>
            </w:pPr>
            <w:r w:rsidRPr="005357C5">
              <w:rPr>
                <w:rFonts w:ascii="仿宋_GB2312" w:eastAsia="仿宋_GB2312" w:hAnsi="仿宋" w:hint="eastAsia"/>
                <w:color w:val="000000"/>
                <w:kern w:val="0"/>
                <w:szCs w:val="21"/>
              </w:rPr>
              <w:t>受疫情原因暂未开展文艺人才</w:t>
            </w:r>
            <w:r w:rsidRPr="005357C5">
              <w:rPr>
                <w:rFonts w:ascii="仿宋_GB2312" w:eastAsia="仿宋_GB2312" w:hAnsi="仿宋" w:cs="宋体" w:hint="eastAsia"/>
                <w:color w:val="000000"/>
                <w:kern w:val="0"/>
                <w:szCs w:val="21"/>
              </w:rPr>
              <w:t>评审</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开展主题文艺活动和志愿服务活动场次</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≥100次</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132次</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美术馆策划或承办的展览次数</w:t>
            </w:r>
          </w:p>
        </w:tc>
        <w:tc>
          <w:tcPr>
            <w:tcW w:w="1056" w:type="dxa"/>
            <w:vAlign w:val="center"/>
            <w:hideMark/>
          </w:tcPr>
          <w:p w:rsidR="000460EB" w:rsidRPr="005357C5" w:rsidRDefault="001B3A87"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宋体" w:cs="宋体" w:hint="eastAsia"/>
                <w:color w:val="000000"/>
                <w:kern w:val="0"/>
                <w:szCs w:val="21"/>
              </w:rPr>
              <w:t>20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17</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1B3A87"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1.7</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restart"/>
            <w:vAlign w:val="center"/>
          </w:tcPr>
          <w:p w:rsidR="000460EB" w:rsidRPr="005357C5" w:rsidRDefault="000460EB" w:rsidP="005357C5">
            <w:pPr>
              <w:widowControl/>
              <w:spacing w:line="300" w:lineRule="exact"/>
              <w:jc w:val="center"/>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美术馆收藏作品数量</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480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美术馆公教活动场次</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34</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81</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画院主办或承办展览次数</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购置通用设备数量</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27</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购置办公家具数量</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51</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33</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0.64</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restart"/>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质量指标</w:t>
            </w:r>
          </w:p>
        </w:tc>
        <w:tc>
          <w:tcPr>
            <w:tcW w:w="1649" w:type="dxa"/>
            <w:vAlign w:val="center"/>
            <w:hideMark/>
          </w:tcPr>
          <w:p w:rsidR="000460EB" w:rsidRPr="005357C5" w:rsidRDefault="000460EB" w:rsidP="005357C5">
            <w:pPr>
              <w:widowControl/>
              <w:spacing w:line="300" w:lineRule="exact"/>
              <w:ind w:rightChars="-49" w:right="-103"/>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文艺活动艺术家参与率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ind w:rightChars="-49" w:right="-103"/>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省级会员培训参训率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trHeight w:val="431"/>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ind w:rightChars="-49" w:right="-103"/>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参展作品达标率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trHeight w:val="550"/>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ind w:rightChars="-49" w:right="-103"/>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藏品保管良好率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trHeight w:val="544"/>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ind w:rightChars="-49" w:right="-103"/>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展览观众投诉率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仿宋_GB2312" w:cs="仿宋_GB2312"/>
                <w:color w:val="000000"/>
                <w:kern w:val="0"/>
                <w:szCs w:val="21"/>
              </w:rPr>
            </w:pPr>
            <w:r w:rsidRPr="005357C5">
              <w:rPr>
                <w:rFonts w:ascii="仿宋_GB2312" w:eastAsia="仿宋_GB2312" w:hAnsi="Times New Roman" w:hint="eastAsia"/>
                <w:color w:val="000000"/>
                <w:kern w:val="0"/>
                <w:szCs w:val="21"/>
              </w:rPr>
              <w:t>≤5%</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ind w:rightChars="-49" w:right="-103"/>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公教活动观众投诉率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购置办公设备质量达标率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ind w:rightChars="-82" w:right="-172"/>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基建项目质量达标率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设备故障率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restart"/>
            <w:vAlign w:val="center"/>
            <w:hideMark/>
          </w:tcPr>
          <w:p w:rsidR="00D71EF1"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时效</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展览报道及时率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宋体" w:cs="宋体" w:hint="eastAsia"/>
                <w:color w:val="000000"/>
                <w:kern w:val="0"/>
                <w:szCs w:val="21"/>
              </w:rPr>
              <w:t>100%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宋体" w:cs="宋体" w:hint="eastAsia"/>
                <w:color w:val="000000"/>
                <w:kern w:val="0"/>
                <w:szCs w:val="21"/>
              </w:rPr>
              <w:t>100%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美术馆作品收藏完成时间</w:t>
            </w:r>
          </w:p>
        </w:tc>
        <w:tc>
          <w:tcPr>
            <w:tcW w:w="1056" w:type="dxa"/>
            <w:vAlign w:val="center"/>
            <w:hideMark/>
          </w:tcPr>
          <w:p w:rsidR="000460EB" w:rsidRPr="005357C5" w:rsidRDefault="000460EB" w:rsidP="005357C5">
            <w:pPr>
              <w:widowControl/>
              <w:spacing w:line="300" w:lineRule="exac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每年年底前</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已完成</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资金支付及时率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100%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100%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购置办公设备及时率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≥81%</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1.8</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trHeight w:val="803"/>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美术馆公教活动完成率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trHeight w:val="842"/>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基建项目完工及时率</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restart"/>
            <w:vAlign w:val="center"/>
            <w:hideMark/>
          </w:tcPr>
          <w:p w:rsidR="00D71EF1"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成本</w:t>
            </w:r>
          </w:p>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支出成本</w:t>
            </w:r>
          </w:p>
        </w:tc>
        <w:tc>
          <w:tcPr>
            <w:tcW w:w="1056" w:type="dxa"/>
            <w:vAlign w:val="center"/>
            <w:hideMark/>
          </w:tcPr>
          <w:p w:rsidR="000460EB" w:rsidRPr="005357C5" w:rsidRDefault="000460EB" w:rsidP="005357C5">
            <w:pPr>
              <w:widowControl/>
              <w:spacing w:line="240" w:lineRule="exact"/>
              <w:rPr>
                <w:rFonts w:ascii="仿宋_GB2312" w:eastAsia="仿宋_GB2312" w:hAnsi="宋体" w:cs="宋体"/>
                <w:color w:val="000000"/>
                <w:spacing w:val="-10"/>
                <w:kern w:val="0"/>
                <w:szCs w:val="21"/>
              </w:rPr>
            </w:pPr>
            <w:r w:rsidRPr="005357C5">
              <w:rPr>
                <w:rFonts w:ascii="仿宋_GB2312" w:eastAsia="仿宋_GB2312" w:hAnsi="Times New Roman" w:hint="eastAsia"/>
                <w:color w:val="000000"/>
                <w:spacing w:val="-10"/>
                <w:kern w:val="0"/>
                <w:szCs w:val="21"/>
              </w:rPr>
              <w:t>严格按照国家、省财政厅标准</w:t>
            </w:r>
          </w:p>
        </w:tc>
        <w:tc>
          <w:tcPr>
            <w:tcW w:w="1132" w:type="dxa"/>
            <w:vAlign w:val="center"/>
            <w:hideMark/>
          </w:tcPr>
          <w:p w:rsidR="000460EB" w:rsidRPr="005357C5" w:rsidRDefault="000460EB" w:rsidP="005357C5">
            <w:pPr>
              <w:widowControl/>
              <w:spacing w:line="240" w:lineRule="exact"/>
              <w:jc w:val="center"/>
              <w:rPr>
                <w:rFonts w:ascii="仿宋_GB2312" w:eastAsia="仿宋_GB2312" w:hAnsi="宋体" w:cs="宋体"/>
                <w:color w:val="000000"/>
                <w:spacing w:val="-10"/>
                <w:kern w:val="0"/>
                <w:szCs w:val="21"/>
              </w:rPr>
            </w:pPr>
            <w:r w:rsidRPr="005357C5">
              <w:rPr>
                <w:rFonts w:ascii="仿宋_GB2312" w:eastAsia="仿宋_GB2312" w:hAnsi="Times New Roman" w:hint="eastAsia"/>
                <w:color w:val="000000"/>
                <w:spacing w:val="-10"/>
                <w:kern w:val="0"/>
                <w:szCs w:val="21"/>
              </w:rPr>
              <w:t>严格按照国家、省财政厅标准</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办公设备购置</w:t>
            </w:r>
          </w:p>
        </w:tc>
        <w:tc>
          <w:tcPr>
            <w:tcW w:w="1056" w:type="dxa"/>
            <w:vAlign w:val="center"/>
            <w:hideMark/>
          </w:tcPr>
          <w:p w:rsidR="000460EB" w:rsidRPr="005357C5" w:rsidRDefault="000460EB" w:rsidP="005357C5">
            <w:pPr>
              <w:widowControl/>
              <w:spacing w:line="300" w:lineRule="exac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按</w:t>
            </w:r>
            <w:r w:rsidR="00BF4CB8" w:rsidRPr="005357C5">
              <w:rPr>
                <w:rFonts w:ascii="仿宋_GB2312" w:eastAsia="仿宋_GB2312" w:hAnsi="Times New Roman" w:hint="eastAsia"/>
                <w:color w:val="000000"/>
                <w:kern w:val="0"/>
                <w:szCs w:val="21"/>
              </w:rPr>
              <w:t>政府</w:t>
            </w:r>
            <w:r w:rsidRPr="005357C5">
              <w:rPr>
                <w:rFonts w:ascii="仿宋_GB2312" w:eastAsia="仿宋_GB2312" w:hAnsi="Times New Roman" w:hint="eastAsia"/>
                <w:color w:val="000000"/>
                <w:kern w:val="0"/>
                <w:szCs w:val="21"/>
              </w:rPr>
              <w:t>采购限额标准采购</w:t>
            </w:r>
          </w:p>
        </w:tc>
        <w:tc>
          <w:tcPr>
            <w:tcW w:w="1132" w:type="dxa"/>
            <w:vAlign w:val="center"/>
            <w:hideMark/>
          </w:tcPr>
          <w:p w:rsidR="000460EB" w:rsidRPr="005357C5" w:rsidRDefault="000460EB" w:rsidP="005357C5">
            <w:pPr>
              <w:widowControl/>
              <w:spacing w:line="300" w:lineRule="exac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按</w:t>
            </w:r>
            <w:r w:rsidR="00BF4CB8" w:rsidRPr="005357C5">
              <w:rPr>
                <w:rFonts w:ascii="仿宋_GB2312" w:eastAsia="仿宋_GB2312" w:hAnsi="Times New Roman" w:hint="eastAsia"/>
                <w:color w:val="000000"/>
                <w:kern w:val="0"/>
                <w:szCs w:val="21"/>
              </w:rPr>
              <w:t>政府</w:t>
            </w:r>
            <w:r w:rsidRPr="005357C5">
              <w:rPr>
                <w:rFonts w:ascii="仿宋_GB2312" w:eastAsia="仿宋_GB2312" w:hAnsi="Times New Roman" w:hint="eastAsia"/>
                <w:color w:val="000000"/>
                <w:kern w:val="0"/>
                <w:szCs w:val="21"/>
              </w:rPr>
              <w:t>采购限额标准采购</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trHeight w:val="551"/>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restart"/>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效益</w:t>
            </w:r>
          </w:p>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（30分）</w:t>
            </w:r>
          </w:p>
          <w:p w:rsidR="005357C5" w:rsidRPr="005357C5" w:rsidRDefault="005357C5" w:rsidP="005357C5">
            <w:pPr>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c>
          <w:tcPr>
            <w:tcW w:w="732" w:type="dxa"/>
            <w:vAlign w:val="center"/>
            <w:hideMark/>
          </w:tcPr>
          <w:p w:rsidR="005357C5" w:rsidRPr="005357C5" w:rsidRDefault="005357C5"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经济效益指标</w:t>
            </w:r>
          </w:p>
        </w:tc>
        <w:tc>
          <w:tcPr>
            <w:tcW w:w="1649"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不适用</w:t>
            </w:r>
          </w:p>
        </w:tc>
        <w:tc>
          <w:tcPr>
            <w:tcW w:w="1056" w:type="dxa"/>
            <w:vAlign w:val="center"/>
          </w:tcPr>
          <w:p w:rsidR="005357C5" w:rsidRPr="005357C5" w:rsidRDefault="005357C5" w:rsidP="005357C5">
            <w:pPr>
              <w:widowControl/>
              <w:spacing w:line="300" w:lineRule="exact"/>
              <w:jc w:val="center"/>
              <w:rPr>
                <w:rFonts w:ascii="仿宋_GB2312" w:eastAsia="仿宋_GB2312" w:hAnsi="Times New Roman"/>
                <w:color w:val="000000"/>
                <w:kern w:val="0"/>
                <w:szCs w:val="21"/>
              </w:rPr>
            </w:pPr>
          </w:p>
        </w:tc>
        <w:tc>
          <w:tcPr>
            <w:tcW w:w="1132" w:type="dxa"/>
            <w:vAlign w:val="center"/>
          </w:tcPr>
          <w:p w:rsidR="005357C5" w:rsidRPr="005357C5" w:rsidRDefault="005357C5" w:rsidP="005357C5">
            <w:pPr>
              <w:widowControl/>
              <w:spacing w:line="300" w:lineRule="exact"/>
              <w:rPr>
                <w:rFonts w:ascii="仿宋_GB2312" w:eastAsia="仿宋_GB2312" w:hAnsi="Times New Roman"/>
                <w:color w:val="000000"/>
                <w:kern w:val="0"/>
                <w:szCs w:val="21"/>
              </w:rPr>
            </w:pPr>
          </w:p>
        </w:tc>
        <w:tc>
          <w:tcPr>
            <w:tcW w:w="795" w:type="dxa"/>
            <w:gridSpan w:val="2"/>
            <w:vAlign w:val="center"/>
          </w:tcPr>
          <w:p w:rsidR="005357C5" w:rsidRPr="005357C5" w:rsidRDefault="005357C5" w:rsidP="005357C5">
            <w:pPr>
              <w:widowControl/>
              <w:spacing w:line="300" w:lineRule="exact"/>
              <w:jc w:val="center"/>
              <w:rPr>
                <w:rFonts w:ascii="仿宋_GB2312" w:eastAsia="仿宋_GB2312" w:hAnsi="Times New Roman"/>
                <w:color w:val="000000"/>
                <w:kern w:val="0"/>
                <w:szCs w:val="21"/>
              </w:rPr>
            </w:pPr>
          </w:p>
        </w:tc>
        <w:tc>
          <w:tcPr>
            <w:tcW w:w="949" w:type="dxa"/>
            <w:vAlign w:val="center"/>
          </w:tcPr>
          <w:p w:rsidR="005357C5" w:rsidRPr="005357C5" w:rsidRDefault="005357C5" w:rsidP="005357C5">
            <w:pPr>
              <w:widowControl/>
              <w:spacing w:line="300" w:lineRule="exact"/>
              <w:jc w:val="center"/>
              <w:rPr>
                <w:rFonts w:ascii="仿宋_GB2312" w:eastAsia="仿宋_GB2312" w:hAnsi="Times New Roman"/>
                <w:color w:val="000000"/>
                <w:kern w:val="0"/>
                <w:szCs w:val="21"/>
              </w:rPr>
            </w:pPr>
          </w:p>
        </w:tc>
        <w:tc>
          <w:tcPr>
            <w:tcW w:w="1237"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restart"/>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社会效</w:t>
            </w:r>
          </w:p>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益指标</w:t>
            </w: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文艺活动公众知晓度</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宋体" w:cs="宋体"/>
                <w:color w:val="000000"/>
                <w:spacing w:val="-10"/>
                <w:kern w:val="0"/>
                <w:szCs w:val="21"/>
              </w:rPr>
            </w:pPr>
            <w:r w:rsidRPr="005357C5">
              <w:rPr>
                <w:rFonts w:ascii="仿宋_GB2312" w:eastAsia="仿宋_GB2312" w:hAnsi="宋体" w:cs="宋体" w:hint="eastAsia"/>
                <w:color w:val="000000"/>
                <w:spacing w:val="-10"/>
                <w:kern w:val="0"/>
                <w:szCs w:val="21"/>
              </w:rPr>
              <w:t>期刊出版影响力</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Times New Roman"/>
                <w:color w:val="000000"/>
                <w:kern w:val="0"/>
                <w:szCs w:val="21"/>
              </w:rPr>
            </w:pPr>
            <w:r w:rsidRPr="005357C5">
              <w:rPr>
                <w:rFonts w:ascii="仿宋_GB2312" w:eastAsia="仿宋_GB2312" w:hAnsi="宋体" w:cs="宋体" w:hint="eastAsia"/>
                <w:color w:val="000000"/>
                <w:spacing w:val="-10"/>
                <w:kern w:val="0"/>
                <w:szCs w:val="21"/>
              </w:rPr>
              <w:t>媒体报道广泛度</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志愿服务活动群众受益度</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宋体" w:cs="宋体"/>
                <w:color w:val="000000"/>
                <w:spacing w:val="-16"/>
                <w:kern w:val="0"/>
                <w:szCs w:val="21"/>
              </w:rPr>
            </w:pPr>
            <w:r w:rsidRPr="005357C5">
              <w:rPr>
                <w:rFonts w:ascii="仿宋_GB2312" w:eastAsia="仿宋_GB2312" w:hAnsi="宋体" w:cs="宋体" w:hint="eastAsia"/>
                <w:color w:val="000000"/>
                <w:spacing w:val="-16"/>
                <w:kern w:val="0"/>
                <w:szCs w:val="21"/>
              </w:rPr>
              <w:t>提升场馆整体形象</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更好提供公共文化服务</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成为文艺湘军的新阵地</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打造湖湘文化的新地标</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丰富人民群众精神文化生活</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推动湖南文艺事业繁荣发展</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Align w:val="center"/>
            <w:hideMark/>
          </w:tcPr>
          <w:p w:rsidR="005357C5" w:rsidRPr="005357C5" w:rsidRDefault="005357C5"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生态效益指标</w:t>
            </w:r>
          </w:p>
        </w:tc>
        <w:tc>
          <w:tcPr>
            <w:tcW w:w="1649" w:type="dxa"/>
            <w:vAlign w:val="center"/>
            <w:hideMark/>
          </w:tcPr>
          <w:p w:rsidR="005357C5" w:rsidRPr="005357C5" w:rsidRDefault="005357C5" w:rsidP="005357C5">
            <w:pPr>
              <w:widowControl/>
              <w:spacing w:line="24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不适用</w:t>
            </w:r>
          </w:p>
        </w:tc>
        <w:tc>
          <w:tcPr>
            <w:tcW w:w="1056" w:type="dxa"/>
            <w:vAlign w:val="center"/>
          </w:tcPr>
          <w:p w:rsidR="005357C5" w:rsidRPr="005357C5" w:rsidRDefault="005357C5" w:rsidP="005357C5">
            <w:pPr>
              <w:widowControl/>
              <w:spacing w:line="300" w:lineRule="exact"/>
              <w:jc w:val="center"/>
              <w:rPr>
                <w:rFonts w:ascii="仿宋_GB2312" w:eastAsia="仿宋_GB2312" w:hAnsi="Times New Roman"/>
                <w:color w:val="000000"/>
                <w:kern w:val="0"/>
                <w:szCs w:val="21"/>
              </w:rPr>
            </w:pPr>
          </w:p>
        </w:tc>
        <w:tc>
          <w:tcPr>
            <w:tcW w:w="1132" w:type="dxa"/>
            <w:vAlign w:val="center"/>
          </w:tcPr>
          <w:p w:rsidR="005357C5" w:rsidRPr="005357C5" w:rsidRDefault="005357C5" w:rsidP="005357C5">
            <w:pPr>
              <w:widowControl/>
              <w:spacing w:line="300" w:lineRule="exact"/>
              <w:jc w:val="center"/>
              <w:rPr>
                <w:rFonts w:ascii="仿宋_GB2312" w:eastAsia="仿宋_GB2312" w:hAnsi="Times New Roman"/>
                <w:color w:val="000000"/>
                <w:kern w:val="0"/>
                <w:szCs w:val="21"/>
              </w:rPr>
            </w:pPr>
          </w:p>
        </w:tc>
        <w:tc>
          <w:tcPr>
            <w:tcW w:w="795" w:type="dxa"/>
            <w:gridSpan w:val="2"/>
            <w:vAlign w:val="center"/>
          </w:tcPr>
          <w:p w:rsidR="005357C5" w:rsidRPr="005357C5" w:rsidRDefault="005357C5" w:rsidP="005357C5">
            <w:pPr>
              <w:widowControl/>
              <w:spacing w:line="300" w:lineRule="exact"/>
              <w:jc w:val="center"/>
              <w:rPr>
                <w:rFonts w:ascii="仿宋_GB2312" w:eastAsia="仿宋_GB2312" w:hAnsi="Times New Roman"/>
                <w:color w:val="000000"/>
                <w:kern w:val="0"/>
                <w:szCs w:val="21"/>
              </w:rPr>
            </w:pPr>
          </w:p>
        </w:tc>
        <w:tc>
          <w:tcPr>
            <w:tcW w:w="949" w:type="dxa"/>
            <w:vAlign w:val="center"/>
          </w:tcPr>
          <w:p w:rsidR="005357C5" w:rsidRPr="005357C5" w:rsidRDefault="005357C5" w:rsidP="005357C5">
            <w:pPr>
              <w:widowControl/>
              <w:spacing w:line="300" w:lineRule="exact"/>
              <w:jc w:val="center"/>
              <w:rPr>
                <w:rFonts w:ascii="仿宋_GB2312" w:eastAsia="仿宋_GB2312" w:hAnsi="Times New Roman"/>
                <w:color w:val="000000"/>
                <w:kern w:val="0"/>
                <w:szCs w:val="21"/>
              </w:rPr>
            </w:pPr>
          </w:p>
        </w:tc>
        <w:tc>
          <w:tcPr>
            <w:tcW w:w="1237"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trHeight w:val="310"/>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restart"/>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可持续影响指标</w:t>
            </w:r>
          </w:p>
        </w:tc>
        <w:tc>
          <w:tcPr>
            <w:tcW w:w="1649" w:type="dxa"/>
            <w:vAlign w:val="center"/>
            <w:hideMark/>
          </w:tcPr>
          <w:p w:rsidR="005357C5" w:rsidRPr="005357C5" w:rsidRDefault="005357C5"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省级会员培训持续开展</w:t>
            </w:r>
          </w:p>
        </w:tc>
        <w:tc>
          <w:tcPr>
            <w:tcW w:w="1056" w:type="dxa"/>
            <w:vAlign w:val="center"/>
            <w:hideMark/>
          </w:tcPr>
          <w:p w:rsidR="005357C5" w:rsidRPr="005357C5" w:rsidRDefault="005357C5"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提高政治警觉性落实意识形态工作</w:t>
            </w:r>
          </w:p>
        </w:tc>
        <w:tc>
          <w:tcPr>
            <w:tcW w:w="1132" w:type="dxa"/>
            <w:vAlign w:val="center"/>
            <w:hideMark/>
          </w:tcPr>
          <w:p w:rsidR="005357C5" w:rsidRPr="005357C5" w:rsidRDefault="005357C5"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提高政治警觉性落实意识形态工作</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trHeight w:val="270"/>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宋体" w:cs="宋体"/>
                <w:color w:val="000000"/>
                <w:kern w:val="0"/>
                <w:szCs w:val="21"/>
              </w:rPr>
            </w:pPr>
            <w:r w:rsidRPr="005357C5">
              <w:rPr>
                <w:rFonts w:ascii="仿宋_GB2312" w:eastAsia="仿宋_GB2312" w:hAnsi="宋体" w:cs="宋体" w:hint="eastAsia"/>
                <w:color w:val="000000"/>
                <w:spacing w:val="-16"/>
                <w:kern w:val="0"/>
                <w:szCs w:val="21"/>
              </w:rPr>
              <w:t>文艺活动影响力</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trHeight w:val="226"/>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宋体" w:cs="宋体"/>
                <w:color w:val="000000"/>
                <w:spacing w:val="-16"/>
                <w:kern w:val="0"/>
                <w:szCs w:val="21"/>
              </w:rPr>
            </w:pPr>
            <w:r w:rsidRPr="005357C5">
              <w:rPr>
                <w:rFonts w:ascii="仿宋_GB2312" w:eastAsia="仿宋_GB2312" w:hAnsi="宋体" w:cs="宋体" w:hint="eastAsia"/>
                <w:color w:val="000000"/>
                <w:spacing w:val="-16"/>
                <w:kern w:val="0"/>
                <w:szCs w:val="21"/>
              </w:rPr>
              <w:t>发挥示范引领作用</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trHeight w:val="226"/>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300" w:lineRule="exact"/>
              <w:ind w:rightChars="-49" w:right="-103"/>
              <w:jc w:val="left"/>
              <w:rPr>
                <w:rFonts w:ascii="仿宋_GB2312" w:eastAsia="仿宋_GB2312" w:hAnsi="宋体" w:cs="宋体"/>
                <w:color w:val="000000"/>
                <w:spacing w:val="-16"/>
                <w:kern w:val="0"/>
                <w:szCs w:val="21"/>
              </w:rPr>
            </w:pPr>
            <w:r w:rsidRPr="005357C5">
              <w:rPr>
                <w:rFonts w:ascii="仿宋_GB2312" w:eastAsia="仿宋_GB2312" w:hAnsi="宋体" w:cs="宋体" w:hint="eastAsia"/>
                <w:color w:val="000000"/>
                <w:spacing w:val="-16"/>
                <w:kern w:val="0"/>
                <w:szCs w:val="21"/>
              </w:rPr>
              <w:t>保护传承传统文化</w:t>
            </w:r>
          </w:p>
        </w:tc>
        <w:tc>
          <w:tcPr>
            <w:tcW w:w="1056"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1132"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较显著</w:t>
            </w:r>
          </w:p>
        </w:tc>
        <w:tc>
          <w:tcPr>
            <w:tcW w:w="795" w:type="dxa"/>
            <w:gridSpan w:val="2"/>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949" w:type="dxa"/>
            <w:vAlign w:val="center"/>
            <w:hideMark/>
          </w:tcPr>
          <w:p w:rsidR="005357C5" w:rsidRPr="005357C5" w:rsidRDefault="005357C5"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2</w:t>
            </w:r>
          </w:p>
        </w:tc>
        <w:tc>
          <w:tcPr>
            <w:tcW w:w="1237" w:type="dxa"/>
            <w:vAlign w:val="center"/>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r>
      <w:tr w:rsidR="005357C5" w:rsidRPr="005357C5" w:rsidTr="005357C5">
        <w:trPr>
          <w:trHeight w:val="226"/>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240" w:lineRule="exact"/>
              <w:ind w:rightChars="-82" w:right="-172"/>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保障机关及事业单位正常办公</w:t>
            </w:r>
          </w:p>
        </w:tc>
        <w:tc>
          <w:tcPr>
            <w:tcW w:w="1056" w:type="dxa"/>
            <w:vAlign w:val="center"/>
            <w:hideMark/>
          </w:tcPr>
          <w:p w:rsidR="005357C5" w:rsidRPr="005357C5" w:rsidRDefault="005357C5" w:rsidP="005357C5">
            <w:pPr>
              <w:widowControl/>
              <w:spacing w:line="24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1132" w:type="dxa"/>
            <w:vAlign w:val="center"/>
            <w:hideMark/>
          </w:tcPr>
          <w:p w:rsidR="005357C5" w:rsidRPr="005357C5" w:rsidRDefault="005357C5" w:rsidP="005357C5">
            <w:pPr>
              <w:widowControl/>
              <w:spacing w:line="24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100%</w:t>
            </w:r>
          </w:p>
        </w:tc>
        <w:tc>
          <w:tcPr>
            <w:tcW w:w="795" w:type="dxa"/>
            <w:gridSpan w:val="2"/>
            <w:vAlign w:val="center"/>
            <w:hideMark/>
          </w:tcPr>
          <w:p w:rsidR="005357C5" w:rsidRPr="005357C5" w:rsidRDefault="005357C5"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5357C5" w:rsidRPr="005357C5" w:rsidRDefault="005357C5"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5357C5" w:rsidRPr="005357C5" w:rsidRDefault="005357C5" w:rsidP="005357C5">
            <w:pPr>
              <w:widowControl/>
              <w:spacing w:line="240" w:lineRule="exact"/>
              <w:jc w:val="left"/>
              <w:rPr>
                <w:rFonts w:ascii="仿宋_GB2312" w:eastAsia="仿宋_GB2312" w:hAnsi="Times New Roman"/>
                <w:color w:val="000000"/>
                <w:kern w:val="0"/>
                <w:szCs w:val="21"/>
              </w:rPr>
            </w:pPr>
          </w:p>
        </w:tc>
      </w:tr>
      <w:tr w:rsidR="005357C5" w:rsidRPr="005357C5" w:rsidTr="005357C5">
        <w:trPr>
          <w:trHeight w:val="226"/>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240" w:lineRule="exact"/>
              <w:jc w:val="left"/>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场馆高质量高标准建设</w:t>
            </w:r>
          </w:p>
        </w:tc>
        <w:tc>
          <w:tcPr>
            <w:tcW w:w="1056" w:type="dxa"/>
            <w:vAlign w:val="center"/>
            <w:hideMark/>
          </w:tcPr>
          <w:p w:rsidR="005357C5" w:rsidRPr="005357C5" w:rsidRDefault="005357C5" w:rsidP="005357C5">
            <w:pPr>
              <w:widowControl/>
              <w:spacing w:line="24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5357C5" w:rsidRPr="005357C5" w:rsidRDefault="005357C5" w:rsidP="005357C5">
            <w:pPr>
              <w:widowControl/>
              <w:spacing w:line="24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5357C5" w:rsidRPr="005357C5" w:rsidRDefault="005357C5"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5357C5" w:rsidRPr="005357C5" w:rsidRDefault="005357C5"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5357C5" w:rsidRPr="005357C5" w:rsidRDefault="005357C5" w:rsidP="005357C5">
            <w:pPr>
              <w:widowControl/>
              <w:spacing w:line="240" w:lineRule="exact"/>
              <w:jc w:val="left"/>
              <w:rPr>
                <w:rFonts w:ascii="仿宋_GB2312" w:eastAsia="仿宋_GB2312" w:hAnsi="Times New Roman"/>
                <w:color w:val="000000"/>
                <w:kern w:val="0"/>
                <w:szCs w:val="21"/>
              </w:rPr>
            </w:pPr>
          </w:p>
        </w:tc>
      </w:tr>
      <w:tr w:rsidR="005357C5" w:rsidRPr="005357C5" w:rsidTr="005357C5">
        <w:trPr>
          <w:trHeight w:val="226"/>
          <w:jc w:val="center"/>
        </w:trPr>
        <w:tc>
          <w:tcPr>
            <w:tcW w:w="909"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5357C5" w:rsidRPr="005357C5" w:rsidRDefault="005357C5"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5357C5" w:rsidRPr="005357C5" w:rsidRDefault="005357C5" w:rsidP="005357C5">
            <w:pPr>
              <w:widowControl/>
              <w:spacing w:line="24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设备使用年限</w:t>
            </w:r>
          </w:p>
        </w:tc>
        <w:tc>
          <w:tcPr>
            <w:tcW w:w="1056" w:type="dxa"/>
            <w:vAlign w:val="center"/>
            <w:hideMark/>
          </w:tcPr>
          <w:p w:rsidR="005357C5" w:rsidRPr="005357C5" w:rsidRDefault="005357C5"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宋体" w:cs="宋体" w:hint="eastAsia"/>
                <w:color w:val="000000"/>
                <w:kern w:val="0"/>
                <w:szCs w:val="21"/>
              </w:rPr>
              <w:t>≥</w:t>
            </w:r>
            <w:r w:rsidRPr="005357C5">
              <w:rPr>
                <w:rFonts w:ascii="仿宋_GB2312" w:eastAsia="仿宋_GB2312" w:hAnsi="Times New Roman" w:hint="eastAsia"/>
                <w:color w:val="000000"/>
                <w:kern w:val="0"/>
                <w:szCs w:val="21"/>
              </w:rPr>
              <w:t>最低使用年限</w:t>
            </w:r>
          </w:p>
        </w:tc>
        <w:tc>
          <w:tcPr>
            <w:tcW w:w="1132" w:type="dxa"/>
            <w:vAlign w:val="center"/>
            <w:hideMark/>
          </w:tcPr>
          <w:p w:rsidR="005357C5" w:rsidRPr="005357C5" w:rsidRDefault="005357C5" w:rsidP="005357C5">
            <w:pPr>
              <w:widowControl/>
              <w:spacing w:line="240" w:lineRule="exact"/>
              <w:rPr>
                <w:rFonts w:ascii="仿宋_GB2312" w:eastAsia="仿宋_GB2312" w:hAnsi="Times New Roman"/>
                <w:color w:val="000000"/>
                <w:kern w:val="0"/>
                <w:szCs w:val="21"/>
              </w:rPr>
            </w:pPr>
            <w:r w:rsidRPr="005357C5">
              <w:rPr>
                <w:rFonts w:ascii="仿宋_GB2312" w:eastAsia="仿宋_GB2312" w:hAnsi="宋体" w:cs="宋体" w:hint="eastAsia"/>
                <w:color w:val="000000"/>
                <w:kern w:val="0"/>
                <w:szCs w:val="21"/>
              </w:rPr>
              <w:t>≥</w:t>
            </w:r>
            <w:r w:rsidRPr="005357C5">
              <w:rPr>
                <w:rFonts w:ascii="仿宋_GB2312" w:eastAsia="仿宋_GB2312" w:hAnsi="Times New Roman" w:hint="eastAsia"/>
                <w:color w:val="000000"/>
                <w:kern w:val="0"/>
                <w:szCs w:val="21"/>
              </w:rPr>
              <w:t>最低使用年限</w:t>
            </w:r>
          </w:p>
        </w:tc>
        <w:tc>
          <w:tcPr>
            <w:tcW w:w="795" w:type="dxa"/>
            <w:gridSpan w:val="2"/>
            <w:vAlign w:val="center"/>
            <w:hideMark/>
          </w:tcPr>
          <w:p w:rsidR="005357C5" w:rsidRPr="005357C5" w:rsidRDefault="005357C5"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949" w:type="dxa"/>
            <w:vAlign w:val="center"/>
            <w:hideMark/>
          </w:tcPr>
          <w:p w:rsidR="005357C5" w:rsidRPr="005357C5" w:rsidRDefault="005357C5" w:rsidP="005357C5">
            <w:pPr>
              <w:widowControl/>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w:t>
            </w:r>
          </w:p>
        </w:tc>
        <w:tc>
          <w:tcPr>
            <w:tcW w:w="1237" w:type="dxa"/>
            <w:vAlign w:val="center"/>
          </w:tcPr>
          <w:p w:rsidR="005357C5" w:rsidRPr="005357C5" w:rsidRDefault="005357C5" w:rsidP="005357C5">
            <w:pPr>
              <w:widowControl/>
              <w:spacing w:line="240" w:lineRule="exact"/>
              <w:jc w:val="left"/>
              <w:rPr>
                <w:rFonts w:ascii="仿宋_GB2312" w:eastAsia="仿宋_GB2312" w:hAnsi="Times New Roman"/>
                <w:color w:val="000000"/>
                <w:kern w:val="0"/>
                <w:szCs w:val="21"/>
              </w:rPr>
            </w:pPr>
          </w:p>
        </w:tc>
      </w:tr>
      <w:tr w:rsidR="005357C5" w:rsidRPr="005357C5" w:rsidTr="005357C5">
        <w:trPr>
          <w:trHeight w:val="365"/>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restart"/>
            <w:vAlign w:val="center"/>
            <w:hideMark/>
          </w:tcPr>
          <w:p w:rsidR="000460EB" w:rsidRPr="005357C5" w:rsidRDefault="000460EB"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满意度</w:t>
            </w:r>
          </w:p>
          <w:p w:rsidR="000460EB" w:rsidRPr="005357C5" w:rsidRDefault="000460EB"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指标</w:t>
            </w:r>
          </w:p>
          <w:p w:rsidR="000460EB" w:rsidRPr="005357C5" w:rsidRDefault="000460EB" w:rsidP="005357C5">
            <w:pPr>
              <w:spacing w:line="24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（10分）</w:t>
            </w:r>
          </w:p>
        </w:tc>
        <w:tc>
          <w:tcPr>
            <w:tcW w:w="732" w:type="dxa"/>
            <w:vMerge w:val="restart"/>
            <w:vAlign w:val="center"/>
            <w:hideMark/>
          </w:tcPr>
          <w:p w:rsidR="000460EB" w:rsidRPr="005357C5" w:rsidRDefault="000460EB" w:rsidP="005357C5">
            <w:pPr>
              <w:spacing w:line="240" w:lineRule="exact"/>
              <w:jc w:val="center"/>
              <w:rPr>
                <w:rFonts w:ascii="仿宋_GB2312" w:eastAsia="仿宋_GB2312" w:hAnsi="Times New Roman"/>
                <w:color w:val="000000"/>
                <w:spacing w:val="-20"/>
                <w:kern w:val="0"/>
                <w:szCs w:val="21"/>
              </w:rPr>
            </w:pPr>
            <w:r w:rsidRPr="005357C5">
              <w:rPr>
                <w:rFonts w:ascii="仿宋_GB2312" w:eastAsia="仿宋_GB2312" w:hAnsi="Times New Roman" w:hint="eastAsia"/>
                <w:color w:val="000000"/>
                <w:spacing w:val="-20"/>
                <w:kern w:val="0"/>
                <w:szCs w:val="21"/>
              </w:rPr>
              <w:t>服务对象满意度指标</w:t>
            </w:r>
          </w:p>
        </w:tc>
        <w:tc>
          <w:tcPr>
            <w:tcW w:w="1649" w:type="dxa"/>
            <w:vAlign w:val="center"/>
            <w:hideMark/>
          </w:tcPr>
          <w:p w:rsidR="000460EB" w:rsidRPr="005357C5" w:rsidRDefault="000460EB" w:rsidP="005357C5">
            <w:pPr>
              <w:spacing w:line="300" w:lineRule="exact"/>
              <w:ind w:rightChars="-49" w:right="-103"/>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艺术家满意度</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trHeight w:val="632"/>
          <w:jc w:val="center"/>
        </w:trPr>
        <w:tc>
          <w:tcPr>
            <w:tcW w:w="909"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636"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732" w:type="dxa"/>
            <w:vMerge/>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p>
        </w:tc>
        <w:tc>
          <w:tcPr>
            <w:tcW w:w="1649" w:type="dxa"/>
            <w:vAlign w:val="center"/>
            <w:hideMark/>
          </w:tcPr>
          <w:p w:rsidR="000460EB" w:rsidRPr="005357C5" w:rsidRDefault="000460EB" w:rsidP="005357C5">
            <w:pPr>
              <w:widowControl/>
              <w:spacing w:line="300" w:lineRule="exact"/>
              <w:ind w:rightChars="-49" w:right="-103"/>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公众满意度</w:t>
            </w:r>
          </w:p>
        </w:tc>
        <w:tc>
          <w:tcPr>
            <w:tcW w:w="1056"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1132" w:type="dxa"/>
            <w:vAlign w:val="center"/>
            <w:hideMark/>
          </w:tcPr>
          <w:p w:rsidR="000460EB" w:rsidRPr="005357C5" w:rsidRDefault="000460EB" w:rsidP="005357C5">
            <w:pPr>
              <w:widowControl/>
              <w:spacing w:line="300" w:lineRule="exact"/>
              <w:jc w:val="center"/>
              <w:rPr>
                <w:rFonts w:ascii="仿宋_GB2312" w:eastAsia="仿宋_GB2312" w:hAnsi="宋体" w:cs="宋体"/>
                <w:color w:val="000000"/>
                <w:kern w:val="0"/>
                <w:szCs w:val="21"/>
              </w:rPr>
            </w:pPr>
            <w:r w:rsidRPr="005357C5">
              <w:rPr>
                <w:rFonts w:ascii="仿宋_GB2312" w:eastAsia="仿宋_GB2312" w:hAnsi="宋体" w:cs="宋体" w:hint="eastAsia"/>
                <w:color w:val="000000"/>
                <w:kern w:val="0"/>
                <w:szCs w:val="21"/>
              </w:rPr>
              <w:t>≥90%</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w:t>
            </w:r>
          </w:p>
        </w:tc>
        <w:tc>
          <w:tcPr>
            <w:tcW w:w="949" w:type="dxa"/>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5</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r w:rsidR="005357C5" w:rsidRPr="005357C5" w:rsidTr="005357C5">
        <w:trPr>
          <w:trHeight w:val="270"/>
          <w:jc w:val="center"/>
        </w:trPr>
        <w:tc>
          <w:tcPr>
            <w:tcW w:w="6114" w:type="dxa"/>
            <w:gridSpan w:val="6"/>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总分</w:t>
            </w:r>
          </w:p>
        </w:tc>
        <w:tc>
          <w:tcPr>
            <w:tcW w:w="795" w:type="dxa"/>
            <w:gridSpan w:val="2"/>
            <w:vAlign w:val="center"/>
            <w:hideMark/>
          </w:tcPr>
          <w:p w:rsidR="000460EB" w:rsidRPr="005357C5" w:rsidRDefault="000460EB" w:rsidP="005357C5">
            <w:pPr>
              <w:widowControl/>
              <w:spacing w:line="300" w:lineRule="exact"/>
              <w:jc w:val="center"/>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100</w:t>
            </w:r>
          </w:p>
        </w:tc>
        <w:tc>
          <w:tcPr>
            <w:tcW w:w="949"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9</w:t>
            </w:r>
            <w:r w:rsidR="00D71EF1" w:rsidRPr="005357C5">
              <w:rPr>
                <w:rFonts w:ascii="仿宋_GB2312" w:eastAsia="仿宋_GB2312" w:hAnsi="Times New Roman" w:hint="eastAsia"/>
                <w:color w:val="000000"/>
                <w:kern w:val="0"/>
                <w:szCs w:val="21"/>
              </w:rPr>
              <w:t>3.87</w:t>
            </w:r>
          </w:p>
        </w:tc>
        <w:tc>
          <w:tcPr>
            <w:tcW w:w="1237" w:type="dxa"/>
            <w:vAlign w:val="center"/>
            <w:hideMark/>
          </w:tcPr>
          <w:p w:rsidR="000460EB" w:rsidRPr="005357C5" w:rsidRDefault="000460EB" w:rsidP="005357C5">
            <w:pPr>
              <w:widowControl/>
              <w:spacing w:line="300" w:lineRule="exact"/>
              <w:jc w:val="left"/>
              <w:rPr>
                <w:rFonts w:ascii="仿宋_GB2312" w:eastAsia="仿宋_GB2312" w:hAnsi="Times New Roman"/>
                <w:color w:val="000000"/>
                <w:kern w:val="0"/>
                <w:szCs w:val="21"/>
              </w:rPr>
            </w:pPr>
            <w:r w:rsidRPr="005357C5">
              <w:rPr>
                <w:rFonts w:ascii="仿宋_GB2312" w:eastAsia="仿宋_GB2312" w:hAnsi="Times New Roman" w:hint="eastAsia"/>
                <w:color w:val="000000"/>
                <w:kern w:val="0"/>
                <w:szCs w:val="21"/>
              </w:rPr>
              <w:t xml:space="preserve">　</w:t>
            </w:r>
          </w:p>
        </w:tc>
      </w:tr>
    </w:tbl>
    <w:p w:rsidR="005D0721" w:rsidRPr="005357C5" w:rsidRDefault="000460EB" w:rsidP="005357C5">
      <w:pPr>
        <w:widowControl/>
        <w:spacing w:line="400" w:lineRule="exact"/>
        <w:jc w:val="left"/>
        <w:rPr>
          <w:rFonts w:ascii="Times New Roman" w:eastAsia="仿宋_GB2312" w:hAnsi="Times New Roman"/>
          <w:kern w:val="0"/>
          <w:szCs w:val="21"/>
        </w:rPr>
      </w:pPr>
      <w:r>
        <w:rPr>
          <w:rFonts w:ascii="Times New Roman" w:eastAsia="仿宋_GB2312" w:hAnsi="Times New Roman" w:hint="eastAsia"/>
          <w:kern w:val="0"/>
          <w:szCs w:val="21"/>
        </w:rPr>
        <w:t>填表人：</w:t>
      </w:r>
      <w:r w:rsidR="00EE3F0A">
        <w:rPr>
          <w:rFonts w:ascii="Times New Roman" w:eastAsia="仿宋_GB2312" w:hAnsi="Times New Roman" w:hint="eastAsia"/>
          <w:kern w:val="0"/>
          <w:szCs w:val="21"/>
        </w:rPr>
        <w:t>柏瑜静</w:t>
      </w:r>
      <w:r w:rsidR="00E87073">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填报日期：</w:t>
      </w:r>
      <w:r w:rsidR="0004706E">
        <w:rPr>
          <w:rFonts w:ascii="Times New Roman" w:eastAsia="仿宋_GB2312" w:hAnsi="Times New Roman" w:hint="eastAsia"/>
          <w:kern w:val="0"/>
          <w:szCs w:val="21"/>
        </w:rPr>
        <w:t>2022.5.19</w:t>
      </w:r>
      <w:r w:rsidR="00E87073">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联系电话：</w:t>
      </w:r>
      <w:r w:rsidR="0004706E">
        <w:rPr>
          <w:rFonts w:ascii="Times New Roman" w:eastAsia="仿宋_GB2312" w:hAnsi="Times New Roman" w:hint="eastAsia"/>
          <w:kern w:val="0"/>
          <w:szCs w:val="21"/>
        </w:rPr>
        <w:t>84582666</w:t>
      </w:r>
      <w:r w:rsidR="00E87073">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单位负责人签字：</w:t>
      </w:r>
      <w:bookmarkStart w:id="0" w:name="_GoBack"/>
      <w:bookmarkEnd w:id="0"/>
      <w:r w:rsidR="00E87073">
        <w:rPr>
          <w:rFonts w:ascii="Times New Roman" w:eastAsia="仿宋_GB2312" w:hAnsi="Times New Roman" w:hint="eastAsia"/>
          <w:kern w:val="0"/>
          <w:szCs w:val="21"/>
        </w:rPr>
        <w:t>夏义生</w:t>
      </w:r>
    </w:p>
    <w:sectPr w:rsidR="005D0721" w:rsidRPr="005357C5" w:rsidSect="005D07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BF" w:rsidRDefault="000D09BF" w:rsidP="001B3A87">
      <w:r>
        <w:separator/>
      </w:r>
    </w:p>
  </w:endnote>
  <w:endnote w:type="continuationSeparator" w:id="1">
    <w:p w:rsidR="000D09BF" w:rsidRDefault="000D09BF" w:rsidP="001B3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BF" w:rsidRDefault="000D09BF" w:rsidP="001B3A87">
      <w:r>
        <w:separator/>
      </w:r>
    </w:p>
  </w:footnote>
  <w:footnote w:type="continuationSeparator" w:id="1">
    <w:p w:rsidR="000D09BF" w:rsidRDefault="000D09BF" w:rsidP="001B3A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0EB"/>
    <w:rsid w:val="000460EB"/>
    <w:rsid w:val="0004706E"/>
    <w:rsid w:val="000D09BF"/>
    <w:rsid w:val="001B3A87"/>
    <w:rsid w:val="003A4E3C"/>
    <w:rsid w:val="005357C5"/>
    <w:rsid w:val="005D0721"/>
    <w:rsid w:val="00B11BE2"/>
    <w:rsid w:val="00B3427B"/>
    <w:rsid w:val="00BF4CB8"/>
    <w:rsid w:val="00C44D90"/>
    <w:rsid w:val="00D71EF1"/>
    <w:rsid w:val="00DB3823"/>
    <w:rsid w:val="00E000E5"/>
    <w:rsid w:val="00E87073"/>
    <w:rsid w:val="00EE3F0A"/>
    <w:rsid w:val="00FB2FA8"/>
    <w:rsid w:val="00FF45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A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A87"/>
    <w:rPr>
      <w:rFonts w:ascii="Calibri" w:eastAsia="宋体" w:hAnsi="Calibri" w:cs="Times New Roman"/>
      <w:sz w:val="18"/>
      <w:szCs w:val="18"/>
    </w:rPr>
  </w:style>
  <w:style w:type="paragraph" w:styleId="a4">
    <w:name w:val="footer"/>
    <w:basedOn w:val="a"/>
    <w:link w:val="Char0"/>
    <w:uiPriority w:val="99"/>
    <w:semiHidden/>
    <w:unhideWhenUsed/>
    <w:rsid w:val="001B3A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A8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338</Words>
  <Characters>1931</Characters>
  <Application>Microsoft Office Word</Application>
  <DocSecurity>0</DocSecurity>
  <Lines>16</Lines>
  <Paragraphs>4</Paragraphs>
  <ScaleCrop>false</ScaleCrop>
  <Company>shenduxitong</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Administrator</cp:lastModifiedBy>
  <cp:revision>8</cp:revision>
  <dcterms:created xsi:type="dcterms:W3CDTF">2022-05-23T11:38:00Z</dcterms:created>
  <dcterms:modified xsi:type="dcterms:W3CDTF">2022-06-16T02:47:00Z</dcterms:modified>
</cp:coreProperties>
</file>