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3" w:line="219" w:lineRule="auto"/>
        <w:ind w:firstLine="1110" w:firstLineChars="3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5"/>
          <w:sz w:val="36"/>
          <w:szCs w:val="36"/>
        </w:rPr>
        <w:t>2021年度部门整体支出绩效自评表</w:t>
      </w:r>
    </w:p>
    <w:tbl>
      <w:tblPr>
        <w:tblStyle w:val="4"/>
        <w:tblpPr w:leftFromText="180" w:rightFromText="180" w:vertAnchor="text" w:horzAnchor="page" w:tblpX="853" w:tblpY="35"/>
        <w:tblOverlap w:val="never"/>
        <w:tblW w:w="100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06"/>
        <w:gridCol w:w="949"/>
        <w:gridCol w:w="1349"/>
        <w:gridCol w:w="1319"/>
        <w:gridCol w:w="1305"/>
        <w:gridCol w:w="662"/>
        <w:gridCol w:w="87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7" w:line="209" w:lineRule="auto"/>
              <w:ind w:righ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省级预算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部门名称</w:t>
            </w:r>
          </w:p>
        </w:tc>
        <w:tc>
          <w:tcPr>
            <w:tcW w:w="9092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湖南省作家协会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5" w:line="233" w:lineRule="auto"/>
              <w:ind w:righ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算申请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(万元)</w:t>
            </w:r>
          </w:p>
        </w:tc>
        <w:tc>
          <w:tcPr>
            <w:tcW w:w="215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年初预算数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全年预算数</w:t>
            </w: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全年执行数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执行率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186" w:lineRule="auto"/>
              <w:ind w:firstLine="5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33" w:line="204" w:lineRule="auto"/>
              <w:ind w:firstLine="4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年度资金总额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1732.7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2091.02</w:t>
            </w:r>
          </w:p>
        </w:tc>
        <w:tc>
          <w:tcPr>
            <w:tcW w:w="13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" w:eastAsia="zh-CN"/>
              </w:rPr>
            </w:pPr>
            <w:r>
              <w:rPr>
                <w:rFonts w:hint="default" w:eastAsia="宋体"/>
                <w:sz w:val="21"/>
                <w:lang w:val="en" w:eastAsia="zh-CN"/>
              </w:rPr>
              <w:t>1868.33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13" w:line="141" w:lineRule="exact"/>
              <w:ind w:firstLine="246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9"/>
                <w:szCs w:val="19"/>
              </w:rPr>
              <w:t>10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89.35%</w:t>
            </w:r>
          </w:p>
        </w:tc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204" w:lineRule="auto"/>
              <w:ind w:firstLine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按收入性质分: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204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按支出性质分: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204" w:lineRule="auto"/>
              <w:ind w:firstLine="30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其中:一般公共预算: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209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  <w:lang w:val="en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.02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" w:line="205" w:lineRule="auto"/>
              <w:ind w:firstLine="115"/>
              <w:rPr>
                <w:rFonts w:hint="default" w:ascii="宋体" w:hAnsi="宋体" w:eastAsia="宋体" w:cs="宋体"/>
                <w:sz w:val="20"/>
                <w:szCs w:val="20"/>
                <w:lang w:val="en" w:eastAsia="zh-CN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其中:基本支出:</w:t>
            </w:r>
            <w:r>
              <w:rPr>
                <w:rFonts w:hint="default" w:ascii="宋体" w:hAnsi="宋体" w:eastAsia="宋体" w:cs="宋体"/>
                <w:spacing w:val="5"/>
                <w:sz w:val="20"/>
                <w:szCs w:val="20"/>
                <w:lang w:val="en" w:eastAsia="zh-CN"/>
              </w:rPr>
              <w:t>1090.37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204" w:lineRule="auto"/>
              <w:ind w:firstLine="9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政府性基金拨款: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03" w:lineRule="auto"/>
              <w:ind w:firstLine="70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项目支出: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1000.65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195" w:lineRule="auto"/>
              <w:ind w:firstLine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纳入专户管理的非税收入拨款;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5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03" w:lineRule="auto"/>
              <w:ind w:firstLine="1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其他资金: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5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43" w:line="213" w:lineRule="auto"/>
              <w:ind w:left="334" w:right="147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年度总体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标</w:t>
            </w: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03" w:lineRule="auto"/>
              <w:ind w:firstLine="19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预期目标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" w:line="204" w:lineRule="auto"/>
              <w:ind w:firstLine="1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5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1、坚持文学创作的正确方向，支持、鼓励、帮助作家深入生活，深入群众，汲取营养，丰富创作；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2、加强文学理论研究和文学评论工作，提倡和鼓励不同观点和学派的自由讨论，开展科学的文学批评；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3、发现和培养文学创作、评论、编辑、翻译的新生力量，加强作家培训，发展和壮大全省文学创作队伍；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4、办好本会所属的杂志，努力实现社会效益和经济效益的同步发展；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5、维护会员的民主权利和合法利益，保障会员的合法权益不受侵犯，保障会员从事正当文学活动的自由；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6、对优秀的文学创作成果和文学人才，给予表彰和奖励。</w:t>
            </w:r>
          </w:p>
        </w:tc>
        <w:tc>
          <w:tcPr>
            <w:tcW w:w="42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  <w:p>
            <w:pPr>
              <w:ind w:firstLine="1372" w:firstLineChars="7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  <w:p>
            <w:pPr>
              <w:ind w:firstLine="1372" w:firstLineChars="7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  <w:p>
            <w:pPr>
              <w:ind w:firstLine="1372" w:firstLineChars="7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基本完成预期目标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7" w:type="dxa"/>
            <w:vMerge w:val="restart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firstLine="3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绩效指标</w:t>
            </w:r>
          </w:p>
        </w:tc>
        <w:tc>
          <w:tcPr>
            <w:tcW w:w="120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20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94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5" w:line="207" w:lineRule="auto"/>
              <w:ind w:left="361" w:right="163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34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20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31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1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年度指标值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19" w:lineRule="auto"/>
              <w:ind w:firstLine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实际完成值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19" w:lineRule="auto"/>
              <w:ind w:firstLine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4" w:line="219" w:lineRule="auto"/>
              <w:ind w:firstLine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23" w:line="208" w:lineRule="auto"/>
              <w:ind w:left="207" w:right="111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偏差原因分析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449" w:lineRule="auto"/>
              <w:ind w:left="229" w:right="145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产出指标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(50分)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1、人员经费发放到位率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"/>
              </w:rPr>
            </w:pPr>
            <w:r>
              <w:rPr>
                <w:rFonts w:hint="default"/>
                <w:sz w:val="21"/>
                <w:lang w:val="en"/>
              </w:rPr>
              <w:t>100%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"/>
              </w:rPr>
            </w:pPr>
            <w:r>
              <w:rPr>
                <w:rFonts w:hint="default"/>
                <w:sz w:val="21"/>
                <w:lang w:val="e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"/>
              </w:rPr>
            </w:pPr>
            <w:r>
              <w:rPr>
                <w:rFonts w:hint="default"/>
                <w:sz w:val="21"/>
                <w:lang w:val="e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2刊发文学作品数量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300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"/>
              </w:rPr>
            </w:pPr>
            <w:r>
              <w:rPr>
                <w:rFonts w:hint="default"/>
                <w:sz w:val="21"/>
                <w:lang w:val="en"/>
              </w:rPr>
              <w:t>379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" w:eastAsia="zh-CN"/>
              </w:rPr>
            </w:pPr>
            <w:r>
              <w:rPr>
                <w:rFonts w:hint="default" w:eastAsia="宋体"/>
                <w:sz w:val="21"/>
                <w:lang w:val="en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3、奖励的优秀作品数量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</w:p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140篇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default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255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4、重点作品扶持作品数量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20部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default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5、参加文学类培训的人数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100-150人次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管理制度健全性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完善相关文学活动管理秩序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完善了相关文学活动管理秩序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结合实际、与时俱进的完善管理制度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制度执行有效性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严格执行管理制度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严格执行管理制度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 w:val="15"/>
                <w:szCs w:val="15"/>
                <w:lang w:val="en-US" w:eastAsia="zh-CN" w:bidi="ar-SA"/>
              </w:rPr>
              <w:t>刊发文学作品质量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优良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优良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整体支出资金完成率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90%以上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default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95.43%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项目支出资金完成率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90%以上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default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91.9%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448" w:lineRule="auto"/>
              <w:ind w:left="229" w:right="130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效益指标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(30分)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6" w:line="246" w:lineRule="auto"/>
              <w:ind w:left="162" w:righ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经济效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益指标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文学作品的阅读量或者是网络点击量、话题讨论量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影响大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发表的文学作品有一定的阅读量和网络点击量、针对作品有一系列的换题讨论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进一步提高文学作品的阅读量、网络点击率和话题讨论度，使得经济效益提高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65" w:line="230" w:lineRule="auto"/>
              <w:ind w:left="162" w:righ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社会效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益指标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公众知晓度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知晓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每一个内容的实施将通过向基层发布通知、在公共媒体扩大宣传、广而告之等方式提高公众知晓度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default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5" w:lineRule="exact"/>
              <w:jc w:val="center"/>
              <w:rPr>
                <w:rFonts w:hint="eastAsia" w:ascii="Arial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利用新媒体的力量，进一步加大媒体宣传力度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6" w:line="219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</w:t>
            </w:r>
          </w:p>
          <w:p>
            <w:pPr>
              <w:spacing w:before="3" w:line="221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影响指</w:t>
            </w:r>
          </w:p>
          <w:p>
            <w:pPr>
              <w:spacing w:before="10" w:line="220" w:lineRule="auto"/>
              <w:ind w:firstLine="3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项目实施对弘扬湖湘文化、促进湖南文</w:t>
            </w: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学</w:t>
            </w: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事业发展的推动作用。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推动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进一步加强了文学人才队伍建设、推出一批讴歌英雄、讴歌人民、讴歌时代的精品力作，</w:t>
            </w: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对弘扬湖湘文化、促进湖南文</w:t>
            </w: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学</w:t>
            </w:r>
            <w:r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事业发展的推动作用。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17" w:line="222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满意度</w:t>
            </w:r>
          </w:p>
          <w:p>
            <w:pPr>
              <w:spacing w:line="220" w:lineRule="auto"/>
              <w:ind w:firstLine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</w:t>
            </w:r>
          </w:p>
          <w:p>
            <w:pPr>
              <w:spacing w:before="11" w:line="220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(10分)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17" w:line="237" w:lineRule="auto"/>
              <w:ind w:left="162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象满意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度指标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  <w:t>人民群众对湖湘文学作品、重大文学活动的满意度。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/>
                <w:kern w:val="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满意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满意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85" w:type="dxa"/>
            <w:gridSpan w:val="6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9" w:line="213" w:lineRule="auto"/>
              <w:ind w:firstLine="3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9" w:line="167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68" w:lineRule="exact"/>
      </w:pPr>
    </w:p>
    <w:p>
      <w:pPr>
        <w:spacing w:line="259" w:lineRule="auto"/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</w:pPr>
    </w:p>
    <w:p>
      <w:pPr>
        <w:spacing w:line="259" w:lineRule="auto"/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t>填表人：龙倩                  联系电话：15173750260</w:t>
      </w:r>
    </w:p>
    <w:p>
      <w:pPr>
        <w:spacing w:line="259" w:lineRule="auto"/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</w:pPr>
    </w:p>
    <w:p>
      <w:pPr>
        <w:spacing w:line="259" w:lineRule="auto"/>
        <w:rPr>
          <w:rFonts w:hint="default" w:ascii="仿宋" w:hAnsi="仿宋" w:eastAsia="仿宋" w:cs="仿宋"/>
          <w:spacing w:val="-4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t xml:space="preserve">填表日期：2022年5月23日      </w:t>
      </w:r>
      <w:r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  <w:t>单位负责人：胡革平</w:t>
      </w:r>
    </w:p>
    <w:p>
      <w:pPr>
        <w:spacing w:line="259" w:lineRule="auto"/>
        <w:rPr>
          <w:rFonts w:hint="eastAsia" w:ascii="仿宋" w:hAnsi="仿宋" w:eastAsia="仿宋" w:cs="仿宋"/>
          <w:spacing w:val="-4"/>
          <w:sz w:val="22"/>
          <w:szCs w:val="2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7615"/>
      <w:rPr>
        <w:rFonts w:ascii="黑体" w:hAnsi="黑体" w:eastAsia="黑体" w:cs="黑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M2Y2YWUyODdlM2Y3MzMxMTEyNzE2MmYwZDE4MTcifQ=="/>
  </w:docVars>
  <w:rsids>
    <w:rsidRoot w:val="419F62D7"/>
    <w:rsid w:val="419F62D7"/>
    <w:rsid w:val="654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1148</Characters>
  <Lines>0</Lines>
  <Paragraphs>0</Paragraphs>
  <TotalTime>0</TotalTime>
  <ScaleCrop>false</ScaleCrop>
  <LinksUpToDate>false</LinksUpToDate>
  <CharactersWithSpaces>1191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2022-06-07T02:34:00Z</dcterms:created>
  <dc:creator>随忆</dc:creator>
  <cp:lastModifiedBy>随忆</cp:lastModifiedBy>
  <dcterms:modified xsi:type="dcterms:W3CDTF">2022-06-07T02:54:16Z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FACCAB1BC114443D8A5B6DFCC65BB091</vt:lpwstr>
  </property>
</Properties>
</file>