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sz w:val="84"/>
          <w:szCs w:val="84"/>
        </w:rPr>
        <w:t>2020</w:t>
      </w:r>
      <w:r>
        <w:rPr>
          <w:rFonts w:hint="eastAsia"/>
          <w:sz w:val="84"/>
          <w:szCs w:val="84"/>
        </w:rPr>
        <w:t>年度</w:t>
      </w:r>
    </w:p>
    <w:p>
      <w:pPr>
        <w:pStyle w:val="11"/>
        <w:jc w:val="center"/>
        <w:rPr>
          <w:sz w:val="84"/>
          <w:szCs w:val="84"/>
        </w:rPr>
      </w:pPr>
      <w:r>
        <w:rPr>
          <w:rFonts w:hint="eastAsia"/>
          <w:sz w:val="84"/>
          <w:szCs w:val="84"/>
        </w:rPr>
        <w:t>武陵源区纪委监委部门决算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eastAsia="仿宋_GB2312" w:cs="仿宋_GB2312"/>
          <w:b/>
          <w:sz w:val="28"/>
          <w:szCs w:val="28"/>
        </w:rPr>
      </w:pPr>
      <w:r>
        <w:rPr>
          <w:rFonts w:hint="eastAsia"/>
          <w:b/>
          <w:sz w:val="28"/>
          <w:szCs w:val="28"/>
        </w:rPr>
        <w:t>第一部分</w:t>
      </w:r>
      <w:r>
        <w:rPr>
          <w:b/>
          <w:sz w:val="28"/>
          <w:szCs w:val="28"/>
        </w:rPr>
        <w:t xml:space="preserve">  </w:t>
      </w:r>
      <w:r>
        <w:rPr>
          <w:rFonts w:hint="eastAsia"/>
          <w:b/>
          <w:sz w:val="28"/>
          <w:szCs w:val="28"/>
        </w:rPr>
        <w:t>武陵源区纪委监委单位概况</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p>
    <w:p>
      <w:pPr>
        <w:pStyle w:val="11"/>
        <w:spacing w:line="50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 xml:space="preserve">  2020</w:t>
      </w:r>
      <w:r>
        <w:rPr>
          <w:rFonts w:hint="eastAsia" w:hAnsi="仿宋_GB2312"/>
          <w:b/>
          <w:sz w:val="28"/>
          <w:szCs w:val="28"/>
        </w:rPr>
        <w:t>年度部门决算表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1"/>
        <w:spacing w:line="50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 xml:space="preserve">  2020</w:t>
      </w:r>
      <w:r>
        <w:rPr>
          <w:rFonts w:hint="eastAsia" w:hAnsi="仿宋_GB2312"/>
          <w:b/>
          <w:sz w:val="28"/>
          <w:szCs w:val="28"/>
        </w:rPr>
        <w:t>年度部门决算情况说明</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0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w:t>
      </w:r>
      <w:r>
        <w:rPr>
          <w:rFonts w:hint="eastAsia" w:ascii="宋体" w:hAnsi="宋体" w:cs="仿宋_GB2312"/>
          <w:sz w:val="28"/>
          <w:szCs w:val="28"/>
        </w:rPr>
        <w:t>国有资本经营预算财政拨款支出决算情况</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十、关于机关运行经费支出说明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十一、一般性支出情况</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sz w:val="28"/>
          <w:szCs w:val="28"/>
        </w:rPr>
        <w:t>十二、</w:t>
      </w:r>
      <w:r>
        <w:rPr>
          <w:rFonts w:hint="eastAsia" w:ascii="仿宋_GB2312" w:hAnsi="仿宋_GB2312" w:cs="仿宋_GB2312"/>
          <w:color w:val="000000"/>
          <w:kern w:val="0"/>
          <w:sz w:val="28"/>
          <w:szCs w:val="28"/>
        </w:rPr>
        <w:t>关于政府采购支出说明</w:t>
      </w:r>
    </w:p>
    <w:p>
      <w:pPr>
        <w:pStyle w:val="11"/>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十三、关于国有资产占用情况说明</w:t>
      </w:r>
    </w:p>
    <w:p>
      <w:pPr>
        <w:pStyle w:val="11"/>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十四、关</w:t>
      </w:r>
      <w:r>
        <w:rPr>
          <w:rFonts w:hint="eastAsia" w:ascii="宋体" w:hAnsi="宋体" w:eastAsia="宋体" w:cs="仿宋_GB2312"/>
          <w:sz w:val="28"/>
          <w:szCs w:val="28"/>
        </w:rPr>
        <w:t>于</w:t>
      </w:r>
      <w:r>
        <w:rPr>
          <w:rFonts w:ascii="宋体" w:hAnsi="宋体" w:eastAsia="宋体" w:cs="仿宋_GB2312"/>
          <w:sz w:val="28"/>
          <w:szCs w:val="28"/>
        </w:rPr>
        <w:t>2020</w:t>
      </w:r>
      <w:r>
        <w:rPr>
          <w:rFonts w:hint="eastAsia" w:ascii="宋体" w:hAnsi="宋体" w:eastAsia="宋体" w:cs="仿宋_GB2312"/>
          <w:sz w:val="28"/>
          <w:szCs w:val="28"/>
        </w:rPr>
        <w:t>年</w:t>
      </w:r>
      <w:r>
        <w:rPr>
          <w:rFonts w:hint="eastAsia" w:ascii="仿宋_GB2312" w:hAnsi="仿宋_GB2312" w:eastAsia="宋体" w:cs="仿宋_GB2312"/>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w:t>
      </w:r>
      <w:r>
        <w:rPr>
          <w:rFonts w:ascii="黑体" w:hAnsi="黑体" w:eastAsia="黑体" w:cs="黑体"/>
          <w:b/>
          <w:color w:val="000000"/>
          <w:kern w:val="0"/>
          <w:sz w:val="28"/>
          <w:szCs w:val="28"/>
        </w:rPr>
        <w:t xml:space="preserve">  </w:t>
      </w:r>
      <w:r>
        <w:rPr>
          <w:rFonts w:hint="eastAsia"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ascii="黑体" w:hAnsi="黑体" w:eastAsia="黑体" w:cs="黑体"/>
          <w:b/>
          <w:color w:val="000000"/>
          <w:kern w:val="0"/>
          <w:sz w:val="28"/>
          <w:szCs w:val="28"/>
        </w:rPr>
        <w:t xml:space="preserve">  </w:t>
      </w:r>
      <w:r>
        <w:rPr>
          <w:rFonts w:hint="eastAsia" w:ascii="黑体" w:hAnsi="黑体" w:eastAsia="黑体" w:cs="黑体"/>
          <w:b/>
          <w:color w:val="000000"/>
          <w:kern w:val="0"/>
          <w:sz w:val="28"/>
          <w:szCs w:val="28"/>
        </w:rPr>
        <w:t>附件</w:t>
      </w: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jc w:val="center"/>
        <w:rPr>
          <w:rFonts w:ascii="宋体" w:cs="宋体"/>
          <w:sz w:val="72"/>
          <w:szCs w:val="72"/>
        </w:rPr>
      </w:pPr>
      <w:r>
        <w:rPr>
          <w:rFonts w:hint="eastAsia" w:ascii="宋体" w:hAnsi="宋体" w:cs="宋体"/>
          <w:sz w:val="72"/>
          <w:szCs w:val="72"/>
        </w:rPr>
        <w:t>第一部分</w:t>
      </w:r>
      <w:r>
        <w:rPr>
          <w:rFonts w:ascii="宋体" w:hAnsi="宋体" w:cs="宋体"/>
          <w:sz w:val="72"/>
          <w:szCs w:val="72"/>
        </w:rPr>
        <w:t xml:space="preserve"> </w:t>
      </w:r>
    </w:p>
    <w:p>
      <w:pPr>
        <w:jc w:val="center"/>
        <w:rPr>
          <w:rFonts w:ascii="宋体" w:cs="宋体"/>
          <w:sz w:val="72"/>
          <w:szCs w:val="72"/>
        </w:rPr>
      </w:pPr>
    </w:p>
    <w:p>
      <w:pPr>
        <w:jc w:val="center"/>
        <w:rPr>
          <w:rFonts w:ascii="宋体" w:cs="宋体"/>
          <w:sz w:val="72"/>
          <w:szCs w:val="72"/>
        </w:rPr>
      </w:pPr>
      <w:r>
        <w:rPr>
          <w:rFonts w:hint="eastAsia" w:ascii="宋体" w:hAnsi="宋体" w:cs="宋体"/>
          <w:sz w:val="72"/>
          <w:szCs w:val="72"/>
        </w:rPr>
        <w:t>武陵源区纪委监委单位概况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firstLine="0" w:firstLineChars="0"/>
        <w:jc w:val="left"/>
        <w:rPr>
          <w:rFonts w:ascii="黑体" w:hAnsi="黑体" w:eastAsia="黑体"/>
          <w:sz w:val="32"/>
          <w:szCs w:val="32"/>
        </w:rPr>
      </w:pPr>
    </w:p>
    <w:p>
      <w:pPr>
        <w:pStyle w:val="12"/>
        <w:ind w:firstLine="31680"/>
        <w:jc w:val="left"/>
        <w:rPr>
          <w:rFonts w:ascii="黑体" w:hAnsi="黑体" w:eastAsia="黑体"/>
          <w:sz w:val="32"/>
          <w:szCs w:val="32"/>
        </w:rPr>
      </w:pPr>
      <w:r>
        <w:rPr>
          <w:rFonts w:hint="eastAsia" w:ascii="黑体" w:hAnsi="黑体" w:eastAsia="黑体"/>
          <w:sz w:val="32"/>
          <w:szCs w:val="32"/>
        </w:rPr>
        <w:t>一、部门职责</w:t>
      </w:r>
    </w:p>
    <w:p>
      <w:pPr>
        <w:ind w:firstLine="480" w:firstLineChars="150"/>
        <w:jc w:val="left"/>
        <w:rPr>
          <w:rFonts w:ascii="宋体"/>
          <w:sz w:val="32"/>
          <w:szCs w:val="32"/>
        </w:rPr>
      </w:pPr>
      <w:r>
        <w:rPr>
          <w:rFonts w:hint="eastAsia" w:ascii="宋体" w:hAnsi="宋体"/>
          <w:sz w:val="32"/>
          <w:szCs w:val="32"/>
        </w:rPr>
        <w:t>（一）</w:t>
      </w:r>
      <w:r>
        <w:rPr>
          <w:rFonts w:hint="eastAsia" w:ascii="宋体" w:hAnsi="宋体"/>
          <w:bCs/>
          <w:sz w:val="32"/>
          <w:szCs w:val="32"/>
        </w:rPr>
        <w:t>负责全区党的纪律检查工作。贯彻落实党中央、中央纪委、省委、省纪委和市委、市纪委及区委关于纪律检查工作的决定，维护党的章程和其他党内法规，检查党的路线方针政策和决议的执行情况，协助区委推进全面从严治党、加强党风建设和组织协调反腐败工作。</w:t>
      </w:r>
    </w:p>
    <w:p>
      <w:pPr>
        <w:ind w:firstLine="480" w:firstLineChars="150"/>
        <w:jc w:val="left"/>
        <w:rPr>
          <w:rFonts w:ascii="宋体"/>
          <w:sz w:val="32"/>
          <w:szCs w:val="32"/>
        </w:rPr>
      </w:pPr>
      <w:r>
        <w:rPr>
          <w:rFonts w:hint="eastAsia" w:ascii="宋体" w:hAnsi="宋体"/>
          <w:sz w:val="32"/>
          <w:szCs w:val="32"/>
        </w:rPr>
        <w:t>（二）</w:t>
      </w:r>
      <w:r>
        <w:rPr>
          <w:rFonts w:hint="eastAsia" w:ascii="宋体" w:hAnsi="宋体"/>
          <w:bCs/>
          <w:sz w:val="32"/>
          <w:szCs w:val="32"/>
        </w:rPr>
        <w:t>依照党的章程和其他党内法规履行监督、执纪、问责职责。负责经常对党员进行遵守纪律的教育，作出关于维护党纪的决定；对区委工作部门、区委批准设立的党组（党委、党工委），各乡（街道）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取消对这些案件中的党员的处分；进行问责或者提出责任追究的建议；受理党员的控告和申诉；保障党员的权利。</w:t>
      </w:r>
    </w:p>
    <w:p>
      <w:pPr>
        <w:ind w:firstLine="640" w:firstLineChars="200"/>
        <w:jc w:val="left"/>
        <w:rPr>
          <w:rFonts w:ascii="宋体"/>
          <w:bCs/>
          <w:sz w:val="32"/>
          <w:szCs w:val="32"/>
        </w:rPr>
      </w:pPr>
      <w:r>
        <w:rPr>
          <w:rFonts w:hint="eastAsia" w:ascii="宋体"/>
          <w:sz w:val="32"/>
          <w:szCs w:val="32"/>
        </w:rPr>
        <w:t>（三）</w:t>
      </w:r>
      <w:r>
        <w:rPr>
          <w:rFonts w:hint="eastAsia" w:ascii="宋体"/>
          <w:bCs/>
          <w:sz w:val="32"/>
          <w:szCs w:val="32"/>
        </w:rPr>
        <w:t>负责全区监察工作。贯彻落实党中央、中央纪委国家监委、省纪委省监委、市纪委市监委和区委关于监察工作的决定，维护宪法法律，依法对区委管理的行使公权力的公职人员进行监督，调查职务违法和职务犯罪，开展廉政建设和反腐败工作。</w:t>
      </w:r>
      <w:r>
        <w:rPr>
          <w:rFonts w:ascii="宋体"/>
          <w:bCs/>
          <w:sz w:val="32"/>
          <w:szCs w:val="32"/>
        </w:rPr>
        <w:br w:type="textWrapping"/>
      </w:r>
      <w:r>
        <w:rPr>
          <w:rFonts w:ascii="宋体"/>
          <w:bCs/>
          <w:sz w:val="32"/>
          <w:szCs w:val="32"/>
        </w:rPr>
        <w:t xml:space="preserve">    </w:t>
      </w:r>
      <w:r>
        <w:rPr>
          <w:rFonts w:hint="eastAsia" w:ascii="宋体"/>
          <w:bCs/>
          <w:sz w:val="32"/>
          <w:szCs w:val="32"/>
        </w:rPr>
        <w:t>（四）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ind w:firstLine="640" w:firstLineChars="200"/>
        <w:jc w:val="left"/>
        <w:rPr>
          <w:rFonts w:ascii="宋体"/>
          <w:bCs/>
          <w:sz w:val="32"/>
          <w:szCs w:val="32"/>
        </w:rPr>
      </w:pPr>
      <w:r>
        <w:rPr>
          <w:rFonts w:hint="eastAsia" w:ascii="宋体"/>
          <w:bCs/>
          <w:sz w:val="32"/>
          <w:szCs w:val="32"/>
        </w:rPr>
        <w:t>（五）负责组织协调全区全面从严治党、党风廉政建设和反腐败宣传教育工作。</w:t>
      </w:r>
      <w:r>
        <w:rPr>
          <w:rFonts w:ascii="宋体"/>
          <w:bCs/>
          <w:sz w:val="32"/>
          <w:szCs w:val="32"/>
        </w:rPr>
        <w:br w:type="textWrapping"/>
      </w:r>
      <w:r>
        <w:rPr>
          <w:rFonts w:ascii="宋体"/>
          <w:bCs/>
          <w:sz w:val="32"/>
          <w:szCs w:val="32"/>
        </w:rPr>
        <w:t xml:space="preserve">    </w:t>
      </w:r>
      <w:r>
        <w:rPr>
          <w:rFonts w:hint="eastAsia" w:ascii="宋体"/>
          <w:bCs/>
          <w:sz w:val="32"/>
          <w:szCs w:val="32"/>
        </w:rPr>
        <w:t>（六）负责综合分析全区全面从严治党、党风廉政建设和反腐败工作情况，对纪检监察工作理论及实践问题进行调查研究；起草制定或者修改本区纪检监察制度规定，参与起草制定本区相关规范性文件。</w:t>
      </w:r>
    </w:p>
    <w:p>
      <w:pPr>
        <w:ind w:firstLine="640" w:firstLineChars="200"/>
        <w:jc w:val="left"/>
        <w:rPr>
          <w:rFonts w:ascii="宋体"/>
          <w:bCs/>
          <w:sz w:val="32"/>
          <w:szCs w:val="32"/>
        </w:rPr>
      </w:pPr>
      <w:r>
        <w:rPr>
          <w:rFonts w:hint="eastAsia" w:ascii="宋体"/>
          <w:bCs/>
          <w:sz w:val="32"/>
          <w:szCs w:val="32"/>
        </w:rPr>
        <w:t>（七）负责协调落实市纪委市监委交办的反腐败国际交流、合作等方面事宜；加强对全区反腐败国际追逃追脏和防逃工作的组织协调，督促有关单位做好相关工作。</w:t>
      </w:r>
      <w:r>
        <w:rPr>
          <w:rFonts w:ascii="宋体"/>
          <w:bCs/>
          <w:sz w:val="32"/>
          <w:szCs w:val="32"/>
        </w:rPr>
        <w:br w:type="textWrapping"/>
      </w:r>
      <w:r>
        <w:rPr>
          <w:rFonts w:ascii="宋体"/>
          <w:bCs/>
          <w:sz w:val="32"/>
          <w:szCs w:val="32"/>
        </w:rPr>
        <w:t xml:space="preserve">    </w:t>
      </w:r>
      <w:r>
        <w:rPr>
          <w:rFonts w:hint="eastAsia" w:ascii="宋体"/>
          <w:bCs/>
          <w:sz w:val="32"/>
          <w:szCs w:val="32"/>
        </w:rPr>
        <w:t>（八）根据干部管理权限，负责全区纪检监察系统领导班子建设、干部队伍建设和组织建设的综合规划、政策研究、制度建设和业务指导；会同有关方面做好区纪委区监委派驻机构、乡（街道）纪检监察机构、区管企业和学校纪检监察机构领导班子建设有关工作；组织和指导全区纪检监察系统干部教育培训工作。</w:t>
      </w:r>
    </w:p>
    <w:p>
      <w:pPr>
        <w:ind w:firstLine="640" w:firstLineChars="200"/>
        <w:jc w:val="left"/>
        <w:rPr>
          <w:rFonts w:ascii="仿宋_GB2312" w:hAnsi="宋体" w:eastAsia="仿宋_GB2312"/>
          <w:sz w:val="28"/>
          <w:szCs w:val="32"/>
        </w:rPr>
      </w:pPr>
      <w:r>
        <w:rPr>
          <w:rFonts w:hint="eastAsia" w:ascii="宋体"/>
          <w:bCs/>
          <w:sz w:val="32"/>
          <w:szCs w:val="32"/>
        </w:rPr>
        <w:t>（九）完成市纪委监委和区委交办的其他任务。</w:t>
      </w:r>
    </w:p>
    <w:p>
      <w:pPr>
        <w:widowControl/>
        <w:spacing w:beforeLines="50"/>
        <w:ind w:firstLine="640" w:firstLineChars="200"/>
        <w:rPr>
          <w:rFonts w:ascii="黑体" w:hAnsi="黑体" w:eastAsia="黑体"/>
          <w:b/>
          <w:kern w:val="0"/>
          <w:sz w:val="28"/>
          <w:szCs w:val="28"/>
        </w:rPr>
      </w:pPr>
      <w:r>
        <w:rPr>
          <w:rFonts w:hint="eastAsia" w:ascii="黑体" w:hAnsi="黑体" w:eastAsia="黑体"/>
          <w:sz w:val="32"/>
          <w:szCs w:val="32"/>
        </w:rPr>
        <w:t>二、机构设置及决算单位构成</w:t>
      </w:r>
    </w:p>
    <w:p>
      <w:pPr>
        <w:widowControl/>
        <w:spacing w:line="600" w:lineRule="exact"/>
        <w:ind w:firstLine="480" w:firstLineChars="150"/>
        <w:rPr>
          <w:rFonts w:ascii="宋体"/>
          <w:bCs/>
          <w:kern w:val="0"/>
          <w:sz w:val="32"/>
          <w:szCs w:val="32"/>
        </w:rPr>
      </w:pPr>
      <w:r>
        <w:rPr>
          <w:rFonts w:hint="eastAsia" w:ascii="宋体" w:hAnsi="宋体"/>
          <w:bCs/>
          <w:kern w:val="0"/>
          <w:sz w:val="32"/>
          <w:szCs w:val="32"/>
        </w:rPr>
        <w:t>（一）内设机构设置。</w:t>
      </w:r>
      <w:r>
        <w:rPr>
          <w:rFonts w:hint="eastAsia" w:ascii="宋体"/>
          <w:bCs/>
          <w:kern w:val="0"/>
          <w:sz w:val="32"/>
          <w:szCs w:val="32"/>
        </w:rPr>
        <w:t>武陵源区区纪委监委内设机构包括：办公室、党风政风监督室、信访室、第一纪检监察室、第二纪检监察室、第三纪检监察室、案件审理室、纪检监察干部监督室、技术保障室；所属事业单位</w:t>
      </w:r>
      <w:r>
        <w:rPr>
          <w:rFonts w:ascii="宋体"/>
          <w:bCs/>
          <w:kern w:val="0"/>
          <w:sz w:val="32"/>
          <w:szCs w:val="32"/>
        </w:rPr>
        <w:t>1</w:t>
      </w:r>
      <w:r>
        <w:rPr>
          <w:rFonts w:hint="eastAsia" w:ascii="宋体"/>
          <w:bCs/>
          <w:kern w:val="0"/>
          <w:sz w:val="32"/>
          <w:szCs w:val="32"/>
        </w:rPr>
        <w:t>个，为谈话点管理服务中心；派驻机构</w:t>
      </w:r>
      <w:r>
        <w:rPr>
          <w:rFonts w:ascii="宋体"/>
          <w:bCs/>
          <w:kern w:val="0"/>
          <w:sz w:val="32"/>
          <w:szCs w:val="32"/>
        </w:rPr>
        <w:t>6</w:t>
      </w:r>
      <w:r>
        <w:rPr>
          <w:rFonts w:hint="eastAsia" w:ascii="宋体"/>
          <w:bCs/>
          <w:kern w:val="0"/>
          <w:sz w:val="32"/>
          <w:szCs w:val="32"/>
        </w:rPr>
        <w:t>个，分别为驻区委办纪检监察组、驻区政府办纪检监察组、驻区委政法委纪检监察组、驻区财政局纪检监察组、驻区住房和城乡建设局纪检监察组、驻区农业农村局纪检监察组；区委巡察机构</w:t>
      </w:r>
      <w:r>
        <w:rPr>
          <w:rFonts w:ascii="宋体"/>
          <w:bCs/>
          <w:kern w:val="0"/>
          <w:sz w:val="32"/>
          <w:szCs w:val="32"/>
        </w:rPr>
        <w:t>3</w:t>
      </w:r>
      <w:r>
        <w:rPr>
          <w:rFonts w:hint="eastAsia" w:ascii="宋体"/>
          <w:bCs/>
          <w:kern w:val="0"/>
          <w:sz w:val="32"/>
          <w:szCs w:val="32"/>
        </w:rPr>
        <w:t>个（巡察办，</w:t>
      </w:r>
      <w:r>
        <w:rPr>
          <w:rFonts w:ascii="宋体"/>
          <w:bCs/>
          <w:kern w:val="0"/>
          <w:sz w:val="32"/>
          <w:szCs w:val="32"/>
        </w:rPr>
        <w:t>2</w:t>
      </w:r>
      <w:r>
        <w:rPr>
          <w:rFonts w:hint="eastAsia" w:ascii="宋体"/>
          <w:bCs/>
          <w:kern w:val="0"/>
          <w:sz w:val="32"/>
          <w:szCs w:val="32"/>
        </w:rPr>
        <w:t>个巡查组）。</w:t>
      </w:r>
    </w:p>
    <w:p>
      <w:pPr>
        <w:widowControl/>
        <w:spacing w:line="600" w:lineRule="exact"/>
        <w:ind w:firstLine="480" w:firstLineChars="150"/>
        <w:rPr>
          <w:rFonts w:ascii="宋体"/>
          <w:bCs/>
          <w:kern w:val="0"/>
          <w:sz w:val="32"/>
          <w:szCs w:val="32"/>
        </w:rPr>
      </w:pPr>
      <w:r>
        <w:rPr>
          <w:rFonts w:hint="eastAsia" w:ascii="宋体" w:hAnsi="宋体"/>
          <w:bCs/>
          <w:kern w:val="0"/>
          <w:sz w:val="32"/>
          <w:szCs w:val="32"/>
        </w:rPr>
        <w:t>（二）决算单位构成。</w:t>
      </w:r>
      <w:r>
        <w:rPr>
          <w:rFonts w:hint="eastAsia" w:ascii="宋体"/>
          <w:bCs/>
          <w:kern w:val="0"/>
          <w:sz w:val="32"/>
          <w:szCs w:val="32"/>
        </w:rPr>
        <w:t>武陵源区纪委监委</w:t>
      </w:r>
      <w:r>
        <w:rPr>
          <w:rFonts w:ascii="宋体"/>
          <w:bCs/>
          <w:kern w:val="0"/>
          <w:sz w:val="32"/>
          <w:szCs w:val="32"/>
        </w:rPr>
        <w:t>2019</w:t>
      </w:r>
      <w:r>
        <w:rPr>
          <w:rFonts w:hint="eastAsia" w:ascii="宋体"/>
          <w:bCs/>
          <w:kern w:val="0"/>
          <w:sz w:val="32"/>
          <w:szCs w:val="32"/>
        </w:rPr>
        <w:t>年部门决算汇总公开单位构成包括：武陵源区纪委监委单位本级。</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ascii="宋体" w:hAnsi="宋体" w:cs="宋体"/>
          <w:sz w:val="72"/>
          <w:szCs w:val="72"/>
        </w:rPr>
        <w:t>2020</w:t>
      </w:r>
      <w:r>
        <w:rPr>
          <w:rFonts w:hint="eastAsia"/>
          <w:sz w:val="72"/>
          <w:szCs w:val="72"/>
        </w:rPr>
        <w:t>年度部门决算表</w:t>
      </w:r>
    </w:p>
    <w:p>
      <w:pPr>
        <w:jc w:val="center"/>
        <w:rPr>
          <w:sz w:val="72"/>
          <w:szCs w:val="72"/>
        </w:rPr>
      </w:pPr>
    </w:p>
    <w:p>
      <w:pPr>
        <w:jc w:val="center"/>
        <w:rPr>
          <w:rFonts w:ascii="黑体" w:hAnsi="黑体" w:eastAsia="黑体"/>
          <w:sz w:val="28"/>
          <w:szCs w:val="28"/>
        </w:rPr>
        <w:sectPr>
          <w:pgSz w:w="11906" w:h="16838"/>
          <w:pgMar w:top="1440" w:right="1797" w:bottom="1440" w:left="1797" w:header="851" w:footer="992" w:gutter="0"/>
          <w:cols w:space="425" w:num="1"/>
          <w:docGrid w:type="linesAndChars" w:linePitch="312" w:charSpace="0"/>
        </w:sectPr>
      </w:pPr>
      <w:r>
        <w:rPr>
          <w:rFonts w:hint="eastAsia"/>
          <w:sz w:val="72"/>
          <w:szCs w:val="72"/>
        </w:rPr>
        <w:t>（公开表格附后）</w:t>
      </w:r>
    </w:p>
    <w:p>
      <w:pPr>
        <w:pStyle w:val="11"/>
        <w:jc w:val="both"/>
        <w:rPr>
          <w:sz w:val="72"/>
          <w:szCs w:val="72"/>
        </w:rPr>
      </w:pPr>
    </w:p>
    <w:p>
      <w:pPr>
        <w:jc w:val="center"/>
        <w:rPr>
          <w:sz w:val="72"/>
          <w:szCs w:val="72"/>
        </w:rPr>
      </w:pPr>
      <w:r>
        <w:rPr>
          <w:rFonts w:hint="eastAsia"/>
          <w:sz w:val="72"/>
          <w:szCs w:val="72"/>
        </w:rPr>
        <w:t>第三部分</w:t>
      </w:r>
    </w:p>
    <w:p>
      <w:pPr>
        <w:jc w:val="center"/>
        <w:rPr>
          <w:sz w:val="72"/>
          <w:szCs w:val="72"/>
        </w:rPr>
      </w:pPr>
    </w:p>
    <w:p>
      <w:pPr>
        <w:jc w:val="center"/>
        <w:rPr>
          <w:sz w:val="72"/>
          <w:szCs w:val="72"/>
        </w:rPr>
      </w:pPr>
      <w:r>
        <w:rPr>
          <w:rFonts w:ascii="宋体" w:hAnsi="宋体" w:cs="宋体"/>
          <w:sz w:val="72"/>
          <w:szCs w:val="72"/>
        </w:rPr>
        <w:t>2020</w:t>
      </w:r>
      <w:r>
        <w:rPr>
          <w:rFonts w:hint="eastAsia"/>
          <w:sz w:val="72"/>
          <w:szCs w:val="72"/>
        </w:rPr>
        <w:t>年度部门决算情况说明</w:t>
      </w:r>
    </w:p>
    <w:p>
      <w:pPr>
        <w:widowControl/>
        <w:jc w:val="left"/>
        <w:rPr>
          <w:sz w:val="70"/>
          <w:szCs w:val="70"/>
        </w:rPr>
      </w:pPr>
    </w:p>
    <w:p>
      <w:pPr>
        <w:widowControl/>
        <w:jc w:val="left"/>
        <w:rPr>
          <w:rFonts w:ascii="宋体"/>
          <w:sz w:val="32"/>
          <w:szCs w:val="32"/>
        </w:rPr>
      </w:pPr>
    </w:p>
    <w:p>
      <w:pPr>
        <w:pStyle w:val="11"/>
        <w:ind w:firstLine="640" w:firstLineChars="200"/>
        <w:rPr>
          <w:rFonts w:ascii="宋体" w:hAnsi="宋体" w:eastAsia="宋体"/>
          <w:b/>
          <w:bCs/>
          <w:color w:val="FF0000"/>
          <w:sz w:val="32"/>
          <w:szCs w:val="32"/>
        </w:rPr>
      </w:pPr>
      <w:r>
        <w:rPr>
          <w:rFonts w:hint="eastAsia" w:hAnsi="黑体"/>
          <w:b/>
          <w:sz w:val="32"/>
          <w:szCs w:val="32"/>
        </w:rPr>
        <w:t>一、收入支出决算总体情况说明</w:t>
      </w:r>
    </w:p>
    <w:p>
      <w:pPr>
        <w:pStyle w:val="11"/>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年度收、支总计</w:t>
      </w:r>
      <w:r>
        <w:rPr>
          <w:rFonts w:ascii="宋体" w:hAnsi="宋体" w:eastAsia="宋体"/>
          <w:sz w:val="32"/>
          <w:szCs w:val="32"/>
        </w:rPr>
        <w:t>1275.78</w:t>
      </w:r>
      <w:r>
        <w:rPr>
          <w:rFonts w:hint="eastAsia" w:ascii="宋体" w:hAnsi="宋体" w:eastAsia="宋体"/>
          <w:sz w:val="32"/>
          <w:szCs w:val="32"/>
        </w:rPr>
        <w:t>万元。与上年相比，减少</w:t>
      </w:r>
      <w:r>
        <w:rPr>
          <w:rFonts w:ascii="宋体" w:hAnsi="宋体" w:eastAsia="宋体"/>
          <w:sz w:val="32"/>
          <w:szCs w:val="32"/>
        </w:rPr>
        <w:t>425.05</w:t>
      </w:r>
      <w:r>
        <w:rPr>
          <w:rFonts w:hint="eastAsia" w:ascii="宋体" w:hAnsi="宋体" w:eastAsia="宋体"/>
          <w:sz w:val="32"/>
          <w:szCs w:val="32"/>
        </w:rPr>
        <w:t>万元，减少</w:t>
      </w:r>
      <w:r>
        <w:rPr>
          <w:rFonts w:ascii="宋体" w:hAnsi="宋体" w:eastAsia="宋体"/>
          <w:sz w:val="32"/>
          <w:szCs w:val="32"/>
        </w:rPr>
        <w:t>24.99%</w:t>
      </w:r>
      <w:r>
        <w:rPr>
          <w:rFonts w:hint="eastAsia" w:ascii="宋体" w:hAnsi="宋体" w:eastAsia="宋体"/>
          <w:sz w:val="32"/>
          <w:szCs w:val="32"/>
        </w:rPr>
        <w:t>，主要是因为</w:t>
      </w:r>
      <w:r>
        <w:rPr>
          <w:rFonts w:ascii="宋体" w:hAnsi="宋体" w:eastAsia="宋体"/>
          <w:sz w:val="32"/>
          <w:szCs w:val="32"/>
        </w:rPr>
        <w:t>2020</w:t>
      </w:r>
      <w:r>
        <w:rPr>
          <w:rFonts w:hint="eastAsia" w:ascii="宋体" w:hAnsi="宋体" w:eastAsia="宋体"/>
          <w:sz w:val="32"/>
          <w:szCs w:val="32"/>
        </w:rPr>
        <w:t>年度年初及年末结转结余金额大幅减少，商品与服务支出中培训费、差旅费等有所减少，资本性支出中固定资产购置费等大幅减少。</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640" w:firstLineChars="200"/>
        <w:rPr>
          <w:rFonts w:ascii="宋体" w:hAnsi="宋体" w:eastAsia="宋体"/>
          <w:sz w:val="32"/>
          <w:szCs w:val="32"/>
        </w:rPr>
      </w:pPr>
      <w:r>
        <w:rPr>
          <w:rFonts w:hint="eastAsia" w:ascii="宋体" w:hAnsi="宋体" w:eastAsia="宋体"/>
          <w:sz w:val="32"/>
          <w:szCs w:val="32"/>
        </w:rPr>
        <w:t>本年收入合计</w:t>
      </w:r>
      <w:r>
        <w:rPr>
          <w:rFonts w:ascii="宋体" w:hAnsi="宋体" w:eastAsia="宋体"/>
          <w:sz w:val="32"/>
          <w:szCs w:val="32"/>
        </w:rPr>
        <w:t>1141.25</w:t>
      </w:r>
      <w:r>
        <w:rPr>
          <w:rFonts w:hint="eastAsia" w:ascii="宋体" w:hAnsi="宋体" w:eastAsia="宋体"/>
          <w:sz w:val="32"/>
          <w:szCs w:val="32"/>
        </w:rPr>
        <w:t>万元，其中：财政拨款收入</w:t>
      </w:r>
      <w:r>
        <w:rPr>
          <w:rFonts w:ascii="宋体" w:hAnsi="宋体" w:eastAsia="宋体"/>
          <w:sz w:val="32"/>
          <w:szCs w:val="32"/>
        </w:rPr>
        <w:t>1128.12</w:t>
      </w:r>
      <w:r>
        <w:rPr>
          <w:rFonts w:hint="eastAsia" w:ascii="宋体" w:hAnsi="宋体" w:eastAsia="宋体"/>
          <w:sz w:val="32"/>
          <w:szCs w:val="32"/>
        </w:rPr>
        <w:t>万元，占</w:t>
      </w:r>
      <w:r>
        <w:rPr>
          <w:rFonts w:ascii="宋体" w:hAnsi="宋体" w:eastAsia="宋体"/>
          <w:sz w:val="32"/>
          <w:szCs w:val="32"/>
        </w:rPr>
        <w:t>98.85%</w:t>
      </w:r>
      <w:r>
        <w:rPr>
          <w:rFonts w:hint="eastAsia" w:ascii="宋体" w:hAnsi="宋体" w:eastAsia="宋体"/>
          <w:sz w:val="32"/>
          <w:szCs w:val="32"/>
        </w:rPr>
        <w:t>；上级补助收入</w:t>
      </w:r>
      <w:r>
        <w:rPr>
          <w:rFonts w:ascii="宋体" w:hAnsi="宋体" w:eastAsia="宋体"/>
          <w:sz w:val="32"/>
          <w:szCs w:val="32"/>
        </w:rPr>
        <w:t>0.00</w:t>
      </w:r>
      <w:r>
        <w:rPr>
          <w:rFonts w:hint="eastAsia" w:ascii="宋体" w:hAnsi="宋体" w:eastAsia="宋体"/>
          <w:sz w:val="32"/>
          <w:szCs w:val="32"/>
        </w:rPr>
        <w:t>万元，占</w:t>
      </w:r>
      <w:r>
        <w:rPr>
          <w:rFonts w:ascii="宋体" w:hAnsi="宋体" w:eastAsia="宋体"/>
          <w:sz w:val="32"/>
          <w:szCs w:val="32"/>
        </w:rPr>
        <w:t>0.00%</w:t>
      </w:r>
      <w:r>
        <w:rPr>
          <w:rFonts w:hint="eastAsia" w:ascii="宋体" w:hAnsi="宋体" w:eastAsia="宋体"/>
          <w:sz w:val="32"/>
          <w:szCs w:val="32"/>
        </w:rPr>
        <w:t>；事业收入</w:t>
      </w:r>
      <w:r>
        <w:rPr>
          <w:rFonts w:ascii="宋体" w:hAnsi="宋体" w:eastAsia="宋体"/>
          <w:sz w:val="32"/>
          <w:szCs w:val="32"/>
        </w:rPr>
        <w:t>0.00</w:t>
      </w:r>
      <w:r>
        <w:rPr>
          <w:rFonts w:hint="eastAsia" w:ascii="宋体" w:hAnsi="宋体" w:eastAsia="宋体"/>
          <w:sz w:val="32"/>
          <w:szCs w:val="32"/>
        </w:rPr>
        <w:t>万元，占</w:t>
      </w:r>
      <w:r>
        <w:rPr>
          <w:rFonts w:ascii="宋体" w:hAnsi="宋体" w:eastAsia="宋体"/>
          <w:sz w:val="32"/>
          <w:szCs w:val="32"/>
        </w:rPr>
        <w:t>0.00%</w:t>
      </w:r>
      <w:r>
        <w:rPr>
          <w:rFonts w:hint="eastAsia" w:ascii="宋体" w:hAnsi="宋体" w:eastAsia="宋体"/>
          <w:sz w:val="32"/>
          <w:szCs w:val="32"/>
        </w:rPr>
        <w:t>；经营收入</w:t>
      </w:r>
      <w:r>
        <w:rPr>
          <w:rFonts w:ascii="宋体" w:hAnsi="宋体" w:eastAsia="宋体"/>
          <w:sz w:val="32"/>
          <w:szCs w:val="32"/>
        </w:rPr>
        <w:t>0.00</w:t>
      </w:r>
      <w:r>
        <w:rPr>
          <w:rFonts w:hint="eastAsia" w:ascii="宋体" w:hAnsi="宋体" w:eastAsia="宋体"/>
          <w:sz w:val="32"/>
          <w:szCs w:val="32"/>
        </w:rPr>
        <w:t>万元，占</w:t>
      </w:r>
      <w:r>
        <w:rPr>
          <w:rFonts w:ascii="宋体" w:hAnsi="宋体" w:eastAsia="宋体"/>
          <w:sz w:val="32"/>
          <w:szCs w:val="32"/>
        </w:rPr>
        <w:t>0.00%</w:t>
      </w:r>
      <w:r>
        <w:rPr>
          <w:rFonts w:hint="eastAsia" w:ascii="宋体" w:hAnsi="宋体" w:eastAsia="宋体"/>
          <w:sz w:val="32"/>
          <w:szCs w:val="32"/>
        </w:rPr>
        <w:t>；附属单位上缴收入</w:t>
      </w:r>
      <w:r>
        <w:rPr>
          <w:rFonts w:ascii="宋体" w:hAnsi="宋体" w:eastAsia="宋体"/>
          <w:sz w:val="32"/>
          <w:szCs w:val="32"/>
        </w:rPr>
        <w:t>0.00</w:t>
      </w:r>
      <w:r>
        <w:rPr>
          <w:rFonts w:hint="eastAsia" w:ascii="宋体" w:hAnsi="宋体" w:eastAsia="宋体"/>
          <w:sz w:val="32"/>
          <w:szCs w:val="32"/>
        </w:rPr>
        <w:t>万元，占</w:t>
      </w:r>
      <w:r>
        <w:rPr>
          <w:rFonts w:ascii="宋体" w:hAnsi="宋体" w:eastAsia="宋体"/>
          <w:sz w:val="32"/>
          <w:szCs w:val="32"/>
        </w:rPr>
        <w:t>0.00%</w:t>
      </w:r>
      <w:r>
        <w:rPr>
          <w:rFonts w:hint="eastAsia" w:ascii="宋体" w:hAnsi="宋体" w:eastAsia="宋体"/>
          <w:sz w:val="32"/>
          <w:szCs w:val="32"/>
        </w:rPr>
        <w:t>；其他收入</w:t>
      </w:r>
      <w:r>
        <w:rPr>
          <w:rFonts w:ascii="宋体" w:hAnsi="宋体" w:eastAsia="宋体"/>
          <w:sz w:val="32"/>
          <w:szCs w:val="32"/>
        </w:rPr>
        <w:t>13.13</w:t>
      </w:r>
      <w:r>
        <w:rPr>
          <w:rFonts w:hint="eastAsia" w:ascii="宋体" w:hAnsi="宋体" w:eastAsia="宋体"/>
          <w:sz w:val="32"/>
          <w:szCs w:val="32"/>
        </w:rPr>
        <w:t>万元，占</w:t>
      </w:r>
      <w:r>
        <w:rPr>
          <w:rFonts w:ascii="宋体" w:hAnsi="宋体" w:eastAsia="宋体"/>
          <w:sz w:val="32"/>
          <w:szCs w:val="32"/>
        </w:rPr>
        <w:t>1.15%</w:t>
      </w:r>
      <w:r>
        <w:rPr>
          <w:rFonts w:hint="eastAsia" w:ascii="宋体" w:hAnsi="宋体" w:eastAsia="宋体"/>
          <w:sz w:val="32"/>
          <w:szCs w:val="32"/>
        </w:rPr>
        <w:t>。</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640" w:firstLineChars="200"/>
        <w:rPr>
          <w:rFonts w:ascii="宋体" w:hAnsi="宋体" w:eastAsia="宋体"/>
          <w:sz w:val="32"/>
          <w:szCs w:val="32"/>
        </w:rPr>
      </w:pPr>
      <w:r>
        <w:rPr>
          <w:rFonts w:hint="eastAsia" w:ascii="宋体" w:hAnsi="宋体" w:eastAsia="宋体"/>
          <w:sz w:val="32"/>
          <w:szCs w:val="32"/>
        </w:rPr>
        <w:t>本年支出合计</w:t>
      </w:r>
      <w:r>
        <w:rPr>
          <w:rFonts w:ascii="宋体" w:hAnsi="宋体" w:eastAsia="宋体"/>
          <w:sz w:val="32"/>
          <w:szCs w:val="32"/>
        </w:rPr>
        <w:t>1246.24</w:t>
      </w:r>
      <w:r>
        <w:rPr>
          <w:rFonts w:hint="eastAsia" w:ascii="宋体" w:hAnsi="宋体" w:eastAsia="宋体"/>
          <w:sz w:val="32"/>
          <w:szCs w:val="32"/>
        </w:rPr>
        <w:t>万元，其中：基本支出</w:t>
      </w:r>
      <w:r>
        <w:rPr>
          <w:rFonts w:ascii="宋体" w:hAnsi="宋体" w:eastAsia="宋体"/>
          <w:sz w:val="32"/>
          <w:szCs w:val="32"/>
        </w:rPr>
        <w:t>932.01</w:t>
      </w:r>
      <w:r>
        <w:rPr>
          <w:rFonts w:hint="eastAsia" w:ascii="宋体" w:hAnsi="宋体" w:eastAsia="宋体"/>
          <w:sz w:val="32"/>
          <w:szCs w:val="32"/>
        </w:rPr>
        <w:t>万元，占</w:t>
      </w:r>
      <w:r>
        <w:rPr>
          <w:rFonts w:ascii="宋体" w:hAnsi="宋体" w:eastAsia="宋体"/>
          <w:sz w:val="32"/>
          <w:szCs w:val="32"/>
        </w:rPr>
        <w:t>74.79%</w:t>
      </w:r>
      <w:r>
        <w:rPr>
          <w:rFonts w:hint="eastAsia" w:ascii="宋体" w:hAnsi="宋体" w:eastAsia="宋体"/>
          <w:sz w:val="32"/>
          <w:szCs w:val="32"/>
        </w:rPr>
        <w:t>；项目支出</w:t>
      </w:r>
      <w:r>
        <w:rPr>
          <w:rFonts w:ascii="宋体" w:hAnsi="宋体" w:eastAsia="宋体"/>
          <w:sz w:val="32"/>
          <w:szCs w:val="32"/>
        </w:rPr>
        <w:t>314.23</w:t>
      </w:r>
      <w:r>
        <w:rPr>
          <w:rFonts w:hint="eastAsia" w:ascii="宋体" w:hAnsi="宋体" w:eastAsia="宋体"/>
          <w:sz w:val="32"/>
          <w:szCs w:val="32"/>
        </w:rPr>
        <w:t>万元，占</w:t>
      </w:r>
      <w:r>
        <w:rPr>
          <w:rFonts w:ascii="宋体" w:hAnsi="宋体" w:eastAsia="宋体"/>
          <w:sz w:val="32"/>
          <w:szCs w:val="32"/>
        </w:rPr>
        <w:t>25.21%</w:t>
      </w:r>
      <w:r>
        <w:rPr>
          <w:rFonts w:hint="eastAsia" w:ascii="宋体" w:hAnsi="宋体" w:eastAsia="宋体"/>
          <w:sz w:val="32"/>
          <w:szCs w:val="32"/>
        </w:rPr>
        <w:t>；上缴上级支出</w:t>
      </w:r>
      <w:r>
        <w:rPr>
          <w:rFonts w:ascii="宋体" w:hAnsi="宋体" w:eastAsia="宋体"/>
          <w:sz w:val="32"/>
          <w:szCs w:val="32"/>
        </w:rPr>
        <w:t>0.00</w:t>
      </w:r>
      <w:r>
        <w:rPr>
          <w:rFonts w:hint="eastAsia" w:ascii="宋体" w:hAnsi="宋体" w:eastAsia="宋体"/>
          <w:sz w:val="32"/>
          <w:szCs w:val="32"/>
        </w:rPr>
        <w:t>万元，占</w:t>
      </w:r>
      <w:r>
        <w:rPr>
          <w:rFonts w:ascii="宋体" w:hAnsi="宋体" w:eastAsia="宋体"/>
          <w:sz w:val="32"/>
          <w:szCs w:val="32"/>
        </w:rPr>
        <w:t>0.00%</w:t>
      </w:r>
      <w:r>
        <w:rPr>
          <w:rFonts w:hint="eastAsia" w:ascii="宋体" w:hAnsi="宋体" w:eastAsia="宋体"/>
          <w:sz w:val="32"/>
          <w:szCs w:val="32"/>
        </w:rPr>
        <w:t>；经营支出</w:t>
      </w:r>
      <w:r>
        <w:rPr>
          <w:rFonts w:ascii="宋体" w:hAnsi="宋体" w:eastAsia="宋体"/>
          <w:sz w:val="32"/>
          <w:szCs w:val="32"/>
        </w:rPr>
        <w:t>0.00</w:t>
      </w:r>
      <w:r>
        <w:rPr>
          <w:rFonts w:hint="eastAsia" w:ascii="宋体" w:hAnsi="宋体" w:eastAsia="宋体"/>
          <w:sz w:val="32"/>
          <w:szCs w:val="32"/>
        </w:rPr>
        <w:t>万元，占</w:t>
      </w:r>
      <w:r>
        <w:rPr>
          <w:rFonts w:ascii="宋体" w:hAnsi="宋体" w:eastAsia="宋体"/>
          <w:sz w:val="32"/>
          <w:szCs w:val="32"/>
        </w:rPr>
        <w:t>0.00%</w:t>
      </w:r>
      <w:r>
        <w:rPr>
          <w:rFonts w:hint="eastAsia" w:ascii="宋体" w:hAnsi="宋体" w:eastAsia="宋体"/>
          <w:sz w:val="32"/>
          <w:szCs w:val="32"/>
        </w:rPr>
        <w:t>；对附属单位补助支出</w:t>
      </w:r>
      <w:r>
        <w:rPr>
          <w:rFonts w:ascii="宋体" w:hAnsi="宋体" w:eastAsia="宋体"/>
          <w:sz w:val="32"/>
          <w:szCs w:val="32"/>
        </w:rPr>
        <w:t>0.00</w:t>
      </w:r>
      <w:r>
        <w:rPr>
          <w:rFonts w:hint="eastAsia" w:ascii="宋体" w:hAnsi="宋体" w:eastAsia="宋体"/>
          <w:sz w:val="32"/>
          <w:szCs w:val="32"/>
        </w:rPr>
        <w:t>万元，占</w:t>
      </w:r>
      <w:r>
        <w:rPr>
          <w:rFonts w:ascii="宋体" w:hAnsi="宋体" w:eastAsia="宋体"/>
          <w:sz w:val="32"/>
          <w:szCs w:val="32"/>
        </w:rPr>
        <w:t>0.00%</w:t>
      </w:r>
      <w:r>
        <w:rPr>
          <w:rFonts w:hint="eastAsia" w:ascii="宋体" w:hAnsi="宋体" w:eastAsia="宋体"/>
          <w:sz w:val="32"/>
          <w:szCs w:val="32"/>
        </w:rPr>
        <w:t>。</w:t>
      </w:r>
    </w:p>
    <w:p>
      <w:pPr>
        <w:pStyle w:val="11"/>
        <w:ind w:firstLine="640" w:firstLineChars="200"/>
        <w:rPr>
          <w:rFonts w:hAnsi="黑体"/>
          <w:b/>
          <w:sz w:val="32"/>
          <w:szCs w:val="32"/>
        </w:rPr>
      </w:pPr>
      <w:r>
        <w:rPr>
          <w:rFonts w:hint="eastAsia" w:hAnsi="黑体"/>
          <w:b/>
          <w:sz w:val="32"/>
          <w:szCs w:val="32"/>
        </w:rPr>
        <w:t>四、财政拨款收入支出决算总体情况说明</w:t>
      </w:r>
    </w:p>
    <w:p>
      <w:pPr>
        <w:pStyle w:val="11"/>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年度财政拨款收、支总计</w:t>
      </w:r>
      <w:r>
        <w:rPr>
          <w:rFonts w:ascii="宋体" w:hAnsi="宋体" w:eastAsia="宋体"/>
          <w:sz w:val="32"/>
          <w:szCs w:val="32"/>
        </w:rPr>
        <w:t>1262.25</w:t>
      </w:r>
      <w:r>
        <w:rPr>
          <w:rFonts w:hint="eastAsia" w:ascii="宋体" w:hAnsi="宋体" w:eastAsia="宋体"/>
          <w:sz w:val="32"/>
          <w:szCs w:val="32"/>
        </w:rPr>
        <w:t>万元，与上年相比，减少</w:t>
      </w:r>
      <w:r>
        <w:rPr>
          <w:rFonts w:ascii="宋体" w:hAnsi="宋体" w:eastAsia="宋体"/>
          <w:sz w:val="32"/>
          <w:szCs w:val="32"/>
        </w:rPr>
        <w:t>428.09</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减少</w:t>
      </w:r>
      <w:r>
        <w:rPr>
          <w:rFonts w:ascii="宋体" w:hAnsi="宋体" w:eastAsia="宋体"/>
          <w:sz w:val="32"/>
          <w:szCs w:val="32"/>
        </w:rPr>
        <w:t>25.33%</w:t>
      </w:r>
      <w:r>
        <w:rPr>
          <w:rFonts w:hint="eastAsia" w:ascii="宋体" w:hAnsi="宋体" w:eastAsia="宋体"/>
          <w:sz w:val="32"/>
          <w:szCs w:val="32"/>
        </w:rPr>
        <w:t>，主要是因为</w:t>
      </w:r>
      <w:r>
        <w:rPr>
          <w:rFonts w:ascii="宋体" w:hAnsi="宋体" w:eastAsia="宋体"/>
          <w:sz w:val="32"/>
          <w:szCs w:val="32"/>
        </w:rPr>
        <w:t>2020</w:t>
      </w:r>
      <w:r>
        <w:rPr>
          <w:rFonts w:hint="eastAsia" w:ascii="宋体" w:hAnsi="宋体" w:eastAsia="宋体"/>
          <w:sz w:val="32"/>
          <w:szCs w:val="32"/>
        </w:rPr>
        <w:t>年度年初及年末结转结余金额大幅减少，商品与服务支出中培训费、差旅费等有所减少，资本性支出中固定资产购置费等大幅减少。</w:t>
      </w:r>
    </w:p>
    <w:p>
      <w:pPr>
        <w:pStyle w:val="11"/>
        <w:ind w:firstLine="640" w:firstLineChars="200"/>
        <w:rPr>
          <w:rFonts w:ascii="宋体" w:hAnsi="宋体" w:eastAsia="宋体"/>
          <w:b/>
          <w:bCs/>
          <w:color w:val="FF0000"/>
          <w:sz w:val="32"/>
          <w:szCs w:val="32"/>
        </w:rPr>
      </w:pPr>
      <w:r>
        <w:rPr>
          <w:rFonts w:hint="eastAsia" w:hAnsi="黑体"/>
          <w:b/>
          <w:sz w:val="32"/>
          <w:szCs w:val="32"/>
        </w:rPr>
        <w:t>五、一般公共预算财政拨款支出决算情况说明</w:t>
      </w:r>
    </w:p>
    <w:p>
      <w:pPr>
        <w:pStyle w:val="11"/>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1"/>
        <w:ind w:firstLine="800" w:firstLineChars="25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w:t>
      </w:r>
      <w:r>
        <w:rPr>
          <w:rFonts w:ascii="宋体" w:hAnsi="宋体" w:eastAsia="宋体"/>
          <w:sz w:val="32"/>
          <w:szCs w:val="32"/>
        </w:rPr>
        <w:t>1232.40</w:t>
      </w:r>
      <w:r>
        <w:rPr>
          <w:rFonts w:hint="eastAsia" w:ascii="宋体" w:hAnsi="宋体" w:eastAsia="宋体"/>
          <w:sz w:val="32"/>
          <w:szCs w:val="32"/>
        </w:rPr>
        <w:t>万元，占本年支出合计的</w:t>
      </w:r>
      <w:r>
        <w:rPr>
          <w:rFonts w:hint="eastAsia" w:ascii="宋体" w:hAnsi="宋体" w:eastAsia="宋体"/>
          <w:sz w:val="32"/>
          <w:szCs w:val="32"/>
          <w:lang w:val="en-US" w:eastAsia="zh-CN"/>
        </w:rPr>
        <w:t>98.89</w:t>
      </w:r>
      <w:r>
        <w:rPr>
          <w:rFonts w:ascii="宋体" w:hAnsi="宋体" w:eastAsia="宋体"/>
          <w:sz w:val="32"/>
          <w:szCs w:val="32"/>
        </w:rPr>
        <w:t>%</w:t>
      </w:r>
      <w:r>
        <w:rPr>
          <w:rFonts w:hint="eastAsia" w:ascii="宋体" w:hAnsi="宋体" w:eastAsia="宋体"/>
          <w:sz w:val="32"/>
          <w:szCs w:val="32"/>
        </w:rPr>
        <w:t>，与上年相比，财政拨款支出减少</w:t>
      </w:r>
      <w:r>
        <w:rPr>
          <w:rFonts w:ascii="宋体" w:hAnsi="宋体" w:eastAsia="宋体"/>
          <w:sz w:val="32"/>
          <w:szCs w:val="32"/>
        </w:rPr>
        <w:t>223.48</w:t>
      </w:r>
      <w:r>
        <w:rPr>
          <w:rFonts w:hint="eastAsia" w:ascii="宋体" w:hAnsi="宋体" w:eastAsia="宋体"/>
          <w:sz w:val="32"/>
          <w:szCs w:val="32"/>
        </w:rPr>
        <w:t>万元，减少</w:t>
      </w:r>
      <w:r>
        <w:rPr>
          <w:rFonts w:ascii="宋体" w:hAnsi="宋体" w:eastAsia="宋体"/>
          <w:sz w:val="32"/>
          <w:szCs w:val="32"/>
        </w:rPr>
        <w:t>15.35%</w:t>
      </w:r>
      <w:r>
        <w:rPr>
          <w:rFonts w:hint="eastAsia" w:ascii="宋体" w:hAnsi="宋体" w:eastAsia="宋体"/>
          <w:sz w:val="32"/>
          <w:szCs w:val="32"/>
        </w:rPr>
        <w:t>，主要是因为</w:t>
      </w:r>
      <w:r>
        <w:rPr>
          <w:rFonts w:ascii="宋体" w:hAnsi="宋体" w:eastAsia="宋体"/>
          <w:sz w:val="32"/>
          <w:szCs w:val="32"/>
        </w:rPr>
        <w:t>2020</w:t>
      </w:r>
      <w:r>
        <w:rPr>
          <w:rFonts w:hint="eastAsia" w:ascii="宋体" w:hAnsi="宋体" w:eastAsia="宋体"/>
          <w:sz w:val="32"/>
          <w:szCs w:val="32"/>
        </w:rPr>
        <w:t>年度年初及年末结转结余金额大幅减少，商品与服务支出中培训费、差旅费等有所减少，资本性支出中固定资产购置费等大幅减少。</w:t>
      </w:r>
    </w:p>
    <w:p>
      <w:pPr>
        <w:pStyle w:val="11"/>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11"/>
        <w:ind w:firstLine="640" w:firstLineChars="200"/>
        <w:rPr>
          <w:rFonts w:ascii="宋体" w:hAnsi="宋体" w:eastAsia="宋体"/>
          <w:i/>
          <w:color w:val="FF0000"/>
          <w:sz w:val="32"/>
          <w:szCs w:val="32"/>
        </w:rPr>
      </w:pPr>
      <w:r>
        <w:rPr>
          <w:rFonts w:ascii="宋体" w:hAnsi="宋体" w:eastAsia="宋体"/>
          <w:sz w:val="32"/>
          <w:szCs w:val="32"/>
        </w:rPr>
        <w:t>2020</w:t>
      </w:r>
      <w:r>
        <w:rPr>
          <w:rFonts w:hint="eastAsia" w:ascii="宋体" w:hAnsi="宋体" w:eastAsia="宋体"/>
          <w:sz w:val="32"/>
          <w:szCs w:val="32"/>
        </w:rPr>
        <w:t>年度财政拨款支出</w:t>
      </w:r>
      <w:r>
        <w:rPr>
          <w:rFonts w:ascii="宋体" w:hAnsi="宋体" w:eastAsia="宋体"/>
          <w:sz w:val="32"/>
          <w:szCs w:val="32"/>
        </w:rPr>
        <w:t>1232.40</w:t>
      </w:r>
      <w:r>
        <w:rPr>
          <w:rFonts w:hint="eastAsia" w:ascii="宋体" w:hAnsi="宋体" w:eastAsia="宋体"/>
          <w:sz w:val="32"/>
          <w:szCs w:val="32"/>
        </w:rPr>
        <w:t>万元，主要用于以下方面：一般公共服务（类）支出</w:t>
      </w:r>
      <w:r>
        <w:rPr>
          <w:rFonts w:ascii="宋体" w:hAnsi="宋体" w:eastAsia="宋体"/>
          <w:sz w:val="32"/>
          <w:szCs w:val="32"/>
        </w:rPr>
        <w:t>1092.21</w:t>
      </w:r>
      <w:r>
        <w:rPr>
          <w:rFonts w:hint="eastAsia" w:ascii="宋体" w:hAnsi="宋体" w:eastAsia="宋体"/>
          <w:sz w:val="32"/>
          <w:szCs w:val="32"/>
        </w:rPr>
        <w:t>万元，占</w:t>
      </w:r>
      <w:r>
        <w:rPr>
          <w:rFonts w:ascii="宋体" w:hAnsi="宋体" w:eastAsia="宋体"/>
          <w:sz w:val="32"/>
          <w:szCs w:val="32"/>
        </w:rPr>
        <w:t>88.62%</w:t>
      </w:r>
      <w:r>
        <w:rPr>
          <w:rFonts w:hint="eastAsia" w:ascii="宋体" w:hAnsi="宋体" w:eastAsia="宋体"/>
          <w:sz w:val="32"/>
          <w:szCs w:val="32"/>
        </w:rPr>
        <w:t>；社会保障和就业（类）支出</w:t>
      </w:r>
      <w:r>
        <w:rPr>
          <w:rFonts w:ascii="宋体" w:hAnsi="宋体" w:eastAsia="宋体"/>
          <w:sz w:val="32"/>
          <w:szCs w:val="32"/>
        </w:rPr>
        <w:t>67.47</w:t>
      </w:r>
      <w:r>
        <w:rPr>
          <w:rFonts w:hint="eastAsia" w:ascii="宋体" w:hAnsi="宋体" w:eastAsia="宋体"/>
          <w:sz w:val="32"/>
          <w:szCs w:val="32"/>
        </w:rPr>
        <w:t>万元，占</w:t>
      </w:r>
      <w:r>
        <w:rPr>
          <w:rFonts w:ascii="宋体" w:hAnsi="宋体" w:eastAsia="宋体"/>
          <w:sz w:val="32"/>
          <w:szCs w:val="32"/>
        </w:rPr>
        <w:t>5.48%;</w:t>
      </w:r>
      <w:r>
        <w:rPr>
          <w:rFonts w:hint="eastAsia" w:ascii="宋体" w:hAnsi="宋体" w:eastAsia="宋体"/>
          <w:sz w:val="32"/>
          <w:szCs w:val="32"/>
        </w:rPr>
        <w:t>卫生健康（类））支出</w:t>
      </w:r>
      <w:r>
        <w:rPr>
          <w:rFonts w:ascii="宋体" w:hAnsi="宋体" w:eastAsia="宋体"/>
          <w:sz w:val="32"/>
          <w:szCs w:val="32"/>
        </w:rPr>
        <w:t>30.76</w:t>
      </w:r>
      <w:r>
        <w:rPr>
          <w:rFonts w:hint="eastAsia" w:ascii="宋体" w:hAnsi="宋体" w:eastAsia="宋体"/>
          <w:sz w:val="32"/>
          <w:szCs w:val="32"/>
        </w:rPr>
        <w:t>万元，占</w:t>
      </w:r>
      <w:r>
        <w:rPr>
          <w:rFonts w:ascii="宋体" w:hAnsi="宋体" w:eastAsia="宋体"/>
          <w:sz w:val="32"/>
          <w:szCs w:val="32"/>
        </w:rPr>
        <w:t>2.50%</w:t>
      </w:r>
      <w:r>
        <w:rPr>
          <w:rFonts w:hint="eastAsia" w:ascii="宋体" w:hAnsi="宋体" w:eastAsia="宋体"/>
          <w:sz w:val="32"/>
          <w:szCs w:val="32"/>
        </w:rPr>
        <w:t>；住房保障（类）支出</w:t>
      </w:r>
      <w:r>
        <w:rPr>
          <w:rFonts w:ascii="宋体" w:hAnsi="宋体" w:eastAsia="宋体"/>
          <w:sz w:val="32"/>
          <w:szCs w:val="32"/>
        </w:rPr>
        <w:t>41.96</w:t>
      </w:r>
      <w:r>
        <w:rPr>
          <w:rFonts w:hint="eastAsia" w:ascii="宋体" w:hAnsi="宋体" w:eastAsia="宋体"/>
          <w:sz w:val="32"/>
          <w:szCs w:val="32"/>
        </w:rPr>
        <w:t>万元，占</w:t>
      </w:r>
      <w:r>
        <w:rPr>
          <w:rFonts w:ascii="宋体" w:hAnsi="宋体" w:eastAsia="宋体"/>
          <w:sz w:val="32"/>
          <w:szCs w:val="32"/>
        </w:rPr>
        <w:t>3.40%</w:t>
      </w:r>
      <w:r>
        <w:rPr>
          <w:rFonts w:hint="eastAsia" w:ascii="宋体" w:hAnsi="宋体" w:eastAsia="宋体"/>
          <w:sz w:val="32"/>
          <w:szCs w:val="32"/>
        </w:rPr>
        <w:t>。</w:t>
      </w:r>
    </w:p>
    <w:p>
      <w:pPr>
        <w:pStyle w:val="11"/>
        <w:ind w:firstLine="467" w:firstLineChars="146"/>
        <w:rPr>
          <w:rFonts w:ascii="宋体" w:hAnsi="宋体" w:eastAsia="宋体"/>
          <w:b/>
          <w:sz w:val="32"/>
          <w:szCs w:val="32"/>
        </w:rPr>
      </w:pPr>
      <w:r>
        <w:rPr>
          <w:rFonts w:hint="eastAsia" w:ascii="宋体" w:hAnsi="宋体" w:eastAsia="宋体"/>
          <w:b/>
          <w:sz w:val="32"/>
          <w:szCs w:val="32"/>
        </w:rPr>
        <w:t>（三）财政拨款支出决算具体情况</w:t>
      </w:r>
    </w:p>
    <w:p>
      <w:pPr>
        <w:widowControl/>
        <w:spacing w:line="600" w:lineRule="exact"/>
        <w:ind w:firstLine="627" w:firstLineChars="196"/>
        <w:jc w:val="left"/>
        <w:rPr>
          <w:rFonts w:ascii="宋体" w:cs="黑体"/>
          <w:b/>
          <w:bCs/>
          <w:color w:val="FF0000"/>
          <w:kern w:val="0"/>
          <w:sz w:val="32"/>
          <w:szCs w:val="32"/>
        </w:rPr>
      </w:pPr>
      <w:r>
        <w:rPr>
          <w:rFonts w:ascii="宋体" w:hAnsi="宋体"/>
          <w:sz w:val="32"/>
          <w:szCs w:val="32"/>
        </w:rPr>
        <w:t>2020</w:t>
      </w:r>
      <w:r>
        <w:rPr>
          <w:rFonts w:hint="eastAsia" w:ascii="宋体" w:hAnsi="宋体"/>
          <w:sz w:val="32"/>
          <w:szCs w:val="32"/>
        </w:rPr>
        <w:t>年度财政拨款支出年初预算数为</w:t>
      </w:r>
      <w:r>
        <w:rPr>
          <w:rFonts w:ascii="宋体" w:hAnsi="宋体"/>
          <w:sz w:val="32"/>
          <w:szCs w:val="32"/>
        </w:rPr>
        <w:t>758.57</w:t>
      </w:r>
      <w:r>
        <w:rPr>
          <w:rFonts w:hint="eastAsia" w:ascii="宋体" w:hAnsi="宋体"/>
          <w:sz w:val="32"/>
          <w:szCs w:val="32"/>
        </w:rPr>
        <w:t>万元，支出决算数为</w:t>
      </w:r>
      <w:r>
        <w:rPr>
          <w:rFonts w:ascii="宋体" w:hAnsi="宋体"/>
          <w:sz w:val="32"/>
          <w:szCs w:val="32"/>
        </w:rPr>
        <w:t>1232.40</w:t>
      </w:r>
      <w:r>
        <w:rPr>
          <w:rFonts w:hint="eastAsia" w:ascii="宋体" w:hAnsi="宋体"/>
          <w:sz w:val="32"/>
          <w:szCs w:val="32"/>
        </w:rPr>
        <w:t>万元，完成年初预算的</w:t>
      </w:r>
      <w:r>
        <w:rPr>
          <w:rFonts w:ascii="宋体" w:hAnsi="宋体"/>
          <w:sz w:val="32"/>
          <w:szCs w:val="32"/>
        </w:rPr>
        <w:t>162.46%</w:t>
      </w:r>
      <w:r>
        <w:rPr>
          <w:rFonts w:hint="eastAsia" w:ascii="宋体" w:hAnsi="宋体"/>
          <w:sz w:val="32"/>
          <w:szCs w:val="32"/>
        </w:rPr>
        <w:t>，其中：</w:t>
      </w:r>
    </w:p>
    <w:p>
      <w:pPr>
        <w:pStyle w:val="11"/>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、一般公共服务（类）纪检监察事务（款）行政运行（项）。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322.79</w:t>
      </w:r>
      <w:r>
        <w:rPr>
          <w:rFonts w:hint="eastAsia" w:ascii="宋体" w:hAnsi="宋体" w:eastAsia="宋体"/>
          <w:sz w:val="32"/>
          <w:szCs w:val="32"/>
        </w:rPr>
        <w:t>万元，支出决算为</w:t>
      </w:r>
      <w:r>
        <w:rPr>
          <w:rFonts w:ascii="宋体" w:hAnsi="宋体" w:eastAsia="宋体"/>
          <w:sz w:val="32"/>
          <w:szCs w:val="32"/>
        </w:rPr>
        <w:t>486.48</w:t>
      </w:r>
      <w:r>
        <w:rPr>
          <w:rFonts w:hint="eastAsia" w:ascii="宋体" w:hAnsi="宋体" w:eastAsia="宋体"/>
          <w:sz w:val="32"/>
          <w:szCs w:val="32"/>
        </w:rPr>
        <w:t>万元，完成年初预算的</w:t>
      </w:r>
      <w:r>
        <w:rPr>
          <w:rFonts w:ascii="宋体" w:hAnsi="宋体" w:eastAsia="宋体"/>
          <w:sz w:val="32"/>
          <w:szCs w:val="32"/>
        </w:rPr>
        <w:t>150.71%</w:t>
      </w:r>
      <w:r>
        <w:rPr>
          <w:rFonts w:hint="eastAsia" w:ascii="宋体" w:hAnsi="宋体" w:eastAsia="宋体"/>
          <w:sz w:val="32"/>
          <w:szCs w:val="32"/>
        </w:rPr>
        <w:t>，决算数大于年初预算数的主要原因是：年初预算编制不科学，人员经费及行政经费大幅增加，年初预算数严重不足。</w:t>
      </w:r>
    </w:p>
    <w:p>
      <w:pPr>
        <w:pStyle w:val="11"/>
        <w:ind w:firstLine="800" w:firstLineChars="25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、一般公共服务（类）纪检监察事务（款）一般行政管理事务（项）。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152.69</w:t>
      </w:r>
      <w:r>
        <w:rPr>
          <w:rFonts w:hint="eastAsia" w:ascii="宋体" w:hAnsi="宋体" w:eastAsia="宋体"/>
          <w:sz w:val="32"/>
          <w:szCs w:val="32"/>
        </w:rPr>
        <w:t>万元，支出决算为</w:t>
      </w:r>
      <w:r>
        <w:rPr>
          <w:rFonts w:ascii="宋体" w:hAnsi="宋体" w:eastAsia="宋体"/>
          <w:sz w:val="32"/>
          <w:szCs w:val="32"/>
        </w:rPr>
        <w:t>299.60</w:t>
      </w:r>
      <w:r>
        <w:rPr>
          <w:rFonts w:hint="eastAsia" w:ascii="宋体" w:hAnsi="宋体" w:eastAsia="宋体"/>
          <w:sz w:val="32"/>
          <w:szCs w:val="32"/>
        </w:rPr>
        <w:t>万元，完成年初预算的</w:t>
      </w:r>
      <w:r>
        <w:rPr>
          <w:rFonts w:ascii="宋体" w:hAnsi="宋体" w:eastAsia="宋体"/>
          <w:sz w:val="32"/>
          <w:szCs w:val="32"/>
        </w:rPr>
        <w:t>196.21%</w:t>
      </w:r>
      <w:r>
        <w:rPr>
          <w:rFonts w:hint="eastAsia" w:ascii="宋体" w:hAnsi="宋体" w:eastAsia="宋体"/>
          <w:sz w:val="32"/>
          <w:szCs w:val="32"/>
        </w:rPr>
        <w:t>，决算数大于年初预算数的主要原因是：年初预算编制不科学，且审查调查大要案办理、日常及专项监督检查大幅增加，年初预算数严重不足。</w:t>
      </w:r>
      <w:r>
        <w:rPr>
          <w:rFonts w:ascii="宋体" w:hAnsi="宋体" w:eastAsia="宋体"/>
          <w:sz w:val="32"/>
          <w:szCs w:val="32"/>
        </w:rPr>
        <w:t xml:space="preserve">  </w:t>
      </w:r>
    </w:p>
    <w:p>
      <w:pPr>
        <w:pStyle w:val="11"/>
        <w:ind w:firstLine="480" w:firstLineChars="150"/>
        <w:rPr>
          <w:rFonts w:ascii="宋体" w:hAnsi="宋体" w:eastAsia="宋体"/>
          <w:sz w:val="32"/>
          <w:szCs w:val="32"/>
        </w:rPr>
      </w:pPr>
      <w:r>
        <w:rPr>
          <w:rFonts w:ascii="宋体" w:hAnsi="宋体" w:eastAsia="宋体"/>
          <w:sz w:val="32"/>
          <w:szCs w:val="32"/>
        </w:rPr>
        <w:t xml:space="preserve">  3</w:t>
      </w:r>
      <w:r>
        <w:rPr>
          <w:rFonts w:hint="eastAsia" w:ascii="宋体" w:hAnsi="宋体" w:eastAsia="宋体"/>
          <w:sz w:val="32"/>
          <w:szCs w:val="32"/>
        </w:rPr>
        <w:t>、一般公共服务（类）纪检监察事务（款）大要案查处（项）。</w:t>
      </w:r>
    </w:p>
    <w:p>
      <w:pPr>
        <w:pStyle w:val="11"/>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100.00</w:t>
      </w:r>
      <w:r>
        <w:rPr>
          <w:rFonts w:hint="eastAsia" w:ascii="宋体" w:hAnsi="宋体" w:eastAsia="宋体"/>
          <w:sz w:val="32"/>
          <w:szCs w:val="32"/>
        </w:rPr>
        <w:t>万元，支出决算为</w:t>
      </w:r>
      <w:r>
        <w:rPr>
          <w:rFonts w:ascii="宋体" w:hAnsi="宋体" w:eastAsia="宋体"/>
          <w:sz w:val="32"/>
          <w:szCs w:val="32"/>
        </w:rPr>
        <w:t>201.40</w:t>
      </w:r>
      <w:r>
        <w:rPr>
          <w:rFonts w:hint="eastAsia" w:ascii="宋体" w:hAnsi="宋体" w:eastAsia="宋体"/>
          <w:sz w:val="32"/>
          <w:szCs w:val="32"/>
        </w:rPr>
        <w:t>万元，完成年初预算的</w:t>
      </w:r>
      <w:r>
        <w:rPr>
          <w:rFonts w:ascii="宋体" w:hAnsi="宋体" w:eastAsia="宋体"/>
          <w:sz w:val="32"/>
          <w:szCs w:val="32"/>
        </w:rPr>
        <w:t>201.40%</w:t>
      </w:r>
      <w:r>
        <w:rPr>
          <w:rFonts w:hint="eastAsia" w:ascii="宋体" w:hAnsi="宋体" w:eastAsia="宋体"/>
          <w:sz w:val="32"/>
          <w:szCs w:val="32"/>
        </w:rPr>
        <w:t>，决算数大于年初预算数的主要原因是：年初预算编制不科学，且审查调查大要案办理大幅增加，年初预算数严重不足。</w:t>
      </w:r>
    </w:p>
    <w:p>
      <w:pPr>
        <w:pStyle w:val="11"/>
        <w:ind w:firstLine="800" w:firstLineChars="25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rPr>
        <w:t>、一般公共服务（类）纪检监察事务（款）巡视工作（项）。</w:t>
      </w:r>
    </w:p>
    <w:p>
      <w:pPr>
        <w:pStyle w:val="11"/>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30</w:t>
      </w:r>
      <w:r>
        <w:rPr>
          <w:rFonts w:hint="eastAsia" w:ascii="宋体" w:hAnsi="宋体" w:eastAsia="宋体"/>
          <w:sz w:val="32"/>
          <w:szCs w:val="32"/>
        </w:rPr>
        <w:t>万元，决算数大于年初预算数的主要原因是：年初未预算。</w:t>
      </w:r>
    </w:p>
    <w:p>
      <w:pPr>
        <w:pStyle w:val="11"/>
        <w:ind w:firstLine="480" w:firstLineChars="150"/>
        <w:rPr>
          <w:rFonts w:ascii="宋体" w:hAnsi="宋体" w:eastAsia="宋体"/>
          <w:sz w:val="32"/>
          <w:szCs w:val="32"/>
        </w:rPr>
      </w:pPr>
      <w:r>
        <w:rPr>
          <w:rFonts w:ascii="宋体" w:hAnsi="宋体" w:eastAsia="宋体"/>
          <w:sz w:val="32"/>
          <w:szCs w:val="32"/>
        </w:rPr>
        <w:t xml:space="preserve">  5</w:t>
      </w:r>
      <w:r>
        <w:rPr>
          <w:rFonts w:hint="eastAsia" w:ascii="宋体" w:hAnsi="宋体" w:eastAsia="宋体"/>
          <w:sz w:val="32"/>
          <w:szCs w:val="32"/>
        </w:rPr>
        <w:t>、一般公共服务（类）纪检监察事务（款）事业运行（项）。</w:t>
      </w:r>
    </w:p>
    <w:p>
      <w:pPr>
        <w:pStyle w:val="11"/>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3.00</w:t>
      </w:r>
      <w:r>
        <w:rPr>
          <w:rFonts w:hint="eastAsia" w:ascii="宋体" w:hAnsi="宋体" w:eastAsia="宋体"/>
          <w:sz w:val="32"/>
          <w:szCs w:val="32"/>
        </w:rPr>
        <w:t>万元，支出决算为</w:t>
      </w:r>
      <w:r>
        <w:rPr>
          <w:rFonts w:ascii="宋体" w:hAnsi="宋体" w:eastAsia="宋体"/>
          <w:sz w:val="32"/>
          <w:szCs w:val="32"/>
        </w:rPr>
        <w:t>3.00</w:t>
      </w:r>
      <w:r>
        <w:rPr>
          <w:rFonts w:hint="eastAsia" w:ascii="宋体" w:hAnsi="宋体" w:eastAsia="宋体"/>
          <w:sz w:val="32"/>
          <w:szCs w:val="32"/>
        </w:rPr>
        <w:t>万元，完成年初预算的</w:t>
      </w:r>
      <w:r>
        <w:rPr>
          <w:rFonts w:ascii="宋体" w:hAnsi="宋体" w:eastAsia="宋体"/>
          <w:sz w:val="32"/>
          <w:szCs w:val="32"/>
        </w:rPr>
        <w:t>100.00%</w:t>
      </w:r>
      <w:r>
        <w:rPr>
          <w:rFonts w:hint="eastAsia" w:ascii="宋体" w:hAnsi="宋体" w:eastAsia="宋体"/>
          <w:sz w:val="32"/>
          <w:szCs w:val="32"/>
        </w:rPr>
        <w:t>。</w:t>
      </w:r>
    </w:p>
    <w:p>
      <w:pPr>
        <w:pStyle w:val="11"/>
        <w:ind w:firstLine="480" w:firstLineChars="150"/>
        <w:rPr>
          <w:rFonts w:ascii="宋体" w:hAnsi="宋体" w:eastAsia="宋体"/>
          <w:sz w:val="32"/>
          <w:szCs w:val="32"/>
        </w:rPr>
      </w:pPr>
      <w:r>
        <w:rPr>
          <w:rFonts w:ascii="宋体" w:hAnsi="宋体" w:eastAsia="宋体"/>
          <w:sz w:val="32"/>
          <w:szCs w:val="32"/>
        </w:rPr>
        <w:t xml:space="preserve">  6</w:t>
      </w:r>
      <w:r>
        <w:rPr>
          <w:rFonts w:hint="eastAsia" w:ascii="宋体" w:hAnsi="宋体" w:eastAsia="宋体"/>
          <w:sz w:val="32"/>
          <w:szCs w:val="32"/>
        </w:rPr>
        <w:t>、一般公共服务（类）纪检监察事务（款）其他纪检监察事务支出（项）。</w:t>
      </w:r>
    </w:p>
    <w:p>
      <w:pPr>
        <w:pStyle w:val="11"/>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40.00</w:t>
      </w:r>
      <w:r>
        <w:rPr>
          <w:rFonts w:hint="eastAsia" w:ascii="宋体" w:hAnsi="宋体" w:eastAsia="宋体"/>
          <w:sz w:val="32"/>
          <w:szCs w:val="32"/>
        </w:rPr>
        <w:t>万元，支出决算为</w:t>
      </w:r>
      <w:r>
        <w:rPr>
          <w:rFonts w:ascii="宋体" w:hAnsi="宋体" w:eastAsia="宋体"/>
          <w:sz w:val="32"/>
          <w:szCs w:val="32"/>
        </w:rPr>
        <w:t>71.73</w:t>
      </w:r>
      <w:r>
        <w:rPr>
          <w:rFonts w:hint="eastAsia" w:ascii="宋体" w:hAnsi="宋体" w:eastAsia="宋体"/>
          <w:sz w:val="32"/>
          <w:szCs w:val="32"/>
        </w:rPr>
        <w:t>万元，完成年初预算的</w:t>
      </w:r>
      <w:r>
        <w:rPr>
          <w:rFonts w:ascii="宋体" w:hAnsi="宋体" w:eastAsia="宋体"/>
          <w:sz w:val="32"/>
          <w:szCs w:val="32"/>
        </w:rPr>
        <w:t>179.33%</w:t>
      </w:r>
      <w:r>
        <w:rPr>
          <w:rFonts w:hint="eastAsia" w:ascii="宋体" w:hAnsi="宋体" w:eastAsia="宋体"/>
          <w:sz w:val="32"/>
          <w:szCs w:val="32"/>
        </w:rPr>
        <w:t>，决算数大于年初预算数的主要原因是：年初预算编制不科学，且审查调查大要案办理、日常及专项监督检查大幅增加大幅增加，年初预算数严重不足。</w:t>
      </w:r>
    </w:p>
    <w:p>
      <w:pPr>
        <w:pStyle w:val="11"/>
        <w:ind w:firstLine="800" w:firstLineChars="250"/>
        <w:rPr>
          <w:rFonts w:ascii="宋体" w:hAnsi="宋体" w:eastAsia="宋体"/>
          <w:sz w:val="32"/>
          <w:szCs w:val="32"/>
        </w:rPr>
      </w:pPr>
      <w:r>
        <w:rPr>
          <w:rFonts w:ascii="宋体" w:hAnsi="宋体" w:eastAsia="宋体"/>
          <w:sz w:val="32"/>
          <w:szCs w:val="32"/>
        </w:rPr>
        <w:t>7</w:t>
      </w:r>
      <w:r>
        <w:rPr>
          <w:rFonts w:hint="eastAsia" w:ascii="宋体" w:hAnsi="宋体" w:eastAsia="宋体"/>
          <w:sz w:val="32"/>
          <w:szCs w:val="32"/>
        </w:rPr>
        <w:t>、社会保障和就业（类）行政事业单位离退休（款）机关事业单位基本养老保险缴费支出（项）。</w:t>
      </w:r>
    </w:p>
    <w:p>
      <w:pPr>
        <w:pStyle w:val="11"/>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67.47</w:t>
      </w:r>
      <w:r>
        <w:rPr>
          <w:rFonts w:hint="eastAsia" w:ascii="宋体" w:hAnsi="宋体" w:eastAsia="宋体"/>
          <w:sz w:val="32"/>
          <w:szCs w:val="32"/>
        </w:rPr>
        <w:t>万元，支出决算为</w:t>
      </w:r>
      <w:r>
        <w:rPr>
          <w:rFonts w:ascii="宋体" w:hAnsi="宋体" w:eastAsia="宋体"/>
          <w:sz w:val="32"/>
          <w:szCs w:val="32"/>
        </w:rPr>
        <w:t>67.47</w:t>
      </w:r>
      <w:r>
        <w:rPr>
          <w:rFonts w:hint="eastAsia" w:ascii="宋体" w:hAnsi="宋体" w:eastAsia="宋体"/>
          <w:sz w:val="32"/>
          <w:szCs w:val="32"/>
        </w:rPr>
        <w:t>万元，完成年初预算的</w:t>
      </w:r>
      <w:r>
        <w:rPr>
          <w:rFonts w:ascii="宋体" w:hAnsi="宋体" w:eastAsia="宋体"/>
          <w:sz w:val="32"/>
          <w:szCs w:val="32"/>
        </w:rPr>
        <w:t>100.00%</w:t>
      </w:r>
      <w:r>
        <w:rPr>
          <w:rFonts w:hint="eastAsia" w:ascii="宋体" w:hAnsi="宋体" w:eastAsia="宋体"/>
          <w:sz w:val="32"/>
          <w:szCs w:val="32"/>
        </w:rPr>
        <w:t>。</w:t>
      </w:r>
    </w:p>
    <w:p>
      <w:pPr>
        <w:pStyle w:val="11"/>
        <w:ind w:firstLine="640" w:firstLineChars="200"/>
        <w:rPr>
          <w:rFonts w:ascii="宋体" w:hAnsi="宋体" w:eastAsia="宋体"/>
          <w:sz w:val="32"/>
          <w:szCs w:val="32"/>
        </w:rPr>
      </w:pPr>
      <w:r>
        <w:rPr>
          <w:rFonts w:ascii="宋体" w:hAnsi="宋体" w:eastAsia="宋体"/>
          <w:sz w:val="32"/>
          <w:szCs w:val="32"/>
        </w:rPr>
        <w:t xml:space="preserve"> 8</w:t>
      </w:r>
      <w:r>
        <w:rPr>
          <w:rFonts w:hint="eastAsia" w:ascii="宋体" w:hAnsi="宋体" w:eastAsia="宋体"/>
          <w:sz w:val="32"/>
          <w:szCs w:val="32"/>
        </w:rPr>
        <w:t>、卫生健康（类）行政事业单位医疗（款）行政单位医疗（项）。</w:t>
      </w:r>
    </w:p>
    <w:p>
      <w:pPr>
        <w:pStyle w:val="11"/>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30.66</w:t>
      </w:r>
      <w:r>
        <w:rPr>
          <w:rFonts w:hint="eastAsia" w:ascii="宋体" w:hAnsi="宋体" w:eastAsia="宋体"/>
          <w:sz w:val="32"/>
          <w:szCs w:val="32"/>
        </w:rPr>
        <w:t>万元，支出决算为</w:t>
      </w:r>
      <w:r>
        <w:rPr>
          <w:rFonts w:ascii="宋体" w:hAnsi="宋体" w:eastAsia="宋体"/>
          <w:sz w:val="32"/>
          <w:szCs w:val="32"/>
        </w:rPr>
        <w:t>30.66</w:t>
      </w:r>
      <w:r>
        <w:rPr>
          <w:rFonts w:hint="eastAsia" w:ascii="宋体" w:hAnsi="宋体" w:eastAsia="宋体"/>
          <w:sz w:val="32"/>
          <w:szCs w:val="32"/>
        </w:rPr>
        <w:t>万元，完成年初预算的</w:t>
      </w:r>
      <w:r>
        <w:rPr>
          <w:rFonts w:ascii="宋体" w:hAnsi="宋体" w:eastAsia="宋体"/>
          <w:sz w:val="32"/>
          <w:szCs w:val="32"/>
        </w:rPr>
        <w:t>100.00%</w:t>
      </w:r>
      <w:r>
        <w:rPr>
          <w:rFonts w:hint="eastAsia" w:ascii="宋体" w:hAnsi="宋体" w:eastAsia="宋体"/>
          <w:sz w:val="32"/>
          <w:szCs w:val="32"/>
        </w:rPr>
        <w:t>。</w:t>
      </w:r>
    </w:p>
    <w:p>
      <w:pPr>
        <w:pStyle w:val="11"/>
        <w:ind w:firstLine="800" w:firstLineChars="250"/>
        <w:rPr>
          <w:rFonts w:ascii="宋体" w:hAnsi="宋体" w:eastAsia="宋体"/>
          <w:sz w:val="32"/>
          <w:szCs w:val="32"/>
        </w:rPr>
      </w:pPr>
      <w:r>
        <w:rPr>
          <w:rFonts w:ascii="宋体" w:hAnsi="宋体" w:eastAsia="宋体"/>
          <w:sz w:val="32"/>
          <w:szCs w:val="32"/>
        </w:rPr>
        <w:t>9</w:t>
      </w:r>
      <w:r>
        <w:rPr>
          <w:rFonts w:hint="eastAsia" w:ascii="宋体" w:hAnsi="宋体" w:eastAsia="宋体"/>
          <w:sz w:val="32"/>
          <w:szCs w:val="32"/>
        </w:rPr>
        <w:t>、卫生健康（类）财政对基本医疗保险基金的补助（款）财政对其他基本医疗保险基金的补助（项）。</w:t>
      </w:r>
    </w:p>
    <w:p>
      <w:pPr>
        <w:pStyle w:val="11"/>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0.10</w:t>
      </w:r>
      <w:r>
        <w:rPr>
          <w:rFonts w:hint="eastAsia" w:ascii="宋体" w:hAnsi="宋体" w:eastAsia="宋体"/>
          <w:sz w:val="32"/>
          <w:szCs w:val="32"/>
        </w:rPr>
        <w:t>万元，决算数大于年初预算数的主要原因是：年初未预算。</w:t>
      </w:r>
    </w:p>
    <w:p>
      <w:pPr>
        <w:pStyle w:val="11"/>
        <w:ind w:firstLine="800" w:firstLineChars="250"/>
        <w:rPr>
          <w:rFonts w:ascii="宋体" w:hAnsi="宋体" w:eastAsia="宋体"/>
          <w:sz w:val="32"/>
          <w:szCs w:val="32"/>
        </w:rPr>
      </w:pPr>
      <w:r>
        <w:rPr>
          <w:rFonts w:ascii="宋体" w:hAnsi="宋体" w:eastAsia="宋体"/>
          <w:sz w:val="32"/>
          <w:szCs w:val="32"/>
        </w:rPr>
        <w:t>10</w:t>
      </w:r>
      <w:r>
        <w:rPr>
          <w:rFonts w:hint="eastAsia" w:ascii="宋体" w:hAnsi="宋体" w:eastAsia="宋体"/>
          <w:sz w:val="32"/>
          <w:szCs w:val="32"/>
        </w:rPr>
        <w:t>、住房保障（类）住房改革支出（款）住房公积金（项）。</w:t>
      </w:r>
    </w:p>
    <w:p>
      <w:pPr>
        <w:pStyle w:val="11"/>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41.96</w:t>
      </w:r>
      <w:r>
        <w:rPr>
          <w:rFonts w:hint="eastAsia" w:ascii="宋体" w:hAnsi="宋体" w:eastAsia="宋体"/>
          <w:sz w:val="32"/>
          <w:szCs w:val="32"/>
        </w:rPr>
        <w:t>万元，支出决算为</w:t>
      </w:r>
      <w:r>
        <w:rPr>
          <w:rFonts w:ascii="宋体" w:hAnsi="宋体" w:eastAsia="宋体"/>
          <w:sz w:val="32"/>
          <w:szCs w:val="32"/>
        </w:rPr>
        <w:t>41.96</w:t>
      </w:r>
      <w:r>
        <w:rPr>
          <w:rFonts w:hint="eastAsia" w:ascii="宋体" w:hAnsi="宋体" w:eastAsia="宋体"/>
          <w:sz w:val="32"/>
          <w:szCs w:val="32"/>
        </w:rPr>
        <w:t>万元，完成年初预算的</w:t>
      </w:r>
      <w:r>
        <w:rPr>
          <w:rFonts w:ascii="宋体" w:hAnsi="宋体" w:eastAsia="宋体"/>
          <w:sz w:val="32"/>
          <w:szCs w:val="32"/>
        </w:rPr>
        <w:t>100.00%</w:t>
      </w:r>
      <w:r>
        <w:rPr>
          <w:rFonts w:hint="eastAsia" w:ascii="宋体" w:hAnsi="宋体" w:eastAsia="宋体"/>
          <w:sz w:val="32"/>
          <w:szCs w:val="32"/>
        </w:rPr>
        <w:t>。</w:t>
      </w:r>
    </w:p>
    <w:p>
      <w:pPr>
        <w:pStyle w:val="11"/>
        <w:ind w:firstLine="640" w:firstLineChars="20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年度财政拨款基本支出</w:t>
      </w:r>
      <w:r>
        <w:rPr>
          <w:rFonts w:ascii="宋体" w:hAnsi="宋体" w:eastAsia="宋体"/>
          <w:sz w:val="32"/>
          <w:szCs w:val="32"/>
        </w:rPr>
        <w:t>931.30</w:t>
      </w:r>
      <w:r>
        <w:rPr>
          <w:rFonts w:hint="eastAsia" w:ascii="宋体" w:hAnsi="宋体" w:eastAsia="宋体"/>
          <w:sz w:val="32"/>
          <w:szCs w:val="32"/>
        </w:rPr>
        <w:t>万元，其中：人员经费</w:t>
      </w:r>
      <w:r>
        <w:rPr>
          <w:rFonts w:ascii="宋体" w:hAnsi="宋体" w:eastAsia="宋体"/>
          <w:sz w:val="32"/>
          <w:szCs w:val="32"/>
        </w:rPr>
        <w:t>853.84</w:t>
      </w:r>
      <w:r>
        <w:rPr>
          <w:rFonts w:hint="eastAsia" w:ascii="宋体" w:hAnsi="宋体" w:eastAsia="宋体"/>
          <w:sz w:val="32"/>
          <w:szCs w:val="32"/>
        </w:rPr>
        <w:t>万元，占基本支出的</w:t>
      </w:r>
      <w:r>
        <w:rPr>
          <w:rFonts w:ascii="宋体" w:hAnsi="宋体" w:eastAsia="宋体"/>
          <w:sz w:val="32"/>
          <w:szCs w:val="32"/>
        </w:rPr>
        <w:t>91.68%,</w:t>
      </w:r>
      <w:r>
        <w:rPr>
          <w:rFonts w:hint="eastAsia" w:ascii="宋体" w:hAnsi="宋体" w:eastAsia="宋体"/>
          <w:sz w:val="32"/>
          <w:szCs w:val="32"/>
        </w:rPr>
        <w:t>主要包括基本工资、津贴补贴、奖金、伙食补助费、绩效工资、机关事业单位基本养老保险缴费、职工基本医疗保险缴费、公务员医疗补助缴费、其他社会保障缴费、住房公积金、其他工资福利支出；公用经费</w:t>
      </w:r>
      <w:r>
        <w:rPr>
          <w:rFonts w:ascii="宋体" w:hAnsi="宋体" w:eastAsia="宋体"/>
          <w:sz w:val="32"/>
          <w:szCs w:val="32"/>
        </w:rPr>
        <w:t>77.46</w:t>
      </w:r>
      <w:r>
        <w:rPr>
          <w:rFonts w:hint="eastAsia" w:ascii="宋体" w:hAnsi="宋体" w:eastAsia="宋体"/>
          <w:sz w:val="32"/>
          <w:szCs w:val="32"/>
        </w:rPr>
        <w:t>万元，占基本支出的</w:t>
      </w:r>
      <w:r>
        <w:rPr>
          <w:rFonts w:ascii="宋体" w:hAnsi="宋体" w:eastAsia="宋体"/>
          <w:sz w:val="32"/>
          <w:szCs w:val="32"/>
        </w:rPr>
        <w:t>8.32%</w:t>
      </w:r>
      <w:r>
        <w:rPr>
          <w:rFonts w:hint="eastAsia" w:ascii="宋体" w:hAnsi="宋体" w:eastAsia="宋体"/>
          <w:sz w:val="32"/>
          <w:szCs w:val="32"/>
        </w:rPr>
        <w:t>，主要包括办公费、差旅费、工会经费。</w:t>
      </w:r>
    </w:p>
    <w:p>
      <w:pPr>
        <w:pStyle w:val="11"/>
        <w:ind w:firstLine="640" w:firstLineChars="200"/>
        <w:rPr>
          <w:rFonts w:ascii="宋体" w:hAnsi="宋体" w:eastAsia="宋体"/>
          <w:b/>
          <w:bCs/>
          <w:color w:val="FF0000"/>
          <w:sz w:val="32"/>
          <w:szCs w:val="32"/>
        </w:rPr>
      </w:pPr>
      <w:r>
        <w:rPr>
          <w:rFonts w:hint="eastAsia" w:hAnsi="黑体"/>
          <w:b/>
          <w:sz w:val="32"/>
          <w:szCs w:val="32"/>
        </w:rPr>
        <w:t>七、一般公共预算财政拨款三公经费支出决算情况说明</w:t>
      </w:r>
    </w:p>
    <w:p>
      <w:pPr>
        <w:pStyle w:val="11"/>
        <w:ind w:firstLine="640" w:firstLineChars="200"/>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1"/>
        <w:ind w:firstLine="640" w:firstLineChars="200"/>
        <w:rPr>
          <w:rFonts w:ascii="宋体" w:hAnsi="宋体" w:eastAsia="宋体"/>
          <w:sz w:val="32"/>
          <w:szCs w:val="32"/>
        </w:rPr>
      </w:pPr>
      <w:r>
        <w:rPr>
          <w:rFonts w:hint="eastAsia" w:ascii="宋体" w:hAnsi="宋体" w:eastAsia="宋体"/>
          <w:sz w:val="32"/>
          <w:szCs w:val="32"/>
        </w:rPr>
        <w:t>“三公”经费财政拨款支出预算为</w:t>
      </w:r>
      <w:r>
        <w:rPr>
          <w:rFonts w:ascii="宋体" w:hAnsi="宋体" w:eastAsia="宋体"/>
          <w:sz w:val="32"/>
          <w:szCs w:val="32"/>
        </w:rPr>
        <w:t>5.00</w:t>
      </w:r>
      <w:r>
        <w:rPr>
          <w:rFonts w:hint="eastAsia" w:ascii="宋体" w:hAnsi="宋体" w:eastAsia="宋体"/>
          <w:sz w:val="32"/>
          <w:szCs w:val="32"/>
        </w:rPr>
        <w:t>万元，支出决算为</w:t>
      </w:r>
      <w:r>
        <w:rPr>
          <w:rFonts w:ascii="宋体" w:hAnsi="宋体" w:eastAsia="宋体"/>
          <w:sz w:val="32"/>
          <w:szCs w:val="32"/>
        </w:rPr>
        <w:t>5.25</w:t>
      </w:r>
      <w:r>
        <w:rPr>
          <w:rFonts w:hint="eastAsia" w:ascii="宋体" w:hAnsi="宋体" w:eastAsia="宋体"/>
          <w:sz w:val="32"/>
          <w:szCs w:val="32"/>
        </w:rPr>
        <w:t>万元，完成预算的</w:t>
      </w:r>
      <w:r>
        <w:rPr>
          <w:rFonts w:ascii="宋体" w:hAnsi="宋体" w:eastAsia="宋体"/>
          <w:sz w:val="32"/>
          <w:szCs w:val="32"/>
        </w:rPr>
        <w:t>105%</w:t>
      </w:r>
      <w:r>
        <w:rPr>
          <w:rFonts w:hint="eastAsia" w:ascii="宋体" w:hAnsi="宋体" w:eastAsia="宋体"/>
          <w:sz w:val="32"/>
          <w:szCs w:val="32"/>
        </w:rPr>
        <w:t>，其中：</w:t>
      </w:r>
    </w:p>
    <w:p>
      <w:pPr>
        <w:pStyle w:val="11"/>
        <w:ind w:firstLine="640" w:firstLineChars="200"/>
        <w:rPr>
          <w:rFonts w:ascii="宋体" w:hAnsi="宋体" w:eastAsia="宋体"/>
          <w:sz w:val="32"/>
          <w:szCs w:val="32"/>
        </w:rPr>
      </w:pPr>
      <w:r>
        <w:rPr>
          <w:rFonts w:hint="eastAsia" w:ascii="宋体" w:hAnsi="宋体" w:eastAsia="宋体"/>
          <w:sz w:val="32"/>
          <w:szCs w:val="32"/>
        </w:rPr>
        <w:t>因公出国（境）费支出预算为</w:t>
      </w:r>
      <w:r>
        <w:rPr>
          <w:rFonts w:ascii="宋体" w:hAnsi="宋体" w:eastAsia="宋体"/>
          <w:sz w:val="32"/>
          <w:szCs w:val="32"/>
        </w:rPr>
        <w:t>0.00</w:t>
      </w:r>
      <w:r>
        <w:rPr>
          <w:rFonts w:hint="eastAsia" w:ascii="宋体" w:hAnsi="宋体" w:eastAsia="宋体"/>
          <w:sz w:val="32"/>
          <w:szCs w:val="32"/>
        </w:rPr>
        <w:t>万元，支出决算为</w:t>
      </w:r>
      <w:r>
        <w:rPr>
          <w:rFonts w:ascii="宋体" w:hAnsi="宋体" w:eastAsia="宋体"/>
          <w:sz w:val="32"/>
          <w:szCs w:val="32"/>
        </w:rPr>
        <w:t>0.00</w:t>
      </w:r>
      <w:r>
        <w:rPr>
          <w:rFonts w:hint="eastAsia" w:ascii="宋体" w:hAnsi="宋体" w:eastAsia="宋体"/>
          <w:sz w:val="32"/>
          <w:szCs w:val="32"/>
        </w:rPr>
        <w:t>万元，与上年持平。</w:t>
      </w:r>
    </w:p>
    <w:p>
      <w:pPr>
        <w:pStyle w:val="11"/>
        <w:ind w:firstLine="640" w:firstLineChars="200"/>
        <w:rPr>
          <w:rFonts w:ascii="宋体" w:hAnsi="宋体" w:eastAsia="宋体"/>
          <w:sz w:val="32"/>
          <w:szCs w:val="32"/>
        </w:rPr>
      </w:pPr>
      <w:r>
        <w:rPr>
          <w:rFonts w:hint="eastAsia" w:ascii="宋体" w:hAnsi="宋体" w:eastAsia="宋体"/>
          <w:sz w:val="32"/>
          <w:szCs w:val="32"/>
        </w:rPr>
        <w:t>公务接待费支出预算为</w:t>
      </w:r>
      <w:r>
        <w:rPr>
          <w:rFonts w:ascii="宋体" w:hAnsi="宋体" w:eastAsia="宋体"/>
          <w:sz w:val="32"/>
          <w:szCs w:val="32"/>
        </w:rPr>
        <w:t>5.00</w:t>
      </w:r>
      <w:r>
        <w:rPr>
          <w:rFonts w:hint="eastAsia" w:ascii="宋体" w:hAnsi="宋体" w:eastAsia="宋体"/>
          <w:sz w:val="32"/>
          <w:szCs w:val="32"/>
        </w:rPr>
        <w:t>万元，支出决算为</w:t>
      </w:r>
      <w:r>
        <w:rPr>
          <w:rFonts w:ascii="宋体" w:hAnsi="宋体" w:eastAsia="宋体"/>
          <w:sz w:val="32"/>
          <w:szCs w:val="32"/>
        </w:rPr>
        <w:t>2.80</w:t>
      </w:r>
      <w:r>
        <w:rPr>
          <w:rFonts w:hint="eastAsia" w:ascii="宋体" w:hAnsi="宋体" w:eastAsia="宋体"/>
          <w:sz w:val="32"/>
          <w:szCs w:val="32"/>
        </w:rPr>
        <w:t>万元，完成预算的</w:t>
      </w:r>
      <w:r>
        <w:rPr>
          <w:rFonts w:ascii="宋体" w:hAnsi="宋体" w:eastAsia="宋体"/>
          <w:sz w:val="32"/>
          <w:szCs w:val="32"/>
        </w:rPr>
        <w:t>56.00%</w:t>
      </w:r>
      <w:r>
        <w:rPr>
          <w:rFonts w:hint="eastAsia" w:ascii="宋体" w:hAnsi="宋体" w:eastAsia="宋体"/>
          <w:sz w:val="32"/>
          <w:szCs w:val="32"/>
        </w:rPr>
        <w:t>，决算数小于预算数的主要原因是年初预算的不准确以及执行过程中的调整，与上年相比减少</w:t>
      </w:r>
      <w:r>
        <w:rPr>
          <w:rFonts w:ascii="宋体" w:hAnsi="宋体" w:eastAsia="宋体"/>
          <w:sz w:val="32"/>
          <w:szCs w:val="32"/>
        </w:rPr>
        <w:t>2.12</w:t>
      </w:r>
      <w:r>
        <w:rPr>
          <w:rFonts w:hint="eastAsia" w:ascii="宋体" w:hAnsi="宋体" w:eastAsia="宋体"/>
          <w:sz w:val="32"/>
          <w:szCs w:val="32"/>
        </w:rPr>
        <w:t>万元，减少</w:t>
      </w:r>
      <w:r>
        <w:rPr>
          <w:rFonts w:ascii="宋体" w:hAnsi="宋体" w:eastAsia="宋体"/>
          <w:sz w:val="32"/>
          <w:szCs w:val="32"/>
        </w:rPr>
        <w:t>43.09%,</w:t>
      </w:r>
      <w:r>
        <w:rPr>
          <w:rFonts w:hint="eastAsia" w:ascii="宋体" w:hAnsi="宋体" w:eastAsia="宋体"/>
          <w:sz w:val="32"/>
          <w:szCs w:val="32"/>
        </w:rPr>
        <w:t>减少的主要原因是进一步加大了对“三公”经费的管控力度。</w:t>
      </w:r>
    </w:p>
    <w:p>
      <w:pPr>
        <w:pStyle w:val="11"/>
        <w:ind w:firstLine="640" w:firstLineChars="200"/>
        <w:rPr>
          <w:rFonts w:ascii="宋体" w:hAnsi="宋体" w:eastAsia="宋体"/>
          <w:sz w:val="32"/>
          <w:szCs w:val="32"/>
        </w:rPr>
      </w:pPr>
      <w:r>
        <w:rPr>
          <w:rFonts w:hint="eastAsia" w:ascii="宋体" w:hAnsi="宋体" w:eastAsia="宋体"/>
          <w:sz w:val="32"/>
          <w:szCs w:val="32"/>
        </w:rPr>
        <w:t>公务用车购置费及运行维护费支出预算为</w:t>
      </w:r>
      <w:r>
        <w:rPr>
          <w:rFonts w:ascii="宋体" w:hAnsi="宋体" w:eastAsia="宋体"/>
          <w:sz w:val="32"/>
          <w:szCs w:val="32"/>
        </w:rPr>
        <w:t>0.00</w:t>
      </w:r>
      <w:r>
        <w:rPr>
          <w:rFonts w:hint="eastAsia" w:ascii="宋体" w:hAnsi="宋体" w:eastAsia="宋体"/>
          <w:sz w:val="32"/>
          <w:szCs w:val="32"/>
        </w:rPr>
        <w:t>万元，支出决算为</w:t>
      </w:r>
      <w:r>
        <w:rPr>
          <w:rFonts w:ascii="宋体" w:hAnsi="宋体" w:eastAsia="宋体"/>
          <w:sz w:val="32"/>
          <w:szCs w:val="32"/>
        </w:rPr>
        <w:t>2.45</w:t>
      </w:r>
      <w:r>
        <w:rPr>
          <w:rFonts w:hint="eastAsia" w:ascii="宋体" w:hAnsi="宋体" w:eastAsia="宋体"/>
          <w:sz w:val="32"/>
          <w:szCs w:val="32"/>
        </w:rPr>
        <w:t>万元，决算数大于预算数的主要原因是年初预算的不准确以及执行过程中的调整，与上年相比减少</w:t>
      </w:r>
      <w:r>
        <w:rPr>
          <w:rFonts w:ascii="宋体" w:hAnsi="宋体" w:eastAsia="宋体"/>
          <w:sz w:val="32"/>
          <w:szCs w:val="32"/>
        </w:rPr>
        <w:t>0.16</w:t>
      </w:r>
      <w:r>
        <w:rPr>
          <w:rFonts w:hint="eastAsia" w:ascii="宋体" w:hAnsi="宋体" w:eastAsia="宋体"/>
          <w:sz w:val="32"/>
          <w:szCs w:val="32"/>
        </w:rPr>
        <w:t>万元，减少</w:t>
      </w:r>
      <w:r>
        <w:rPr>
          <w:rFonts w:ascii="宋体" w:hAnsi="宋体" w:eastAsia="宋体"/>
          <w:sz w:val="32"/>
          <w:szCs w:val="32"/>
        </w:rPr>
        <w:t>6.13%,</w:t>
      </w:r>
      <w:r>
        <w:rPr>
          <w:rFonts w:hint="eastAsia" w:ascii="宋体" w:hAnsi="宋体" w:eastAsia="宋体"/>
          <w:sz w:val="32"/>
          <w:szCs w:val="32"/>
        </w:rPr>
        <w:t>减少的主要原因是进一步加大了对“三公”经费的管控力度。</w:t>
      </w:r>
    </w:p>
    <w:p>
      <w:pPr>
        <w:pStyle w:val="11"/>
        <w:ind w:firstLine="640" w:firstLineChars="200"/>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5"/>
        <w:shd w:val="clear" w:color="auto" w:fill="FFFFFF"/>
        <w:spacing w:before="0" w:beforeAutospacing="0" w:after="0" w:afterAutospacing="0" w:line="525" w:lineRule="atLeast"/>
        <w:ind w:firstLine="678" w:firstLineChars="212"/>
        <w:rPr>
          <w:rFonts w:cs="黑体"/>
          <w:b/>
          <w:bCs/>
          <w:color w:val="FF0000"/>
          <w:sz w:val="32"/>
          <w:szCs w:val="32"/>
        </w:rPr>
      </w:pPr>
      <w:r>
        <w:rPr>
          <w:sz w:val="32"/>
          <w:szCs w:val="32"/>
        </w:rPr>
        <w:t>2020</w:t>
      </w:r>
      <w:r>
        <w:rPr>
          <w:rFonts w:hint="eastAsia"/>
          <w:sz w:val="32"/>
          <w:szCs w:val="32"/>
        </w:rPr>
        <w:t>年度“三公”经费财政拨款支出决算中，公务接待费支出决算</w:t>
      </w:r>
      <w:r>
        <w:rPr>
          <w:sz w:val="32"/>
          <w:szCs w:val="32"/>
        </w:rPr>
        <w:t>2.80</w:t>
      </w:r>
      <w:r>
        <w:rPr>
          <w:rFonts w:hint="eastAsia"/>
          <w:sz w:val="32"/>
          <w:szCs w:val="32"/>
        </w:rPr>
        <w:t>万元，占</w:t>
      </w:r>
      <w:r>
        <w:rPr>
          <w:sz w:val="32"/>
          <w:szCs w:val="32"/>
        </w:rPr>
        <w:t>53.33%,</w:t>
      </w:r>
      <w:r>
        <w:rPr>
          <w:rFonts w:hint="eastAsia"/>
          <w:sz w:val="32"/>
          <w:szCs w:val="32"/>
        </w:rPr>
        <w:t>因公出国（境）费支出决算</w:t>
      </w:r>
      <w:r>
        <w:rPr>
          <w:sz w:val="32"/>
          <w:szCs w:val="32"/>
        </w:rPr>
        <w:t>0.00</w:t>
      </w:r>
      <w:r>
        <w:rPr>
          <w:rFonts w:hint="eastAsia"/>
          <w:sz w:val="32"/>
          <w:szCs w:val="32"/>
        </w:rPr>
        <w:t>万元，占</w:t>
      </w:r>
      <w:r>
        <w:rPr>
          <w:sz w:val="32"/>
          <w:szCs w:val="32"/>
        </w:rPr>
        <w:t>0.00%,</w:t>
      </w:r>
      <w:r>
        <w:rPr>
          <w:rFonts w:hint="eastAsia"/>
          <w:sz w:val="32"/>
          <w:szCs w:val="32"/>
        </w:rPr>
        <w:t>公务用车购置费及运行维护费支出决算</w:t>
      </w:r>
      <w:r>
        <w:rPr>
          <w:sz w:val="32"/>
          <w:szCs w:val="32"/>
        </w:rPr>
        <w:t>2.45</w:t>
      </w:r>
      <w:r>
        <w:rPr>
          <w:rFonts w:hint="eastAsia"/>
          <w:sz w:val="32"/>
          <w:szCs w:val="32"/>
        </w:rPr>
        <w:t>万元，占</w:t>
      </w:r>
      <w:r>
        <w:rPr>
          <w:sz w:val="32"/>
          <w:szCs w:val="32"/>
        </w:rPr>
        <w:t>46.67%</w:t>
      </w:r>
      <w:r>
        <w:rPr>
          <w:rFonts w:hint="eastAsia"/>
          <w:sz w:val="32"/>
          <w:szCs w:val="32"/>
        </w:rPr>
        <w:t>。其中：</w:t>
      </w:r>
    </w:p>
    <w:p>
      <w:pPr>
        <w:pStyle w:val="11"/>
        <w:ind w:firstLine="640" w:firstLineChars="200"/>
        <w:rPr>
          <w:rFonts w:ascii="宋体" w:hAnsi="宋体" w:eastAsia="宋体"/>
          <w:b/>
          <w:sz w:val="32"/>
          <w:szCs w:val="32"/>
        </w:rPr>
      </w:pPr>
      <w:r>
        <w:rPr>
          <w:rFonts w:ascii="宋体" w:hAnsi="宋体" w:eastAsia="宋体"/>
          <w:sz w:val="32"/>
          <w:szCs w:val="32"/>
        </w:rPr>
        <w:t>1</w:t>
      </w:r>
      <w:r>
        <w:rPr>
          <w:rFonts w:hint="eastAsia" w:ascii="宋体" w:hAnsi="宋体" w:eastAsia="宋体"/>
          <w:sz w:val="32"/>
          <w:szCs w:val="32"/>
        </w:rPr>
        <w:t>、因公出国（境）费支出决算为</w:t>
      </w:r>
      <w:r>
        <w:rPr>
          <w:rFonts w:ascii="宋体" w:hAnsi="宋体" w:eastAsia="宋体"/>
          <w:sz w:val="32"/>
          <w:szCs w:val="32"/>
        </w:rPr>
        <w:t>0.00</w:t>
      </w:r>
      <w:r>
        <w:rPr>
          <w:rFonts w:hint="eastAsia" w:ascii="宋体" w:hAnsi="宋体" w:eastAsia="宋体"/>
          <w:sz w:val="32"/>
          <w:szCs w:val="32"/>
        </w:rPr>
        <w:t>万元，全年安排因公出国（境）团组</w:t>
      </w:r>
      <w:r>
        <w:rPr>
          <w:rFonts w:ascii="宋体" w:hAnsi="宋体" w:eastAsia="宋体"/>
          <w:sz w:val="32"/>
          <w:szCs w:val="32"/>
        </w:rPr>
        <w:t>0.00</w:t>
      </w:r>
      <w:r>
        <w:rPr>
          <w:rFonts w:hint="eastAsia" w:ascii="宋体" w:hAnsi="宋体" w:eastAsia="宋体"/>
          <w:sz w:val="32"/>
          <w:szCs w:val="32"/>
        </w:rPr>
        <w:t>个，累计</w:t>
      </w:r>
      <w:r>
        <w:rPr>
          <w:rFonts w:ascii="宋体" w:hAnsi="宋体" w:eastAsia="宋体"/>
          <w:sz w:val="32"/>
          <w:szCs w:val="32"/>
        </w:rPr>
        <w:t>0.00</w:t>
      </w:r>
      <w:r>
        <w:rPr>
          <w:rFonts w:hint="eastAsia" w:ascii="宋体" w:hAnsi="宋体" w:eastAsia="宋体"/>
          <w:sz w:val="32"/>
          <w:szCs w:val="32"/>
        </w:rPr>
        <w:t>人次</w:t>
      </w:r>
      <w:r>
        <w:rPr>
          <w:rFonts w:ascii="宋体" w:hAnsi="宋体" w:eastAsia="宋体"/>
          <w:sz w:val="32"/>
          <w:szCs w:val="32"/>
        </w:rPr>
        <w:t>,</w:t>
      </w:r>
      <w:r>
        <w:rPr>
          <w:rFonts w:hint="eastAsia" w:ascii="宋体" w:hAnsi="宋体" w:eastAsia="宋体"/>
          <w:sz w:val="32"/>
          <w:szCs w:val="32"/>
        </w:rPr>
        <w:t>开支内容包括：无</w:t>
      </w:r>
    </w:p>
    <w:p>
      <w:pPr>
        <w:pStyle w:val="11"/>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、公务接待费支出决算为</w:t>
      </w:r>
      <w:r>
        <w:rPr>
          <w:rFonts w:ascii="宋体" w:hAnsi="宋体" w:eastAsia="宋体"/>
          <w:sz w:val="32"/>
          <w:szCs w:val="32"/>
        </w:rPr>
        <w:t>2.80</w:t>
      </w:r>
      <w:r>
        <w:rPr>
          <w:rFonts w:hint="eastAsia" w:ascii="宋体" w:hAnsi="宋体" w:eastAsia="宋体"/>
          <w:sz w:val="32"/>
          <w:szCs w:val="32"/>
        </w:rPr>
        <w:t>万元，全年共接待来访团组</w:t>
      </w:r>
      <w:r>
        <w:rPr>
          <w:rFonts w:ascii="宋体" w:hAnsi="宋体" w:eastAsia="宋体"/>
          <w:sz w:val="32"/>
          <w:szCs w:val="32"/>
        </w:rPr>
        <w:t>40</w:t>
      </w:r>
      <w:r>
        <w:rPr>
          <w:rFonts w:hint="eastAsia" w:ascii="宋体" w:hAnsi="宋体" w:eastAsia="宋体"/>
          <w:sz w:val="32"/>
          <w:szCs w:val="32"/>
        </w:rPr>
        <w:t>个、来宾</w:t>
      </w:r>
      <w:r>
        <w:rPr>
          <w:rFonts w:ascii="宋体" w:hAnsi="宋体" w:eastAsia="宋体"/>
          <w:sz w:val="32"/>
          <w:szCs w:val="32"/>
        </w:rPr>
        <w:t>200</w:t>
      </w:r>
      <w:r>
        <w:rPr>
          <w:rFonts w:hint="eastAsia" w:ascii="宋体" w:hAnsi="宋体" w:eastAsia="宋体"/>
          <w:sz w:val="32"/>
          <w:szCs w:val="32"/>
        </w:rPr>
        <w:t>人次，主要是省、市纪委监委领导来区检查指导工作发生的接待支出。</w:t>
      </w:r>
    </w:p>
    <w:p>
      <w:pPr>
        <w:ind w:firstLine="640" w:firstLineChars="200"/>
        <w:rPr>
          <w:rFonts w:ascii="宋体" w:cs="黑体"/>
          <w:color w:val="000000"/>
          <w:kern w:val="0"/>
          <w:sz w:val="32"/>
          <w:szCs w:val="32"/>
        </w:rPr>
      </w:pPr>
      <w:r>
        <w:rPr>
          <w:rFonts w:ascii="宋体" w:hAnsi="宋体"/>
          <w:sz w:val="32"/>
          <w:szCs w:val="32"/>
        </w:rPr>
        <w:t>3</w:t>
      </w:r>
      <w:r>
        <w:rPr>
          <w:rFonts w:hint="eastAsia" w:ascii="宋体" w:hAnsi="宋体"/>
          <w:sz w:val="32"/>
          <w:szCs w:val="32"/>
        </w:rPr>
        <w:t>、公务用车购置费及运行维护费支出决算为</w:t>
      </w:r>
      <w:r>
        <w:rPr>
          <w:rFonts w:ascii="宋体" w:hAnsi="宋体"/>
          <w:sz w:val="32"/>
          <w:szCs w:val="32"/>
        </w:rPr>
        <w:t>2.45</w:t>
      </w:r>
      <w:r>
        <w:rPr>
          <w:rFonts w:hint="eastAsia" w:ascii="宋体" w:hAnsi="宋体"/>
          <w:sz w:val="32"/>
          <w:szCs w:val="32"/>
        </w:rPr>
        <w:t>万元，其中：公务用车购置费</w:t>
      </w:r>
      <w:r>
        <w:rPr>
          <w:rFonts w:ascii="宋体"/>
          <w:sz w:val="32"/>
          <w:szCs w:val="32"/>
        </w:rPr>
        <w:t>0</w:t>
      </w:r>
      <w:r>
        <w:rPr>
          <w:rFonts w:hint="eastAsia" w:ascii="宋体" w:hAnsi="宋体"/>
          <w:sz w:val="32"/>
          <w:szCs w:val="32"/>
        </w:rPr>
        <w:t>万元，更新公务用车</w:t>
      </w:r>
      <w:r>
        <w:rPr>
          <w:rFonts w:ascii="宋体"/>
          <w:sz w:val="32"/>
          <w:szCs w:val="32"/>
        </w:rPr>
        <w:t>0</w:t>
      </w:r>
      <w:r>
        <w:rPr>
          <w:rFonts w:hint="eastAsia" w:ascii="宋体" w:hAnsi="宋体"/>
          <w:sz w:val="32"/>
          <w:szCs w:val="32"/>
        </w:rPr>
        <w:t>辆</w:t>
      </w:r>
      <w:r>
        <w:rPr>
          <w:rFonts w:hint="eastAsia" w:ascii="宋体" w:hAnsi="宋体"/>
          <w:color w:val="000000"/>
          <w:sz w:val="32"/>
          <w:szCs w:val="32"/>
        </w:rPr>
        <w:t>。</w:t>
      </w:r>
      <w:r>
        <w:rPr>
          <w:rFonts w:hint="eastAsia" w:ascii="宋体" w:hAnsi="宋体"/>
          <w:sz w:val="32"/>
          <w:szCs w:val="32"/>
        </w:rPr>
        <w:t>公务用车运行维护费</w:t>
      </w:r>
      <w:r>
        <w:rPr>
          <w:rFonts w:ascii="宋体" w:hAnsi="宋体"/>
          <w:sz w:val="32"/>
          <w:szCs w:val="32"/>
        </w:rPr>
        <w:t>2.45</w:t>
      </w:r>
      <w:r>
        <w:rPr>
          <w:rFonts w:hint="eastAsia" w:ascii="宋体" w:hAnsi="宋体"/>
          <w:sz w:val="32"/>
          <w:szCs w:val="32"/>
        </w:rPr>
        <w:t>万元，主要是燃油、修理和过路过桥费支出，截止</w:t>
      </w:r>
      <w:r>
        <w:rPr>
          <w:rFonts w:ascii="宋体" w:hAnsi="宋体"/>
          <w:sz w:val="32"/>
          <w:szCs w:val="32"/>
        </w:rPr>
        <w:t>2020</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日，我单位开支财政拨款的公务用车保有量为</w:t>
      </w:r>
      <w:r>
        <w:rPr>
          <w:rFonts w:ascii="宋体" w:hAnsi="宋体"/>
          <w:sz w:val="32"/>
          <w:szCs w:val="32"/>
        </w:rPr>
        <w:t>1</w:t>
      </w:r>
      <w:r>
        <w:rPr>
          <w:rFonts w:hint="eastAsia" w:ascii="宋体" w:hAnsi="宋体"/>
          <w:sz w:val="32"/>
          <w:szCs w:val="32"/>
        </w:rPr>
        <w:t>辆。</w:t>
      </w:r>
    </w:p>
    <w:p>
      <w:pPr>
        <w:pStyle w:val="11"/>
        <w:ind w:firstLine="640" w:firstLineChars="200"/>
        <w:rPr>
          <w:rFonts w:hAnsi="黑体"/>
          <w:b/>
          <w:sz w:val="32"/>
          <w:szCs w:val="32"/>
        </w:rPr>
      </w:pPr>
      <w:r>
        <w:rPr>
          <w:rFonts w:hint="eastAsia" w:hAnsi="黑体"/>
          <w:b/>
          <w:sz w:val="32"/>
          <w:szCs w:val="32"/>
        </w:rPr>
        <w:t>八、政府性基金预算收入支出决算情况</w:t>
      </w:r>
    </w:p>
    <w:p>
      <w:pPr>
        <w:pStyle w:val="11"/>
        <w:rPr>
          <w:rFonts w:ascii="宋体" w:hAnsi="宋体" w:eastAsia="宋体"/>
          <w:i/>
          <w:color w:val="FF0000"/>
          <w:sz w:val="32"/>
          <w:szCs w:val="32"/>
        </w:rPr>
      </w:pPr>
      <w:r>
        <w:rPr>
          <w:rFonts w:ascii="宋体" w:hAnsi="宋体" w:eastAsia="宋体"/>
          <w:sz w:val="32"/>
          <w:szCs w:val="32"/>
        </w:rPr>
        <w:t xml:space="preserve">    2020</w:t>
      </w:r>
      <w:r>
        <w:rPr>
          <w:rFonts w:hint="eastAsia" w:ascii="宋体" w:hAnsi="宋体" w:eastAsia="宋体"/>
          <w:sz w:val="32"/>
          <w:szCs w:val="32"/>
        </w:rPr>
        <w:t>年度政府性基金预算财政拨款收入</w:t>
      </w:r>
      <w:r>
        <w:rPr>
          <w:rFonts w:ascii="宋体" w:hAnsi="宋体" w:eastAsia="宋体"/>
          <w:sz w:val="32"/>
          <w:szCs w:val="32"/>
        </w:rPr>
        <w:t>0.00</w:t>
      </w:r>
      <w:r>
        <w:rPr>
          <w:rFonts w:hint="eastAsia" w:ascii="宋体" w:hAnsi="宋体" w:eastAsia="宋体"/>
          <w:sz w:val="32"/>
          <w:szCs w:val="32"/>
        </w:rPr>
        <w:t>万元；年初结转和结余</w:t>
      </w:r>
      <w:r>
        <w:rPr>
          <w:rFonts w:ascii="宋体" w:hAnsi="宋体" w:eastAsia="宋体"/>
          <w:sz w:val="32"/>
          <w:szCs w:val="32"/>
        </w:rPr>
        <w:t>0.71</w:t>
      </w:r>
      <w:r>
        <w:rPr>
          <w:rFonts w:hint="eastAsia" w:ascii="宋体" w:hAnsi="宋体" w:eastAsia="宋体"/>
          <w:sz w:val="32"/>
          <w:szCs w:val="32"/>
        </w:rPr>
        <w:t>万元；本年支出</w:t>
      </w:r>
      <w:r>
        <w:rPr>
          <w:rFonts w:ascii="宋体" w:hAnsi="宋体" w:eastAsia="宋体"/>
          <w:sz w:val="32"/>
          <w:szCs w:val="32"/>
        </w:rPr>
        <w:t>0.71</w:t>
      </w:r>
      <w:r>
        <w:rPr>
          <w:rFonts w:hint="eastAsia" w:ascii="宋体" w:hAnsi="宋体" w:eastAsia="宋体"/>
          <w:sz w:val="32"/>
          <w:szCs w:val="32"/>
        </w:rPr>
        <w:t>万元，其中基本支出</w:t>
      </w:r>
      <w:r>
        <w:rPr>
          <w:rFonts w:ascii="宋体" w:hAnsi="宋体" w:eastAsia="宋体"/>
          <w:sz w:val="32"/>
          <w:szCs w:val="32"/>
        </w:rPr>
        <w:t>0.71</w:t>
      </w:r>
      <w:r>
        <w:rPr>
          <w:rFonts w:hint="eastAsia" w:ascii="宋体" w:hAnsi="宋体" w:eastAsia="宋体"/>
          <w:sz w:val="32"/>
          <w:szCs w:val="32"/>
        </w:rPr>
        <w:t>万元，项目支出</w:t>
      </w:r>
      <w:r>
        <w:rPr>
          <w:rFonts w:ascii="宋体" w:hAnsi="宋体" w:eastAsia="宋体"/>
          <w:sz w:val="32"/>
          <w:szCs w:val="32"/>
        </w:rPr>
        <w:t>0.00</w:t>
      </w:r>
      <w:r>
        <w:rPr>
          <w:rFonts w:hint="eastAsia" w:ascii="宋体" w:hAnsi="宋体" w:eastAsia="宋体"/>
          <w:sz w:val="32"/>
          <w:szCs w:val="32"/>
        </w:rPr>
        <w:t>万元；年末结转和结余</w:t>
      </w:r>
      <w:r>
        <w:rPr>
          <w:rFonts w:ascii="宋体" w:hAnsi="宋体" w:eastAsia="宋体"/>
          <w:sz w:val="32"/>
          <w:szCs w:val="32"/>
        </w:rPr>
        <w:t>0.00</w:t>
      </w:r>
      <w:r>
        <w:rPr>
          <w:rFonts w:hint="eastAsia" w:ascii="宋体" w:hAnsi="宋体" w:eastAsia="宋体"/>
          <w:sz w:val="32"/>
          <w:szCs w:val="32"/>
        </w:rPr>
        <w:t>万元。</w:t>
      </w:r>
    </w:p>
    <w:p>
      <w:pPr>
        <w:pStyle w:val="11"/>
        <w:ind w:firstLine="640" w:firstLineChars="200"/>
        <w:rPr>
          <w:rFonts w:hAnsi="黑体"/>
          <w:b/>
          <w:sz w:val="32"/>
          <w:szCs w:val="32"/>
        </w:rPr>
      </w:pPr>
      <w:r>
        <w:rPr>
          <w:rFonts w:hint="eastAsia" w:hAnsi="黑体"/>
          <w:b/>
          <w:sz w:val="32"/>
          <w:szCs w:val="32"/>
        </w:rPr>
        <w:t>九、国有资本经营预算财政拨款支出决算情况</w:t>
      </w:r>
    </w:p>
    <w:p>
      <w:pPr>
        <w:pStyle w:val="11"/>
        <w:ind w:firstLine="640" w:firstLineChars="200"/>
        <w:rPr>
          <w:rFonts w:hAnsi="黑体"/>
          <w:b/>
          <w:sz w:val="32"/>
          <w:szCs w:val="32"/>
        </w:rPr>
      </w:pPr>
      <w:r>
        <w:rPr>
          <w:rFonts w:hint="eastAsia" w:ascii="宋体" w:hAnsi="宋体" w:eastAsia="宋体"/>
          <w:sz w:val="32"/>
          <w:szCs w:val="32"/>
        </w:rPr>
        <w:t>本单位</w:t>
      </w:r>
      <w:r>
        <w:rPr>
          <w:rFonts w:ascii="宋体" w:hAnsi="宋体" w:eastAsia="宋体"/>
          <w:sz w:val="32"/>
          <w:szCs w:val="32"/>
        </w:rPr>
        <w:t>2020</w:t>
      </w:r>
      <w:r>
        <w:rPr>
          <w:rFonts w:hint="eastAsia" w:ascii="宋体" w:hAnsi="宋体" w:eastAsia="宋体"/>
          <w:sz w:val="32"/>
          <w:szCs w:val="32"/>
        </w:rPr>
        <w:t>年度没有使用国有资本经营预算安排的支出。</w:t>
      </w:r>
    </w:p>
    <w:p>
      <w:pPr>
        <w:pStyle w:val="11"/>
        <w:ind w:firstLine="640" w:firstLineChars="200"/>
        <w:rPr>
          <w:rFonts w:ascii="宋体" w:hAnsi="宋体" w:eastAsia="宋体"/>
          <w:b/>
          <w:bCs/>
          <w:color w:val="FF0000"/>
          <w:sz w:val="32"/>
          <w:szCs w:val="32"/>
        </w:rPr>
      </w:pPr>
      <w:r>
        <w:rPr>
          <w:rFonts w:hint="eastAsia" w:hAnsi="黑体"/>
          <w:b/>
          <w:sz w:val="32"/>
          <w:szCs w:val="32"/>
        </w:rPr>
        <w:t>十、关于机关运行经费支出说明</w:t>
      </w:r>
    </w:p>
    <w:p>
      <w:pPr>
        <w:pStyle w:val="11"/>
        <w:ind w:firstLine="640" w:firstLineChars="200"/>
        <w:rPr>
          <w:rFonts w:ascii="宋体" w:hAnsi="宋体" w:eastAsia="宋体"/>
          <w:sz w:val="32"/>
          <w:szCs w:val="32"/>
        </w:rPr>
      </w:pPr>
      <w:r>
        <w:rPr>
          <w:rFonts w:hint="eastAsia" w:ascii="宋体" w:hAnsi="宋体" w:eastAsia="宋体"/>
          <w:sz w:val="32"/>
          <w:szCs w:val="32"/>
        </w:rPr>
        <w:t>本单位</w:t>
      </w:r>
      <w:r>
        <w:rPr>
          <w:rFonts w:ascii="宋体" w:hAnsi="宋体" w:eastAsia="宋体"/>
          <w:sz w:val="32"/>
          <w:szCs w:val="32"/>
        </w:rPr>
        <w:t>2020</w:t>
      </w:r>
      <w:r>
        <w:rPr>
          <w:rFonts w:hint="eastAsia" w:ascii="宋体" w:hAnsi="宋体" w:eastAsia="宋体"/>
          <w:sz w:val="32"/>
          <w:szCs w:val="32"/>
        </w:rPr>
        <w:t>年度机关运行经费支出</w:t>
      </w:r>
      <w:r>
        <w:rPr>
          <w:rFonts w:ascii="宋体" w:hAnsi="宋体" w:eastAsia="宋体"/>
          <w:sz w:val="32"/>
          <w:szCs w:val="32"/>
        </w:rPr>
        <w:t>77.46</w:t>
      </w:r>
      <w:r>
        <w:rPr>
          <w:rFonts w:hint="eastAsia" w:ascii="宋体" w:hAnsi="宋体" w:eastAsia="宋体"/>
          <w:sz w:val="32"/>
          <w:szCs w:val="32"/>
        </w:rPr>
        <w:t>万元，比上年决算数增加</w:t>
      </w:r>
      <w:r>
        <w:rPr>
          <w:rFonts w:ascii="宋体" w:hAnsi="宋体" w:eastAsia="宋体"/>
          <w:sz w:val="32"/>
          <w:szCs w:val="32"/>
        </w:rPr>
        <w:t>42.59</w:t>
      </w:r>
      <w:r>
        <w:rPr>
          <w:rFonts w:hint="eastAsia" w:ascii="宋体" w:hAnsi="宋体" w:eastAsia="宋体"/>
          <w:sz w:val="32"/>
          <w:szCs w:val="32"/>
        </w:rPr>
        <w:t>万元，增长</w:t>
      </w:r>
      <w:r>
        <w:rPr>
          <w:rFonts w:ascii="宋体" w:hAnsi="宋体" w:eastAsia="宋体"/>
          <w:sz w:val="32"/>
          <w:szCs w:val="32"/>
        </w:rPr>
        <w:t>122.14%</w:t>
      </w:r>
      <w:r>
        <w:rPr>
          <w:rFonts w:hint="eastAsia" w:ascii="宋体" w:hAnsi="宋体" w:eastAsia="宋体"/>
          <w:sz w:val="32"/>
          <w:szCs w:val="32"/>
        </w:rPr>
        <w:t>。主要原因是：办公费、差旅费等费用增加。</w:t>
      </w:r>
    </w:p>
    <w:p>
      <w:pPr>
        <w:pStyle w:val="11"/>
        <w:ind w:firstLine="640" w:firstLineChars="200"/>
        <w:rPr>
          <w:rFonts w:hAnsi="黑体"/>
          <w:b/>
          <w:sz w:val="32"/>
          <w:szCs w:val="32"/>
        </w:rPr>
      </w:pPr>
      <w:r>
        <w:rPr>
          <w:rFonts w:hint="eastAsia" w:hAnsi="黑体"/>
          <w:b/>
          <w:sz w:val="32"/>
          <w:szCs w:val="32"/>
        </w:rPr>
        <w:t>十一、一般性支出情况</w:t>
      </w:r>
    </w:p>
    <w:p>
      <w:pPr>
        <w:pStyle w:val="11"/>
        <w:ind w:firstLine="640" w:firstLineChars="200"/>
        <w:rPr>
          <w:rFonts w:ascii="宋体" w:hAnsi="宋体" w:eastAsia="宋体"/>
          <w:i/>
          <w:color w:val="FF0000"/>
          <w:sz w:val="32"/>
          <w:szCs w:val="32"/>
        </w:rPr>
      </w:pPr>
      <w:r>
        <w:rPr>
          <w:rFonts w:ascii="宋体" w:hAnsi="宋体" w:eastAsia="宋体"/>
          <w:sz w:val="32"/>
          <w:szCs w:val="32"/>
        </w:rPr>
        <w:t>2020</w:t>
      </w:r>
      <w:r>
        <w:rPr>
          <w:rFonts w:hint="eastAsia" w:ascii="宋体" w:hAnsi="宋体" w:eastAsia="宋体"/>
          <w:sz w:val="32"/>
          <w:szCs w:val="32"/>
        </w:rPr>
        <w:t>年本单位会议费年初预算</w:t>
      </w:r>
      <w:r>
        <w:rPr>
          <w:rFonts w:ascii="宋体" w:hAnsi="宋体" w:eastAsia="宋体"/>
          <w:sz w:val="32"/>
          <w:szCs w:val="32"/>
        </w:rPr>
        <w:t>13.00</w:t>
      </w:r>
      <w:r>
        <w:rPr>
          <w:rFonts w:hint="eastAsia" w:ascii="宋体" w:hAnsi="宋体" w:eastAsia="宋体"/>
          <w:sz w:val="32"/>
          <w:szCs w:val="32"/>
        </w:rPr>
        <w:t>万元，支出决算</w:t>
      </w:r>
      <w:r>
        <w:rPr>
          <w:rFonts w:ascii="宋体" w:hAnsi="宋体" w:eastAsia="宋体"/>
          <w:sz w:val="32"/>
          <w:szCs w:val="32"/>
        </w:rPr>
        <w:t>3.85</w:t>
      </w:r>
      <w:r>
        <w:rPr>
          <w:rFonts w:hint="eastAsia" w:ascii="宋体" w:hAnsi="宋体" w:eastAsia="宋体"/>
          <w:sz w:val="32"/>
          <w:szCs w:val="32"/>
        </w:rPr>
        <w:t>万元，完成年初预算的</w:t>
      </w:r>
      <w:r>
        <w:rPr>
          <w:rFonts w:ascii="宋体" w:hAnsi="宋体" w:eastAsia="宋体"/>
          <w:sz w:val="32"/>
          <w:szCs w:val="32"/>
        </w:rPr>
        <w:t>29.62%</w:t>
      </w:r>
      <w:r>
        <w:rPr>
          <w:rFonts w:hint="eastAsia" w:ascii="宋体" w:hAnsi="宋体" w:eastAsia="宋体"/>
          <w:sz w:val="32"/>
          <w:szCs w:val="32"/>
        </w:rPr>
        <w:t>，用于召开全区纪检监察干部业务培训、篮球运动会等会议，人数</w:t>
      </w:r>
      <w:r>
        <w:rPr>
          <w:rFonts w:ascii="宋体" w:hAnsi="宋体" w:eastAsia="宋体"/>
          <w:sz w:val="32"/>
          <w:szCs w:val="32"/>
        </w:rPr>
        <w:t>120</w:t>
      </w:r>
      <w:r>
        <w:rPr>
          <w:rFonts w:hint="eastAsia" w:ascii="宋体" w:hAnsi="宋体" w:eastAsia="宋体"/>
          <w:sz w:val="32"/>
          <w:szCs w:val="32"/>
        </w:rPr>
        <w:t>人，内容为会务用餐费</w:t>
      </w:r>
      <w:r>
        <w:rPr>
          <w:rFonts w:ascii="宋体" w:hAnsi="宋体" w:eastAsia="宋体"/>
          <w:sz w:val="32"/>
          <w:szCs w:val="32"/>
        </w:rPr>
        <w:t>2.75</w:t>
      </w:r>
      <w:r>
        <w:rPr>
          <w:rFonts w:hint="eastAsia" w:ascii="宋体" w:hAnsi="宋体" w:eastAsia="宋体"/>
          <w:sz w:val="32"/>
          <w:szCs w:val="32"/>
        </w:rPr>
        <w:t>万元、运动会体育用品费</w:t>
      </w:r>
      <w:r>
        <w:rPr>
          <w:rFonts w:ascii="宋体" w:hAnsi="宋体" w:eastAsia="宋体"/>
          <w:sz w:val="32"/>
          <w:szCs w:val="32"/>
        </w:rPr>
        <w:t>1.10</w:t>
      </w:r>
      <w:r>
        <w:rPr>
          <w:rFonts w:hint="eastAsia" w:ascii="宋体" w:hAnsi="宋体" w:eastAsia="宋体"/>
          <w:sz w:val="32"/>
          <w:szCs w:val="32"/>
        </w:rPr>
        <w:t>万元；培训费年初预算</w:t>
      </w:r>
      <w:r>
        <w:rPr>
          <w:rFonts w:ascii="宋体" w:hAnsi="宋体" w:eastAsia="宋体"/>
          <w:sz w:val="32"/>
          <w:szCs w:val="32"/>
        </w:rPr>
        <w:t>8.00</w:t>
      </w:r>
      <w:r>
        <w:rPr>
          <w:rFonts w:hint="eastAsia" w:ascii="宋体" w:hAnsi="宋体" w:eastAsia="宋体"/>
          <w:sz w:val="32"/>
          <w:szCs w:val="32"/>
        </w:rPr>
        <w:t>万元，支出决算</w:t>
      </w:r>
      <w:r>
        <w:rPr>
          <w:rFonts w:ascii="宋体" w:hAnsi="宋体" w:eastAsia="宋体"/>
          <w:sz w:val="32"/>
          <w:szCs w:val="32"/>
        </w:rPr>
        <w:t>7.19</w:t>
      </w:r>
      <w:r>
        <w:rPr>
          <w:rFonts w:hint="eastAsia" w:ascii="宋体" w:hAnsi="宋体" w:eastAsia="宋体"/>
          <w:sz w:val="32"/>
          <w:szCs w:val="32"/>
        </w:rPr>
        <w:t>万元，完成年初预算的</w:t>
      </w:r>
      <w:r>
        <w:rPr>
          <w:rFonts w:ascii="宋体" w:hAnsi="宋体" w:eastAsia="宋体"/>
          <w:sz w:val="32"/>
          <w:szCs w:val="32"/>
        </w:rPr>
        <w:t>89.88%</w:t>
      </w:r>
      <w:r>
        <w:rPr>
          <w:rFonts w:hint="eastAsia" w:ascii="宋体" w:hAnsi="宋体" w:eastAsia="宋体"/>
          <w:sz w:val="32"/>
          <w:szCs w:val="32"/>
        </w:rPr>
        <w:t>，用于开展省市组织的干部培训，人数</w:t>
      </w:r>
      <w:r>
        <w:rPr>
          <w:rFonts w:ascii="宋体" w:hAnsi="宋体" w:eastAsia="宋体"/>
          <w:sz w:val="32"/>
          <w:szCs w:val="32"/>
        </w:rPr>
        <w:t>15</w:t>
      </w:r>
      <w:r>
        <w:rPr>
          <w:rFonts w:hint="eastAsia" w:ascii="宋体" w:hAnsi="宋体" w:eastAsia="宋体"/>
          <w:sz w:val="32"/>
          <w:szCs w:val="32"/>
        </w:rPr>
        <w:t>人，内容为省纪委、北戴河培训中心培训费用</w:t>
      </w:r>
      <w:r>
        <w:rPr>
          <w:rFonts w:ascii="宋体" w:hAnsi="宋体" w:eastAsia="宋体"/>
          <w:sz w:val="32"/>
          <w:szCs w:val="32"/>
        </w:rPr>
        <w:t>7.19</w:t>
      </w:r>
      <w:r>
        <w:rPr>
          <w:rFonts w:hint="eastAsia" w:ascii="宋体" w:hAnsi="宋体" w:eastAsia="宋体"/>
          <w:sz w:val="32"/>
          <w:szCs w:val="32"/>
        </w:rPr>
        <w:t>万元（含教学费、租场费、伙食费、交通费等）；无节庆、晚会、论坛、赛事相关预算和支出。</w:t>
      </w:r>
    </w:p>
    <w:p>
      <w:pPr>
        <w:pStyle w:val="11"/>
        <w:ind w:firstLine="640" w:firstLineChars="200"/>
        <w:rPr>
          <w:rFonts w:hAnsi="黑体"/>
          <w:b/>
          <w:sz w:val="32"/>
          <w:szCs w:val="32"/>
        </w:rPr>
      </w:pPr>
      <w:r>
        <w:rPr>
          <w:rFonts w:hint="eastAsia" w:hAnsi="黑体"/>
          <w:b/>
          <w:sz w:val="32"/>
          <w:szCs w:val="32"/>
        </w:rPr>
        <w:t>十二、关于政府采购支出说明</w:t>
      </w:r>
    </w:p>
    <w:p>
      <w:pPr>
        <w:pStyle w:val="11"/>
        <w:ind w:firstLine="640" w:firstLineChars="200"/>
        <w:rPr>
          <w:rFonts w:ascii="宋体" w:hAnsi="宋体" w:eastAsia="宋体"/>
          <w:sz w:val="32"/>
          <w:szCs w:val="32"/>
        </w:rPr>
      </w:pPr>
      <w:r>
        <w:rPr>
          <w:rFonts w:hint="eastAsia" w:ascii="宋体" w:hAnsi="宋体" w:eastAsia="宋体"/>
          <w:sz w:val="32"/>
          <w:szCs w:val="32"/>
        </w:rPr>
        <w:t>本单位</w:t>
      </w:r>
      <w:r>
        <w:rPr>
          <w:rFonts w:ascii="宋体" w:hAnsi="宋体" w:eastAsia="宋体"/>
          <w:sz w:val="32"/>
          <w:szCs w:val="32"/>
        </w:rPr>
        <w:t>2020</w:t>
      </w:r>
      <w:r>
        <w:rPr>
          <w:rFonts w:hint="eastAsia" w:ascii="宋体" w:hAnsi="宋体" w:eastAsia="宋体"/>
          <w:sz w:val="32"/>
          <w:szCs w:val="32"/>
        </w:rPr>
        <w:t>年度政府采购支出总额</w:t>
      </w:r>
      <w:r>
        <w:rPr>
          <w:rFonts w:ascii="宋体" w:hAnsi="宋体" w:eastAsia="宋体"/>
          <w:sz w:val="32"/>
          <w:szCs w:val="32"/>
        </w:rPr>
        <w:t>2.29</w:t>
      </w:r>
      <w:r>
        <w:rPr>
          <w:rFonts w:hint="eastAsia" w:ascii="宋体" w:hAnsi="宋体" w:eastAsia="宋体"/>
          <w:sz w:val="32"/>
          <w:szCs w:val="32"/>
        </w:rPr>
        <w:t>万元，其中：政府采购货物支出</w:t>
      </w:r>
      <w:r>
        <w:rPr>
          <w:rFonts w:ascii="宋体" w:hAnsi="宋体" w:eastAsia="宋体"/>
          <w:sz w:val="32"/>
          <w:szCs w:val="32"/>
        </w:rPr>
        <w:t>2.29</w:t>
      </w:r>
      <w:r>
        <w:rPr>
          <w:rFonts w:hint="eastAsia" w:ascii="宋体" w:hAnsi="宋体" w:eastAsia="宋体"/>
          <w:sz w:val="32"/>
          <w:szCs w:val="32"/>
        </w:rPr>
        <w:t>万元、政府采购工程支出</w:t>
      </w:r>
      <w:r>
        <w:rPr>
          <w:rFonts w:ascii="宋体" w:hAnsi="宋体" w:eastAsia="宋体"/>
          <w:sz w:val="32"/>
          <w:szCs w:val="32"/>
        </w:rPr>
        <w:t xml:space="preserve">0.00 </w:t>
      </w:r>
      <w:r>
        <w:rPr>
          <w:rFonts w:hint="eastAsia" w:ascii="宋体" w:hAnsi="宋体" w:eastAsia="宋体"/>
          <w:sz w:val="32"/>
          <w:szCs w:val="32"/>
        </w:rPr>
        <w:t>万元、政府采购服务支出</w:t>
      </w:r>
      <w:r>
        <w:rPr>
          <w:rFonts w:ascii="宋体" w:hAnsi="宋体" w:eastAsia="宋体"/>
          <w:sz w:val="32"/>
          <w:szCs w:val="32"/>
        </w:rPr>
        <w:t>0.00</w:t>
      </w:r>
      <w:r>
        <w:rPr>
          <w:rFonts w:hint="eastAsia" w:ascii="宋体" w:hAnsi="宋体" w:eastAsia="宋体"/>
          <w:sz w:val="32"/>
          <w:szCs w:val="32"/>
        </w:rPr>
        <w:t>万元。授予中小企业合同金额</w:t>
      </w:r>
      <w:r>
        <w:rPr>
          <w:rFonts w:ascii="宋体" w:hAnsi="宋体" w:eastAsia="宋体"/>
          <w:sz w:val="32"/>
          <w:szCs w:val="32"/>
        </w:rPr>
        <w:t>2.29</w:t>
      </w:r>
      <w:r>
        <w:rPr>
          <w:rFonts w:hint="eastAsia" w:ascii="宋体" w:hAnsi="宋体" w:eastAsia="宋体"/>
          <w:sz w:val="32"/>
          <w:szCs w:val="32"/>
        </w:rPr>
        <w:t>万元，占政府采购支出总额的</w:t>
      </w:r>
      <w:r>
        <w:rPr>
          <w:rFonts w:ascii="宋体" w:hAnsi="宋体" w:eastAsia="宋体"/>
          <w:sz w:val="32"/>
          <w:szCs w:val="32"/>
        </w:rPr>
        <w:t>100.00%</w:t>
      </w:r>
      <w:r>
        <w:rPr>
          <w:rFonts w:hint="eastAsia" w:ascii="宋体" w:hAnsi="宋体" w:eastAsia="宋体"/>
          <w:sz w:val="32"/>
          <w:szCs w:val="32"/>
        </w:rPr>
        <w:t>，其中：授予小微企业合同金额</w:t>
      </w:r>
      <w:r>
        <w:rPr>
          <w:rFonts w:ascii="宋体" w:hAnsi="宋体" w:eastAsia="宋体"/>
          <w:sz w:val="32"/>
          <w:szCs w:val="32"/>
        </w:rPr>
        <w:t>2.29</w:t>
      </w:r>
      <w:r>
        <w:rPr>
          <w:rFonts w:hint="eastAsia" w:ascii="宋体" w:hAnsi="宋体" w:eastAsia="宋体"/>
          <w:sz w:val="32"/>
          <w:szCs w:val="32"/>
        </w:rPr>
        <w:t>万元，占政府采购支出总额的</w:t>
      </w:r>
      <w:r>
        <w:rPr>
          <w:rFonts w:ascii="宋体" w:hAnsi="宋体" w:eastAsia="宋体"/>
          <w:sz w:val="32"/>
          <w:szCs w:val="32"/>
        </w:rPr>
        <w:t>100.00%</w:t>
      </w:r>
      <w:r>
        <w:rPr>
          <w:rFonts w:hint="eastAsia" w:ascii="宋体" w:hAnsi="宋体" w:eastAsia="宋体"/>
          <w:sz w:val="32"/>
          <w:szCs w:val="32"/>
        </w:rPr>
        <w:t>。</w:t>
      </w:r>
    </w:p>
    <w:p>
      <w:pPr>
        <w:pStyle w:val="11"/>
        <w:ind w:firstLine="640" w:firstLineChars="200"/>
        <w:rPr>
          <w:rFonts w:hAnsi="黑体"/>
          <w:b/>
          <w:sz w:val="32"/>
          <w:szCs w:val="32"/>
        </w:rPr>
      </w:pPr>
      <w:r>
        <w:rPr>
          <w:rFonts w:hint="eastAsia" w:hAnsi="黑体"/>
          <w:b/>
          <w:sz w:val="32"/>
          <w:szCs w:val="32"/>
        </w:rPr>
        <w:t>十三、关于国有资产占用情况说明</w:t>
      </w:r>
    </w:p>
    <w:p>
      <w:pPr>
        <w:pStyle w:val="11"/>
        <w:ind w:firstLine="640" w:firstLineChars="200"/>
        <w:rPr>
          <w:rFonts w:ascii="宋体" w:hAnsi="宋体" w:eastAsia="宋体"/>
          <w:sz w:val="32"/>
          <w:szCs w:val="32"/>
        </w:rPr>
      </w:pPr>
      <w:r>
        <w:rPr>
          <w:rFonts w:hint="eastAsia" w:ascii="宋体" w:hAnsi="宋体" w:eastAsia="宋体"/>
          <w:sz w:val="32"/>
          <w:szCs w:val="32"/>
        </w:rPr>
        <w:t>截至</w:t>
      </w:r>
      <w:r>
        <w:rPr>
          <w:rFonts w:ascii="宋体" w:hAnsi="宋体" w:eastAsia="宋体"/>
          <w:sz w:val="32"/>
          <w:szCs w:val="32"/>
        </w:rPr>
        <w:t>2020</w:t>
      </w:r>
      <w:r>
        <w:rPr>
          <w:rFonts w:hint="eastAsia" w:ascii="宋体" w:hAnsi="宋体" w:eastAsia="宋体"/>
          <w:sz w:val="32"/>
          <w:szCs w:val="32"/>
        </w:rPr>
        <w:t>年</w:t>
      </w:r>
      <w:r>
        <w:rPr>
          <w:rFonts w:ascii="宋体" w:hAnsi="宋体" w:eastAsia="宋体"/>
          <w:sz w:val="32"/>
          <w:szCs w:val="32"/>
        </w:rPr>
        <w:t>12</w:t>
      </w:r>
      <w:r>
        <w:rPr>
          <w:rFonts w:hint="eastAsia" w:ascii="宋体" w:hAnsi="宋体" w:eastAsia="宋体"/>
          <w:sz w:val="32"/>
          <w:szCs w:val="32"/>
        </w:rPr>
        <w:t>月</w:t>
      </w:r>
      <w:r>
        <w:rPr>
          <w:rFonts w:ascii="宋体" w:hAnsi="宋体" w:eastAsia="宋体"/>
          <w:sz w:val="32"/>
          <w:szCs w:val="32"/>
        </w:rPr>
        <w:t>31</w:t>
      </w:r>
      <w:r>
        <w:rPr>
          <w:rFonts w:hint="eastAsia" w:ascii="宋体" w:hAnsi="宋体" w:eastAsia="宋体"/>
          <w:sz w:val="32"/>
          <w:szCs w:val="32"/>
        </w:rPr>
        <w:t>日，本单位共有车辆</w:t>
      </w:r>
      <w:r>
        <w:rPr>
          <w:rFonts w:ascii="宋体" w:hAnsi="宋体" w:eastAsia="宋体"/>
          <w:sz w:val="32"/>
          <w:szCs w:val="32"/>
        </w:rPr>
        <w:t>1</w:t>
      </w:r>
      <w:r>
        <w:rPr>
          <w:rFonts w:hint="eastAsia" w:ascii="宋体" w:hAnsi="宋体" w:eastAsia="宋体"/>
          <w:sz w:val="32"/>
          <w:szCs w:val="32"/>
        </w:rPr>
        <w:t>辆，其中，主要领导干部用车</w:t>
      </w:r>
      <w:r>
        <w:rPr>
          <w:rFonts w:ascii="宋体" w:hAnsi="宋体" w:eastAsia="宋体"/>
          <w:sz w:val="32"/>
          <w:szCs w:val="32"/>
        </w:rPr>
        <w:t>0</w:t>
      </w:r>
      <w:r>
        <w:rPr>
          <w:rFonts w:hint="eastAsia" w:ascii="宋体" w:hAnsi="宋体" w:eastAsia="宋体"/>
          <w:sz w:val="32"/>
          <w:szCs w:val="32"/>
        </w:rPr>
        <w:t>辆，机要通信用车</w:t>
      </w:r>
      <w:r>
        <w:rPr>
          <w:rFonts w:ascii="宋体" w:hAnsi="宋体" w:eastAsia="宋体"/>
          <w:sz w:val="32"/>
          <w:szCs w:val="32"/>
        </w:rPr>
        <w:t>0</w:t>
      </w:r>
      <w:r>
        <w:rPr>
          <w:rFonts w:hint="eastAsia" w:ascii="宋体" w:hAnsi="宋体" w:eastAsia="宋体"/>
          <w:sz w:val="32"/>
          <w:szCs w:val="32"/>
        </w:rPr>
        <w:t>辆、应急保障用车</w:t>
      </w:r>
      <w:r>
        <w:rPr>
          <w:rFonts w:ascii="宋体" w:hAnsi="宋体" w:eastAsia="宋体"/>
          <w:sz w:val="32"/>
          <w:szCs w:val="32"/>
        </w:rPr>
        <w:t>0</w:t>
      </w:r>
      <w:r>
        <w:rPr>
          <w:rFonts w:hint="eastAsia" w:ascii="宋体" w:hAnsi="宋体" w:eastAsia="宋体"/>
          <w:sz w:val="32"/>
          <w:szCs w:val="32"/>
        </w:rPr>
        <w:t>辆、执法执勤用车</w:t>
      </w:r>
      <w:r>
        <w:rPr>
          <w:rFonts w:ascii="宋体" w:hAnsi="宋体" w:eastAsia="宋体"/>
          <w:sz w:val="32"/>
          <w:szCs w:val="32"/>
        </w:rPr>
        <w:t>1</w:t>
      </w:r>
      <w:r>
        <w:rPr>
          <w:rFonts w:hint="eastAsia" w:ascii="宋体" w:hAnsi="宋体" w:eastAsia="宋体"/>
          <w:sz w:val="32"/>
          <w:szCs w:val="32"/>
        </w:rPr>
        <w:t>辆、特种专业技术用车</w:t>
      </w:r>
      <w:r>
        <w:rPr>
          <w:rFonts w:ascii="宋体" w:hAnsi="宋体" w:eastAsia="宋体"/>
          <w:sz w:val="32"/>
          <w:szCs w:val="32"/>
        </w:rPr>
        <w:t>0</w:t>
      </w:r>
      <w:r>
        <w:rPr>
          <w:rFonts w:hint="eastAsia" w:ascii="宋体" w:hAnsi="宋体" w:eastAsia="宋体"/>
          <w:sz w:val="32"/>
          <w:szCs w:val="32"/>
        </w:rPr>
        <w:t>辆、其他用车</w:t>
      </w:r>
      <w:r>
        <w:rPr>
          <w:rFonts w:ascii="宋体" w:hAnsi="宋体" w:eastAsia="宋体"/>
          <w:sz w:val="32"/>
          <w:szCs w:val="32"/>
        </w:rPr>
        <w:t>0</w:t>
      </w:r>
      <w:r>
        <w:rPr>
          <w:rFonts w:hint="eastAsia" w:ascii="宋体" w:hAnsi="宋体" w:eastAsia="宋体"/>
          <w:sz w:val="32"/>
          <w:szCs w:val="32"/>
        </w:rPr>
        <w:t>辆；单位价值</w:t>
      </w:r>
      <w:r>
        <w:rPr>
          <w:rFonts w:ascii="宋体" w:hAnsi="宋体" w:eastAsia="宋体"/>
          <w:sz w:val="32"/>
          <w:szCs w:val="32"/>
        </w:rPr>
        <w:t>50</w:t>
      </w:r>
      <w:r>
        <w:rPr>
          <w:rFonts w:hint="eastAsia" w:ascii="宋体" w:hAnsi="宋体" w:eastAsia="宋体"/>
          <w:sz w:val="32"/>
          <w:szCs w:val="32"/>
        </w:rPr>
        <w:t>万元以上通用设备</w:t>
      </w:r>
      <w:r>
        <w:rPr>
          <w:rFonts w:ascii="宋体" w:hAnsi="宋体" w:eastAsia="宋体"/>
          <w:sz w:val="32"/>
          <w:szCs w:val="32"/>
        </w:rPr>
        <w:t>0</w:t>
      </w:r>
      <w:r>
        <w:rPr>
          <w:rFonts w:hint="eastAsia" w:ascii="宋体" w:hAnsi="宋体" w:eastAsia="宋体"/>
          <w:sz w:val="32"/>
          <w:szCs w:val="32"/>
        </w:rPr>
        <w:t>台（套）；单位价值</w:t>
      </w:r>
      <w:r>
        <w:rPr>
          <w:rFonts w:ascii="宋体" w:hAnsi="宋体" w:eastAsia="宋体"/>
          <w:sz w:val="32"/>
          <w:szCs w:val="32"/>
        </w:rPr>
        <w:t>100</w:t>
      </w:r>
      <w:r>
        <w:rPr>
          <w:rFonts w:hint="eastAsia" w:ascii="宋体" w:hAnsi="宋体" w:eastAsia="宋体"/>
          <w:sz w:val="32"/>
          <w:szCs w:val="32"/>
        </w:rPr>
        <w:t>万元以上专用设备</w:t>
      </w:r>
      <w:r>
        <w:rPr>
          <w:rFonts w:ascii="宋体" w:hAnsi="宋体" w:eastAsia="宋体"/>
          <w:sz w:val="32"/>
          <w:szCs w:val="32"/>
        </w:rPr>
        <w:t>0</w:t>
      </w:r>
      <w:r>
        <w:rPr>
          <w:rFonts w:hint="eastAsia" w:ascii="宋体" w:hAnsi="宋体" w:eastAsia="宋体"/>
          <w:sz w:val="32"/>
          <w:szCs w:val="32"/>
        </w:rPr>
        <w:t>台（套）。</w:t>
      </w:r>
    </w:p>
    <w:p>
      <w:pPr>
        <w:pStyle w:val="11"/>
        <w:ind w:firstLine="640" w:firstLineChars="200"/>
        <w:rPr>
          <w:rFonts w:hAnsi="黑体"/>
          <w:b/>
          <w:sz w:val="32"/>
          <w:szCs w:val="32"/>
        </w:rPr>
      </w:pPr>
      <w:r>
        <w:rPr>
          <w:rFonts w:hint="eastAsia" w:hAnsi="黑体"/>
          <w:b/>
          <w:sz w:val="32"/>
          <w:szCs w:val="32"/>
        </w:rPr>
        <w:t>十四、关于</w:t>
      </w:r>
      <w:r>
        <w:rPr>
          <w:rFonts w:hAnsi="黑体"/>
          <w:b/>
          <w:sz w:val="32"/>
          <w:szCs w:val="32"/>
        </w:rPr>
        <w:t>2020</w:t>
      </w:r>
      <w:r>
        <w:rPr>
          <w:rFonts w:hint="eastAsia" w:hAnsi="黑体"/>
          <w:b/>
          <w:sz w:val="32"/>
          <w:szCs w:val="32"/>
        </w:rPr>
        <w:t>年度预算绩效情况的说明</w:t>
      </w:r>
    </w:p>
    <w:p>
      <w:pPr>
        <w:pStyle w:val="11"/>
        <w:ind w:firstLine="640" w:firstLineChars="200"/>
        <w:rPr>
          <w:rFonts w:hAnsi="黑体"/>
          <w:b/>
          <w:sz w:val="32"/>
          <w:szCs w:val="32"/>
        </w:rPr>
      </w:pPr>
      <w:r>
        <w:rPr>
          <w:rFonts w:ascii="宋体" w:hAnsi="宋体" w:eastAsia="宋体"/>
          <w:sz w:val="32"/>
          <w:szCs w:val="32"/>
        </w:rPr>
        <w:t>2020</w:t>
      </w:r>
      <w:r>
        <w:rPr>
          <w:rFonts w:hint="eastAsia" w:ascii="宋体" w:hAnsi="宋体" w:eastAsia="宋体"/>
          <w:sz w:val="32"/>
          <w:szCs w:val="32"/>
        </w:rPr>
        <w:t>年，区纪委监委积极开展预算绩效管理，完成了预算绩效目标，全年共立案查办违纪违法案件</w:t>
      </w:r>
      <w:r>
        <w:rPr>
          <w:rFonts w:ascii="宋体" w:hAnsi="宋体" w:eastAsia="宋体"/>
          <w:sz w:val="32"/>
          <w:szCs w:val="32"/>
        </w:rPr>
        <w:t>51</w:t>
      </w:r>
      <w:r>
        <w:rPr>
          <w:rFonts w:hint="eastAsia" w:ascii="宋体" w:hAnsi="宋体" w:eastAsia="宋体"/>
          <w:sz w:val="32"/>
          <w:szCs w:val="32"/>
        </w:rPr>
        <w:t>件</w:t>
      </w:r>
      <w:r>
        <w:rPr>
          <w:rFonts w:ascii="宋体" w:hAnsi="宋体" w:eastAsia="宋体"/>
          <w:sz w:val="32"/>
          <w:szCs w:val="32"/>
        </w:rPr>
        <w:t>51</w:t>
      </w:r>
      <w:r>
        <w:rPr>
          <w:rFonts w:hint="eastAsia" w:ascii="宋体" w:hAnsi="宋体" w:eastAsia="宋体"/>
          <w:sz w:val="32"/>
          <w:szCs w:val="32"/>
        </w:rPr>
        <w:t>人，违纪违法人员均受到了党纪政务处分。特别是查处了张家界市武陵源旅游产业公司原党委副书记、董事长王爱民受贿、国有公司人员滥用职权案，张家界瑞飞致远旅游开发有限公司实际控制人王瑞行贿案，积极配合市纪委第七审查调查室办理的市交投集团原董事长张德寅受贿案，办理了粟华、刘开进、罗瑜、魏红等</w:t>
      </w:r>
      <w:r>
        <w:rPr>
          <w:rFonts w:ascii="宋体" w:hAnsi="宋体" w:eastAsia="宋体"/>
          <w:sz w:val="32"/>
          <w:szCs w:val="32"/>
        </w:rPr>
        <w:t>4</w:t>
      </w:r>
      <w:r>
        <w:rPr>
          <w:rFonts w:hint="eastAsia" w:ascii="宋体" w:hAnsi="宋体" w:eastAsia="宋体"/>
          <w:sz w:val="32"/>
          <w:szCs w:val="32"/>
        </w:rPr>
        <w:t>件指定管辖的行贿案件，王爱民、张德寅被移送检察机关审查起诉。纪检监察宣传工作也取得了很好成绩，在国家级、省级、市级多家宣传媒体发表了大量的理论及宣传文章，大力宣传推介了我区纪检监察工作。通过大力开展日常及专项监督检查工作，使广大人民群众反映强烈的干部作风等问题得到了有效治理。以上工作成绩的取得，离不开各项经费的有效保障，从全年部门整体支出情况看，实现了支出的经济性、效率性、有效性和可持续性。</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第四部分</w:t>
      </w:r>
    </w:p>
    <w:p>
      <w:pPr>
        <w:jc w:val="center"/>
        <w:rPr>
          <w:sz w:val="72"/>
          <w:szCs w:val="72"/>
        </w:rPr>
      </w:pPr>
    </w:p>
    <w:p>
      <w:pPr>
        <w:jc w:val="center"/>
        <w:rPr>
          <w:sz w:val="72"/>
          <w:szCs w:val="72"/>
        </w:rPr>
      </w:pPr>
      <w:r>
        <w:rPr>
          <w:rFonts w:hint="eastAsia"/>
          <w:sz w:val="72"/>
          <w:szCs w:val="72"/>
        </w:rPr>
        <w:t>名词解释</w:t>
      </w:r>
    </w:p>
    <w:p>
      <w:pPr>
        <w:widowControl/>
        <w:jc w:val="left"/>
        <w:rPr>
          <w:rFonts w:ascii="宋体" w:cs="黑体"/>
          <w:color w:val="000000"/>
          <w:kern w:val="0"/>
          <w:sz w:val="32"/>
          <w:szCs w:val="32"/>
        </w:rPr>
      </w:pPr>
      <w:r>
        <w:rPr>
          <w:rFonts w:ascii="黑体" w:eastAsia="黑体" w:cs="黑体"/>
          <w:color w:val="000000"/>
          <w:kern w:val="0"/>
          <w:sz w:val="70"/>
          <w:szCs w:val="70"/>
        </w:rPr>
        <w:br w:type="page"/>
      </w:r>
    </w:p>
    <w:p>
      <w:pPr>
        <w:ind w:firstLine="640" w:firstLineChars="200"/>
        <w:rPr>
          <w:rFonts w:ascii="宋体" w:cs="黑体"/>
          <w:color w:val="000000"/>
          <w:kern w:val="0"/>
          <w:sz w:val="32"/>
          <w:szCs w:val="32"/>
        </w:rPr>
      </w:pPr>
      <w:r>
        <w:rPr>
          <w:rFonts w:hint="eastAsia" w:ascii="黑体" w:hAnsi="黑体" w:eastAsia="黑体" w:cs="黑体"/>
          <w:b/>
          <w:color w:val="000000"/>
          <w:kern w:val="0"/>
          <w:sz w:val="32"/>
          <w:szCs w:val="32"/>
        </w:rPr>
        <w:t>一、财政拨款收入：</w:t>
      </w:r>
      <w:r>
        <w:rPr>
          <w:rFonts w:hint="eastAsia" w:ascii="宋体" w:hAnsi="宋体" w:cs="黑体"/>
          <w:color w:val="000000"/>
          <w:kern w:val="0"/>
          <w:sz w:val="32"/>
          <w:szCs w:val="32"/>
        </w:rPr>
        <w:t>指单位从同级财政部门取得的财政预算资金。</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二、事业收入：</w:t>
      </w:r>
      <w:r>
        <w:rPr>
          <w:rFonts w:hint="eastAsia" w:ascii="宋体" w:cs="黑体"/>
          <w:color w:val="000000"/>
          <w:kern w:val="0"/>
          <w:sz w:val="32"/>
          <w:szCs w:val="32"/>
        </w:rPr>
        <w:t>是指事业单位开展专业活动及辅助活动所取得的收入。</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三、其他收入：</w:t>
      </w:r>
      <w:r>
        <w:rPr>
          <w:rFonts w:hint="eastAsia" w:ascii="宋体" w:cs="黑体"/>
          <w:color w:val="000000"/>
          <w:kern w:val="0"/>
          <w:sz w:val="32"/>
          <w:szCs w:val="32"/>
        </w:rPr>
        <w:t>是指单位取得的除“财政拨款”、“事业收入”、“事业单位经营收入”等以外的收入。</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四、用事业基金弥补收支差额：</w:t>
      </w:r>
      <w:r>
        <w:rPr>
          <w:rFonts w:hint="eastAsia" w:ascii="宋体" w:cs="黑体"/>
          <w:color w:val="000000"/>
          <w:kern w:val="0"/>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五、上年结转和结余：</w:t>
      </w:r>
      <w:r>
        <w:rPr>
          <w:rFonts w:hint="eastAsia" w:ascii="宋体" w:cs="黑体"/>
          <w:color w:val="000000"/>
          <w:kern w:val="0"/>
          <w:sz w:val="32"/>
          <w:szCs w:val="32"/>
        </w:rPr>
        <w:t>是指以前年度支出预算因客观条件变化未执行完毕、结转到本年度按有关规定继续使用的资金，既包括财政拨款结转和结余，也包括事业收入、经营收入、其他收入的结转和结余。</w:t>
      </w:r>
    </w:p>
    <w:p>
      <w:pPr>
        <w:pStyle w:val="11"/>
        <w:ind w:firstLine="640" w:firstLineChars="200"/>
        <w:jc w:val="both"/>
        <w:rPr>
          <w:rFonts w:ascii="宋体" w:hAnsi="宋体" w:eastAsia="宋体"/>
          <w:sz w:val="32"/>
          <w:szCs w:val="32"/>
        </w:rPr>
      </w:pPr>
      <w:r>
        <w:rPr>
          <w:rFonts w:hint="eastAsia" w:hAnsi="黑体"/>
          <w:b/>
          <w:sz w:val="32"/>
          <w:szCs w:val="32"/>
        </w:rPr>
        <w:t>六、基本支出：</w:t>
      </w:r>
      <w:r>
        <w:rPr>
          <w:rFonts w:hint="eastAsia" w:ascii="宋体" w:hAnsi="宋体" w:eastAsia="宋体"/>
          <w:sz w:val="32"/>
          <w:szCs w:val="32"/>
        </w:rPr>
        <w:t>指单位为保障其机构正常运转、完成日常工作任务而发生的人员支出和公用支出。</w:t>
      </w:r>
    </w:p>
    <w:p>
      <w:pPr>
        <w:pStyle w:val="11"/>
        <w:ind w:firstLine="640" w:firstLineChars="200"/>
        <w:jc w:val="both"/>
        <w:rPr>
          <w:rFonts w:ascii="宋体" w:hAnsi="宋体" w:eastAsia="宋体"/>
          <w:sz w:val="32"/>
          <w:szCs w:val="32"/>
        </w:rPr>
      </w:pPr>
      <w:r>
        <w:rPr>
          <w:rFonts w:hint="eastAsia" w:hAnsi="黑体"/>
          <w:b/>
          <w:sz w:val="32"/>
          <w:szCs w:val="32"/>
        </w:rPr>
        <w:t>七、项目支出：</w:t>
      </w:r>
      <w:r>
        <w:rPr>
          <w:rFonts w:hint="eastAsia" w:ascii="宋体" w:hAnsi="宋体" w:eastAsia="宋体"/>
          <w:sz w:val="32"/>
          <w:szCs w:val="32"/>
        </w:rPr>
        <w:t>指单位在基本支出之外为完成特定行政任务或事业发展目标所发生的支出。</w:t>
      </w:r>
    </w:p>
    <w:p>
      <w:pPr>
        <w:pStyle w:val="11"/>
        <w:ind w:firstLine="640" w:firstLineChars="200"/>
        <w:jc w:val="both"/>
        <w:rPr>
          <w:rFonts w:ascii="宋体" w:hAnsi="宋体" w:eastAsia="宋体"/>
          <w:sz w:val="32"/>
          <w:szCs w:val="32"/>
        </w:rPr>
      </w:pPr>
      <w:r>
        <w:rPr>
          <w:rFonts w:hint="eastAsia" w:hAnsi="黑体"/>
          <w:b/>
          <w:sz w:val="32"/>
          <w:szCs w:val="32"/>
        </w:rPr>
        <w:t>八、“三公”经费：</w:t>
      </w:r>
      <w:r>
        <w:rPr>
          <w:rFonts w:hint="eastAsia" w:ascii="宋体" w:hAnsi="宋体" w:eastAsia="宋体"/>
          <w:sz w:val="32"/>
          <w:szCs w:val="32"/>
        </w:rPr>
        <w:t>纳入财政预决算管理的“三公”经费，是指单位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40" w:firstLineChars="200"/>
        <w:jc w:val="left"/>
        <w:rPr>
          <w:rFonts w:ascii="宋体" w:cs="黑体"/>
          <w:color w:val="000000"/>
          <w:kern w:val="0"/>
          <w:sz w:val="32"/>
          <w:szCs w:val="32"/>
        </w:rPr>
      </w:pPr>
      <w:r>
        <w:rPr>
          <w:rFonts w:hint="eastAsia" w:ascii="黑体" w:hAnsi="黑体" w:eastAsia="黑体"/>
          <w:b/>
          <w:sz w:val="32"/>
          <w:szCs w:val="32"/>
        </w:rPr>
        <w:t>九、机关运行经费：</w:t>
      </w:r>
      <w:r>
        <w:rPr>
          <w:rFonts w:hint="eastAsia" w:ascii="宋体" w:hAnsi="宋体"/>
          <w:sz w:val="32"/>
          <w:szCs w:val="32"/>
        </w:rPr>
        <w:t>填列行政单位和参照公务员法管理的事业单位使用一般公共预算财政拨款安排的基本支出中的日常公用经费支出。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宋体" w:cs="黑体"/>
          <w:color w:val="000000"/>
          <w:kern w:val="0"/>
          <w:sz w:val="32"/>
          <w:szCs w:val="32"/>
        </w:rPr>
        <w:t>六、基本支出：是指单位为保障机构正常运转，完成日常工作任务而发生的各项支出，其内容包括人员经费和日常公用经费两部分。</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十、工资福利支出：</w:t>
      </w:r>
      <w:r>
        <w:rPr>
          <w:rFonts w:hint="eastAsia" w:ascii="宋体" w:cs="黑体"/>
          <w:color w:val="000000"/>
          <w:kern w:val="0"/>
          <w:sz w:val="32"/>
          <w:szCs w:val="32"/>
        </w:rPr>
        <w:t>是指单位开支的在职职工和编外长期聘用人员的各类劳动报酬，以及为上述人员缴纳的各项社会保险费。</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十一、商品服务支出：</w:t>
      </w:r>
      <w:r>
        <w:rPr>
          <w:rFonts w:hint="eastAsia" w:ascii="宋体" w:cs="黑体"/>
          <w:color w:val="000000"/>
          <w:kern w:val="0"/>
          <w:sz w:val="32"/>
          <w:szCs w:val="32"/>
        </w:rPr>
        <w:t>是指单位购买商品和服务的支出（不包括用于购置固定资产的支出、战略性和应急储备支出）。</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十二、对个人和家庭的补助：</w:t>
      </w:r>
      <w:r>
        <w:rPr>
          <w:rFonts w:hint="eastAsia" w:ascii="宋体" w:cs="黑体"/>
          <w:color w:val="000000"/>
          <w:kern w:val="0"/>
          <w:sz w:val="32"/>
          <w:szCs w:val="32"/>
        </w:rPr>
        <w:t>是指政府用于对个人和家庭的补助支出。</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十三、一般公共服务（类）纪检监察事务（款）行政运行（项）</w:t>
      </w:r>
      <w:r>
        <w:rPr>
          <w:rFonts w:hint="eastAsia" w:ascii="宋体" w:cs="黑体"/>
          <w:color w:val="000000"/>
          <w:kern w:val="0"/>
          <w:sz w:val="32"/>
          <w:szCs w:val="32"/>
        </w:rPr>
        <w:t>：反映行政单位（包括实行公务员管理的事业单位）的基本支出。</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十四、一般公共服务（类）纪检监察事务（款）一般行政管理事务（项）：</w:t>
      </w:r>
      <w:r>
        <w:rPr>
          <w:rFonts w:hint="eastAsia" w:ascii="宋体" w:cs="黑体"/>
          <w:color w:val="000000"/>
          <w:kern w:val="0"/>
          <w:sz w:val="32"/>
          <w:szCs w:val="32"/>
        </w:rPr>
        <w:t>反映行政单位（包括实行公务员管理的事业单位）未单独设置项级科目的其他项目支出。</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十五、一般公共服务（类）纪检监察事务（款）大案要案查处（项）：</w:t>
      </w:r>
      <w:r>
        <w:rPr>
          <w:rFonts w:hint="eastAsia" w:ascii="宋体" w:cs="黑体"/>
          <w:color w:val="000000"/>
          <w:kern w:val="0"/>
          <w:sz w:val="32"/>
          <w:szCs w:val="32"/>
        </w:rPr>
        <w:t>反映查处大要（专）案的支出。</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十六、一般公共服务（类）纪检监察事务（款）派驻派出机构（项）：</w:t>
      </w:r>
      <w:r>
        <w:rPr>
          <w:rFonts w:hint="eastAsia" w:ascii="宋体" w:cs="黑体"/>
          <w:color w:val="000000"/>
          <w:kern w:val="0"/>
          <w:sz w:val="32"/>
          <w:szCs w:val="32"/>
        </w:rPr>
        <w:t>反映由纪检监察部门负担的派驻各部门和单位的纪检监察人员的专项业务支出。</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十七、一般公共服务（类）纪检监察事务（款）事业运行（项）：</w:t>
      </w:r>
      <w:r>
        <w:rPr>
          <w:rFonts w:hint="eastAsia" w:ascii="宋体" w:cs="黑体"/>
          <w:color w:val="000000"/>
          <w:kern w:val="0"/>
          <w:sz w:val="32"/>
          <w:szCs w:val="32"/>
        </w:rPr>
        <w:t>反映事业单位的基本支出，不包括行政单位（包括实行公务员管理的事业单位）后勤服务中心、医务室等附属事业单位。</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十八、一般公共服务（类）纪检监察事务（款）其他纪检监察事务支出（项）：</w:t>
      </w:r>
      <w:r>
        <w:rPr>
          <w:rFonts w:hint="eastAsia" w:ascii="宋体" w:cs="黑体"/>
          <w:color w:val="000000"/>
          <w:kern w:val="0"/>
          <w:sz w:val="32"/>
          <w:szCs w:val="32"/>
        </w:rPr>
        <w:t>反映除上述项目以外其他纪检监察事务方面的支出。</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十九、社会保障和就业支出（类）行政事业单位离退休（款）机关事业单位基本养老保险缴费支出（项）：</w:t>
      </w:r>
      <w:r>
        <w:rPr>
          <w:rFonts w:hint="eastAsia" w:ascii="宋体" w:cs="黑体"/>
          <w:color w:val="000000"/>
          <w:kern w:val="0"/>
          <w:sz w:val="32"/>
          <w:szCs w:val="32"/>
        </w:rPr>
        <w:t>反映机关事业单位实施养老保险制度由单位缴纳的基本养老保险费支出。</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二十、医疗卫生和计划生育支出（类）行政事业单位医疗（款）行政单位医疗（项）：</w:t>
      </w:r>
      <w:r>
        <w:rPr>
          <w:rFonts w:hint="eastAsia" w:ascii="宋体" w:cs="黑体"/>
          <w:color w:val="000000"/>
          <w:kern w:val="0"/>
          <w:sz w:val="32"/>
          <w:szCs w:val="32"/>
        </w:rPr>
        <w:t>反映财政部门集中安排的行政单位（包括实行公务员管理的事业单位）基本医疗保险缴费经费，未参加医疗保险的行政单位的公费医疗保险经费，按国家规定享受离休人员、红军老战士待遇人员的医疗经费。</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二十一、卫生健康支出（类）财政对基本医疗保险基金的补助（款）财政对其他基本医疗保险基金的补助（项）：</w:t>
      </w:r>
      <w:r>
        <w:rPr>
          <w:rFonts w:hint="eastAsia" w:ascii="宋体" w:cs="黑体"/>
          <w:color w:val="000000"/>
          <w:kern w:val="0"/>
          <w:sz w:val="32"/>
          <w:szCs w:val="32"/>
        </w:rPr>
        <w:t>反映财政对其他基本医疗保险基金的补助支出。</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二十二、住房保障支出（类）住房改革支出（款）住房公积金（项）：</w:t>
      </w:r>
      <w:r>
        <w:rPr>
          <w:rFonts w:hint="eastAsia" w:ascii="宋体" w:cs="黑体"/>
          <w:color w:val="000000"/>
          <w:kern w:val="0"/>
          <w:sz w:val="32"/>
          <w:szCs w:val="32"/>
        </w:rPr>
        <w:t>反映行政事业单位按人力资源和社会保障部、财政部规定的基本工资和津贴补贴以及规定比例为职工缴纳的住房公积金。</w:t>
      </w:r>
    </w:p>
    <w:p>
      <w:pPr>
        <w:ind w:firstLine="640" w:firstLineChars="200"/>
        <w:jc w:val="left"/>
        <w:rPr>
          <w:rFonts w:ascii="宋体" w:cs="黑体"/>
          <w:color w:val="000000"/>
          <w:kern w:val="0"/>
          <w:sz w:val="32"/>
          <w:szCs w:val="32"/>
        </w:rPr>
      </w:pPr>
      <w:r>
        <w:rPr>
          <w:rFonts w:hint="eastAsia" w:ascii="黑体" w:hAnsi="黑体" w:eastAsia="黑体" w:cs="黑体"/>
          <w:b/>
          <w:color w:val="000000"/>
          <w:kern w:val="0"/>
          <w:sz w:val="32"/>
          <w:szCs w:val="32"/>
        </w:rPr>
        <w:t>二十三、其他支出（类）其他支出（款）其他支出（项）：</w:t>
      </w:r>
      <w:r>
        <w:rPr>
          <w:rFonts w:hint="eastAsia" w:ascii="宋体" w:cs="黑体"/>
          <w:color w:val="000000"/>
          <w:kern w:val="0"/>
          <w:sz w:val="32"/>
          <w:szCs w:val="32"/>
        </w:rPr>
        <w:t>反映除上述项目以外其他不能划分到具体功能科目中的支出项目。</w:t>
      </w:r>
    </w:p>
    <w:p>
      <w:pPr>
        <w:rPr>
          <w:rFonts w:ascii="黑体" w:hAnsi="黑体" w:eastAsia="黑体" w:cs="黑体"/>
          <w:b/>
          <w:color w:val="000000"/>
          <w:kern w:val="0"/>
          <w:sz w:val="32"/>
          <w:szCs w:val="3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jc w:val="center"/>
        <w:rPr>
          <w:sz w:val="72"/>
          <w:szCs w:val="72"/>
        </w:rPr>
      </w:pPr>
      <w:r>
        <w:rPr>
          <w:rFonts w:hint="eastAsia"/>
          <w:sz w:val="72"/>
          <w:szCs w:val="72"/>
        </w:rPr>
        <w:t>第五部分</w:t>
      </w:r>
    </w:p>
    <w:p>
      <w:pPr>
        <w:jc w:val="center"/>
        <w:rPr>
          <w:sz w:val="72"/>
          <w:szCs w:val="72"/>
        </w:rPr>
      </w:pPr>
    </w:p>
    <w:p>
      <w:pPr>
        <w:jc w:val="center"/>
        <w:rPr>
          <w:sz w:val="72"/>
          <w:szCs w:val="72"/>
        </w:rPr>
      </w:pPr>
      <w:r>
        <w:rPr>
          <w:rFonts w:hint="eastAsia"/>
          <w:sz w:val="72"/>
          <w:szCs w:val="72"/>
        </w:rPr>
        <w:t>附件</w:t>
      </w: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ind w:firstLine="640" w:firstLineChars="200"/>
        <w:jc w:val="left"/>
        <w:rPr>
          <w:rFonts w:ascii="宋体" w:cs="黑体"/>
          <w:color w:val="000000"/>
          <w:kern w:val="0"/>
          <w:sz w:val="32"/>
          <w:szCs w:val="32"/>
        </w:rPr>
      </w:pPr>
      <w:r>
        <w:rPr>
          <w:rFonts w:ascii="宋体" w:hAnsi="宋体" w:cs="黑体"/>
          <w:b/>
          <w:color w:val="000000"/>
          <w:kern w:val="0"/>
          <w:sz w:val="32"/>
          <w:szCs w:val="32"/>
        </w:rPr>
        <w:t>2020</w:t>
      </w:r>
      <w:r>
        <w:rPr>
          <w:rFonts w:hint="eastAsia" w:ascii="宋体" w:hAnsi="宋体" w:cs="黑体"/>
          <w:b/>
          <w:color w:val="000000"/>
          <w:kern w:val="0"/>
          <w:sz w:val="32"/>
          <w:szCs w:val="32"/>
        </w:rPr>
        <w:t>年度部门整体支出绩效评价报告</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一、基本情况</w:t>
      </w:r>
    </w:p>
    <w:p>
      <w:pPr>
        <w:ind w:firstLine="640" w:firstLineChars="200"/>
        <w:jc w:val="left"/>
        <w:rPr>
          <w:rFonts w:ascii="宋体" w:cs="黑体"/>
          <w:b/>
          <w:color w:val="000000"/>
          <w:kern w:val="0"/>
          <w:sz w:val="32"/>
          <w:szCs w:val="32"/>
        </w:rPr>
      </w:pPr>
      <w:r>
        <w:rPr>
          <w:rFonts w:hint="eastAsia" w:ascii="宋体" w:cs="黑体"/>
          <w:b/>
          <w:color w:val="000000"/>
          <w:kern w:val="0"/>
          <w:sz w:val="32"/>
          <w:szCs w:val="32"/>
        </w:rPr>
        <w:t>（一）部门（单位）基本情况</w:t>
      </w:r>
    </w:p>
    <w:p>
      <w:pPr>
        <w:ind w:firstLine="640" w:firstLineChars="200"/>
        <w:jc w:val="left"/>
        <w:rPr>
          <w:rFonts w:ascii="宋体" w:cs="黑体"/>
          <w:b/>
          <w:color w:val="000000"/>
          <w:kern w:val="0"/>
          <w:sz w:val="32"/>
          <w:szCs w:val="32"/>
        </w:rPr>
      </w:pPr>
      <w:r>
        <w:rPr>
          <w:rFonts w:hint="eastAsia" w:ascii="宋体" w:cs="黑体"/>
          <w:color w:val="000000"/>
          <w:kern w:val="0"/>
          <w:sz w:val="32"/>
          <w:szCs w:val="32"/>
        </w:rPr>
        <w:t>区纪委监委是主管全区纪检监察工作的党政机关，属财政全额拨款、财政一级预算单位。内设办公室、信访室、第一纪检监察室、第二纪检监察室、第三纪检监察室、党风政风监督室、案件审理室等部门，并下设谈话点管理中心。另外，纳入人财物管理的有派驻区委办纪检监察组、区政府办纪检监察组、区政法委纪检监察组、区财政局纪检监察组、区住建局纪检监察组、区农业农村局纪检监察组等</w:t>
      </w:r>
      <w:r>
        <w:rPr>
          <w:rFonts w:ascii="宋体" w:cs="黑体"/>
          <w:color w:val="000000"/>
          <w:kern w:val="0"/>
          <w:sz w:val="32"/>
          <w:szCs w:val="32"/>
        </w:rPr>
        <w:t>6</w:t>
      </w:r>
      <w:r>
        <w:rPr>
          <w:rFonts w:hint="eastAsia" w:ascii="宋体" w:cs="黑体"/>
          <w:color w:val="000000"/>
          <w:kern w:val="0"/>
          <w:sz w:val="32"/>
          <w:szCs w:val="32"/>
        </w:rPr>
        <w:t>个派驻纪检监察组，以及区委巡察办、区委第一、第二巡察组等</w:t>
      </w:r>
      <w:r>
        <w:rPr>
          <w:rFonts w:ascii="宋体" w:cs="黑体"/>
          <w:color w:val="000000"/>
          <w:kern w:val="0"/>
          <w:sz w:val="32"/>
          <w:szCs w:val="32"/>
        </w:rPr>
        <w:t>3</w:t>
      </w:r>
      <w:r>
        <w:rPr>
          <w:rFonts w:hint="eastAsia" w:ascii="宋体" w:cs="黑体"/>
          <w:color w:val="000000"/>
          <w:kern w:val="0"/>
          <w:sz w:val="32"/>
          <w:szCs w:val="32"/>
        </w:rPr>
        <w:t>个巡察机构。</w:t>
      </w:r>
      <w:r>
        <w:rPr>
          <w:rFonts w:ascii="宋体" w:cs="黑体"/>
          <w:color w:val="000000"/>
          <w:kern w:val="0"/>
          <w:sz w:val="32"/>
          <w:szCs w:val="32"/>
        </w:rPr>
        <w:t>2020</w:t>
      </w:r>
      <w:r>
        <w:rPr>
          <w:rFonts w:hint="eastAsia" w:ascii="宋体" w:cs="黑体"/>
          <w:color w:val="000000"/>
          <w:kern w:val="0"/>
          <w:sz w:val="32"/>
          <w:szCs w:val="32"/>
        </w:rPr>
        <w:t>年度编制数</w:t>
      </w:r>
      <w:r>
        <w:rPr>
          <w:rFonts w:ascii="宋体" w:cs="黑体"/>
          <w:color w:val="000000"/>
          <w:kern w:val="0"/>
          <w:sz w:val="32"/>
          <w:szCs w:val="32"/>
        </w:rPr>
        <w:t>51</w:t>
      </w:r>
      <w:r>
        <w:rPr>
          <w:rFonts w:hint="eastAsia" w:ascii="宋体" w:cs="黑体"/>
          <w:color w:val="000000"/>
          <w:kern w:val="0"/>
          <w:sz w:val="32"/>
          <w:szCs w:val="32"/>
        </w:rPr>
        <w:t>，年末实有人数</w:t>
      </w:r>
      <w:r>
        <w:rPr>
          <w:rFonts w:ascii="宋体" w:cs="黑体"/>
          <w:color w:val="000000"/>
          <w:kern w:val="0"/>
          <w:sz w:val="32"/>
          <w:szCs w:val="32"/>
        </w:rPr>
        <w:t>48</w:t>
      </w:r>
      <w:r>
        <w:rPr>
          <w:rFonts w:hint="eastAsia" w:ascii="宋体" w:cs="黑体"/>
          <w:color w:val="000000"/>
          <w:kern w:val="0"/>
          <w:sz w:val="32"/>
          <w:szCs w:val="32"/>
        </w:rPr>
        <w:t>人，年末人员编制数及实有人数较上年无变化。</w:t>
      </w:r>
      <w:r>
        <w:rPr>
          <w:rFonts w:ascii="宋体" w:cs="黑体"/>
          <w:color w:val="000000"/>
          <w:kern w:val="0"/>
          <w:sz w:val="32"/>
          <w:szCs w:val="32"/>
        </w:rPr>
        <w:t>2020</w:t>
      </w:r>
      <w:r>
        <w:rPr>
          <w:rFonts w:hint="eastAsia" w:ascii="宋体" w:cs="黑体"/>
          <w:color w:val="000000"/>
          <w:kern w:val="0"/>
          <w:sz w:val="32"/>
          <w:szCs w:val="32"/>
        </w:rPr>
        <w:t>年，区纪委监委坚持以纪律审查、监察调查、纪检监察信息宣传等工作为重点，各项工作均取得了较好成绩。</w:t>
      </w:r>
    </w:p>
    <w:p>
      <w:pPr>
        <w:ind w:firstLine="640" w:firstLineChars="200"/>
        <w:jc w:val="left"/>
        <w:rPr>
          <w:rFonts w:ascii="宋体" w:cs="黑体"/>
          <w:b/>
          <w:color w:val="000000"/>
          <w:kern w:val="0"/>
          <w:sz w:val="32"/>
          <w:szCs w:val="32"/>
        </w:rPr>
      </w:pPr>
      <w:r>
        <w:rPr>
          <w:rFonts w:hint="eastAsia" w:ascii="宋体" w:cs="黑体"/>
          <w:b/>
          <w:color w:val="000000"/>
          <w:kern w:val="0"/>
          <w:sz w:val="32"/>
          <w:szCs w:val="32"/>
        </w:rPr>
        <w:t>（二）部门（单位）年度整体支出绩效目标，区级专项资金绩效目标、其他项目支出（除区级专项资金以外）绩效目标</w:t>
      </w:r>
    </w:p>
    <w:p>
      <w:pPr>
        <w:ind w:firstLine="640" w:firstLineChars="200"/>
        <w:jc w:val="left"/>
        <w:rPr>
          <w:rFonts w:ascii="宋体" w:cs="黑体"/>
          <w:b/>
          <w:color w:val="000000"/>
          <w:kern w:val="0"/>
          <w:sz w:val="32"/>
          <w:szCs w:val="32"/>
        </w:rPr>
      </w:pPr>
      <w:r>
        <w:rPr>
          <w:rFonts w:ascii="宋体" w:cs="黑体"/>
          <w:color w:val="000000"/>
          <w:kern w:val="0"/>
          <w:sz w:val="32"/>
          <w:szCs w:val="32"/>
        </w:rPr>
        <w:t>2020</w:t>
      </w:r>
      <w:r>
        <w:rPr>
          <w:rFonts w:hint="eastAsia" w:ascii="宋体" w:cs="黑体"/>
          <w:color w:val="000000"/>
          <w:kern w:val="0"/>
          <w:sz w:val="32"/>
          <w:szCs w:val="32"/>
        </w:rPr>
        <w:t>年度预算整体总支出</w:t>
      </w:r>
      <w:r>
        <w:rPr>
          <w:rFonts w:ascii="宋体" w:cs="黑体"/>
          <w:color w:val="000000"/>
          <w:kern w:val="0"/>
          <w:sz w:val="32"/>
          <w:szCs w:val="32"/>
        </w:rPr>
        <w:t>1360.55</w:t>
      </w:r>
      <w:r>
        <w:rPr>
          <w:rFonts w:hint="eastAsia" w:ascii="宋体" w:cs="黑体"/>
          <w:color w:val="000000"/>
          <w:kern w:val="0"/>
          <w:sz w:val="32"/>
          <w:szCs w:val="32"/>
        </w:rPr>
        <w:t>万元，其中，基本支出</w:t>
      </w:r>
      <w:r>
        <w:rPr>
          <w:rFonts w:ascii="宋体" w:cs="黑体"/>
          <w:color w:val="000000"/>
          <w:kern w:val="0"/>
          <w:sz w:val="32"/>
          <w:szCs w:val="32"/>
        </w:rPr>
        <w:t>1170.55</w:t>
      </w:r>
      <w:r>
        <w:rPr>
          <w:rFonts w:hint="eastAsia" w:ascii="宋体" w:cs="黑体"/>
          <w:color w:val="000000"/>
          <w:kern w:val="0"/>
          <w:sz w:val="32"/>
          <w:szCs w:val="32"/>
        </w:rPr>
        <w:t>万元，项目支出</w:t>
      </w:r>
      <w:r>
        <w:rPr>
          <w:rFonts w:ascii="宋体" w:cs="黑体"/>
          <w:color w:val="000000"/>
          <w:kern w:val="0"/>
          <w:sz w:val="32"/>
          <w:szCs w:val="32"/>
        </w:rPr>
        <w:t>190</w:t>
      </w:r>
      <w:r>
        <w:rPr>
          <w:rFonts w:hint="eastAsia" w:ascii="宋体" w:cs="黑体"/>
          <w:color w:val="000000"/>
          <w:kern w:val="0"/>
          <w:sz w:val="32"/>
          <w:szCs w:val="32"/>
        </w:rPr>
        <w:t>万元。</w:t>
      </w:r>
      <w:r>
        <w:rPr>
          <w:rFonts w:ascii="宋体" w:cs="黑体"/>
          <w:color w:val="000000"/>
          <w:kern w:val="0"/>
          <w:sz w:val="32"/>
          <w:szCs w:val="32"/>
        </w:rPr>
        <w:t>2020</w:t>
      </w:r>
      <w:r>
        <w:rPr>
          <w:rFonts w:hint="eastAsia" w:ascii="宋体" w:cs="黑体"/>
          <w:color w:val="000000"/>
          <w:kern w:val="0"/>
          <w:sz w:val="32"/>
          <w:szCs w:val="32"/>
        </w:rPr>
        <w:t>年度一般公共预算财政拨款预算支出</w:t>
      </w:r>
      <w:r>
        <w:rPr>
          <w:rFonts w:ascii="宋体" w:cs="黑体"/>
          <w:color w:val="000000"/>
          <w:kern w:val="0"/>
          <w:sz w:val="32"/>
          <w:szCs w:val="32"/>
        </w:rPr>
        <w:t>758.57</w:t>
      </w:r>
      <w:r>
        <w:rPr>
          <w:rFonts w:hint="eastAsia" w:ascii="宋体" w:cs="黑体"/>
          <w:color w:val="000000"/>
          <w:kern w:val="0"/>
          <w:sz w:val="32"/>
          <w:szCs w:val="32"/>
        </w:rPr>
        <w:t>万元，其中基本支出</w:t>
      </w:r>
      <w:r>
        <w:rPr>
          <w:rFonts w:ascii="宋体" w:cs="黑体"/>
          <w:color w:val="000000"/>
          <w:kern w:val="0"/>
          <w:sz w:val="32"/>
          <w:szCs w:val="32"/>
        </w:rPr>
        <w:t>618.57</w:t>
      </w:r>
      <w:r>
        <w:rPr>
          <w:rFonts w:hint="eastAsia" w:ascii="宋体" w:cs="黑体"/>
          <w:color w:val="000000"/>
          <w:kern w:val="0"/>
          <w:sz w:val="32"/>
          <w:szCs w:val="32"/>
        </w:rPr>
        <w:t>万元，项目支出</w:t>
      </w:r>
      <w:r>
        <w:rPr>
          <w:rFonts w:ascii="宋体" w:cs="黑体"/>
          <w:color w:val="000000"/>
          <w:kern w:val="0"/>
          <w:sz w:val="32"/>
          <w:szCs w:val="32"/>
        </w:rPr>
        <w:t>140</w:t>
      </w:r>
      <w:r>
        <w:rPr>
          <w:rFonts w:hint="eastAsia" w:ascii="宋体" w:cs="黑体"/>
          <w:color w:val="000000"/>
          <w:kern w:val="0"/>
          <w:sz w:val="32"/>
          <w:szCs w:val="32"/>
        </w:rPr>
        <w:t>万元。</w:t>
      </w:r>
      <w:r>
        <w:rPr>
          <w:rFonts w:ascii="宋体" w:cs="黑体"/>
          <w:color w:val="000000"/>
          <w:kern w:val="0"/>
          <w:sz w:val="32"/>
          <w:szCs w:val="32"/>
        </w:rPr>
        <w:t>2020</w:t>
      </w:r>
      <w:r>
        <w:rPr>
          <w:rFonts w:hint="eastAsia" w:ascii="宋体" w:cs="黑体"/>
          <w:color w:val="000000"/>
          <w:kern w:val="0"/>
          <w:sz w:val="32"/>
          <w:szCs w:val="32"/>
        </w:rPr>
        <w:t>年度决算整体总支出</w:t>
      </w:r>
      <w:r>
        <w:rPr>
          <w:rFonts w:ascii="宋体" w:cs="黑体"/>
          <w:color w:val="000000"/>
          <w:kern w:val="0"/>
          <w:sz w:val="32"/>
          <w:szCs w:val="32"/>
        </w:rPr>
        <w:t>1246.24</w:t>
      </w:r>
      <w:r>
        <w:rPr>
          <w:rFonts w:hint="eastAsia" w:ascii="宋体" w:cs="黑体"/>
          <w:color w:val="000000"/>
          <w:kern w:val="0"/>
          <w:sz w:val="32"/>
          <w:szCs w:val="32"/>
        </w:rPr>
        <w:t>万元，其中，基本支出</w:t>
      </w:r>
      <w:r>
        <w:rPr>
          <w:rFonts w:ascii="宋体" w:cs="黑体"/>
          <w:color w:val="000000"/>
          <w:kern w:val="0"/>
          <w:sz w:val="32"/>
          <w:szCs w:val="32"/>
        </w:rPr>
        <w:t>932.01</w:t>
      </w:r>
      <w:r>
        <w:rPr>
          <w:rFonts w:hint="eastAsia" w:ascii="宋体" w:cs="黑体"/>
          <w:color w:val="000000"/>
          <w:kern w:val="0"/>
          <w:sz w:val="32"/>
          <w:szCs w:val="32"/>
        </w:rPr>
        <w:t>万元，项目支出</w:t>
      </w:r>
      <w:r>
        <w:rPr>
          <w:rFonts w:ascii="宋体" w:cs="黑体"/>
          <w:color w:val="000000"/>
          <w:kern w:val="0"/>
          <w:sz w:val="32"/>
          <w:szCs w:val="32"/>
        </w:rPr>
        <w:t>314.23</w:t>
      </w:r>
      <w:r>
        <w:rPr>
          <w:rFonts w:hint="eastAsia" w:ascii="宋体" w:cs="黑体"/>
          <w:color w:val="000000"/>
          <w:kern w:val="0"/>
          <w:sz w:val="32"/>
          <w:szCs w:val="32"/>
        </w:rPr>
        <w:t>万元。</w:t>
      </w:r>
      <w:r>
        <w:rPr>
          <w:rFonts w:ascii="宋体" w:cs="黑体"/>
          <w:color w:val="000000"/>
          <w:kern w:val="0"/>
          <w:sz w:val="32"/>
          <w:szCs w:val="32"/>
        </w:rPr>
        <w:t>2020</w:t>
      </w:r>
      <w:r>
        <w:rPr>
          <w:rFonts w:hint="eastAsia" w:ascii="宋体" w:cs="黑体"/>
          <w:color w:val="000000"/>
          <w:kern w:val="0"/>
          <w:sz w:val="32"/>
          <w:szCs w:val="32"/>
        </w:rPr>
        <w:t>年度财政拨款决算支出</w:t>
      </w:r>
      <w:r>
        <w:rPr>
          <w:rFonts w:ascii="宋体" w:cs="黑体"/>
          <w:color w:val="000000"/>
          <w:kern w:val="0"/>
          <w:sz w:val="32"/>
          <w:szCs w:val="32"/>
        </w:rPr>
        <w:t>1233.11</w:t>
      </w:r>
      <w:r>
        <w:rPr>
          <w:rFonts w:hint="eastAsia" w:ascii="宋体" w:cs="黑体"/>
          <w:color w:val="000000"/>
          <w:kern w:val="0"/>
          <w:sz w:val="32"/>
          <w:szCs w:val="32"/>
        </w:rPr>
        <w:t>万元，其中基本支出</w:t>
      </w:r>
      <w:r>
        <w:rPr>
          <w:rFonts w:ascii="宋体" w:cs="黑体"/>
          <w:color w:val="000000"/>
          <w:kern w:val="0"/>
          <w:sz w:val="32"/>
          <w:szCs w:val="32"/>
        </w:rPr>
        <w:t>932.01</w:t>
      </w:r>
      <w:r>
        <w:rPr>
          <w:rFonts w:hint="eastAsia" w:ascii="宋体" w:cs="黑体"/>
          <w:color w:val="000000"/>
          <w:kern w:val="0"/>
          <w:sz w:val="32"/>
          <w:szCs w:val="32"/>
        </w:rPr>
        <w:t>万元，项目支出</w:t>
      </w:r>
      <w:r>
        <w:rPr>
          <w:rFonts w:ascii="宋体" w:cs="黑体"/>
          <w:color w:val="000000"/>
          <w:kern w:val="0"/>
          <w:sz w:val="32"/>
          <w:szCs w:val="32"/>
        </w:rPr>
        <w:t>301.10</w:t>
      </w:r>
      <w:r>
        <w:rPr>
          <w:rFonts w:hint="eastAsia" w:ascii="宋体" w:cs="黑体"/>
          <w:color w:val="000000"/>
          <w:kern w:val="0"/>
          <w:sz w:val="32"/>
          <w:szCs w:val="32"/>
        </w:rPr>
        <w:t>万元。主要用于本单位工资福利支出、商品和服务支出、对个人和家庭的补助支出、资本性支出、其他支出。</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二、一般公共预算支出情况</w:t>
      </w:r>
    </w:p>
    <w:p>
      <w:pPr>
        <w:ind w:firstLine="640" w:firstLineChars="200"/>
        <w:jc w:val="left"/>
        <w:rPr>
          <w:rFonts w:ascii="宋体" w:cs="黑体"/>
          <w:b/>
          <w:color w:val="000000"/>
          <w:kern w:val="0"/>
          <w:sz w:val="32"/>
          <w:szCs w:val="32"/>
        </w:rPr>
      </w:pPr>
      <w:r>
        <w:rPr>
          <w:rFonts w:hint="eastAsia" w:ascii="宋体" w:cs="黑体"/>
          <w:b/>
          <w:color w:val="000000"/>
          <w:kern w:val="0"/>
          <w:sz w:val="32"/>
          <w:szCs w:val="32"/>
        </w:rPr>
        <w:t>（一）基本支出情况</w:t>
      </w:r>
    </w:p>
    <w:p>
      <w:pPr>
        <w:ind w:firstLine="640" w:firstLineChars="200"/>
        <w:jc w:val="left"/>
        <w:rPr>
          <w:rFonts w:ascii="宋体" w:cs="黑体"/>
          <w:color w:val="000000"/>
          <w:kern w:val="0"/>
          <w:sz w:val="32"/>
          <w:szCs w:val="32"/>
        </w:rPr>
      </w:pPr>
      <w:r>
        <w:rPr>
          <w:rFonts w:ascii="宋体" w:cs="黑体"/>
          <w:color w:val="000000"/>
          <w:kern w:val="0"/>
          <w:sz w:val="32"/>
          <w:szCs w:val="32"/>
        </w:rPr>
        <w:t>2020</w:t>
      </w:r>
      <w:r>
        <w:rPr>
          <w:rFonts w:hint="eastAsia" w:ascii="宋体" w:cs="黑体"/>
          <w:color w:val="000000"/>
          <w:kern w:val="0"/>
          <w:sz w:val="32"/>
          <w:szCs w:val="32"/>
        </w:rPr>
        <w:t>年，区纪委监委本着节约支出、提高资金使用效率的原则，认真落实中央八项规定精神，强化预算管理及财务管理制度的执行力度。全年基本支出共</w:t>
      </w:r>
      <w:r>
        <w:rPr>
          <w:rFonts w:ascii="宋体" w:cs="黑体"/>
          <w:color w:val="000000"/>
          <w:kern w:val="0"/>
          <w:sz w:val="32"/>
          <w:szCs w:val="32"/>
        </w:rPr>
        <w:t>932.01</w:t>
      </w:r>
      <w:r>
        <w:rPr>
          <w:rFonts w:hint="eastAsia" w:ascii="宋体" w:cs="黑体"/>
          <w:color w:val="000000"/>
          <w:kern w:val="0"/>
          <w:sz w:val="32"/>
          <w:szCs w:val="32"/>
        </w:rPr>
        <w:t>万元，其中，工资福利支出</w:t>
      </w:r>
      <w:r>
        <w:rPr>
          <w:rFonts w:ascii="宋体" w:cs="黑体"/>
          <w:color w:val="000000"/>
          <w:kern w:val="0"/>
          <w:sz w:val="32"/>
          <w:szCs w:val="32"/>
        </w:rPr>
        <w:t>853.84</w:t>
      </w:r>
      <w:r>
        <w:rPr>
          <w:rFonts w:hint="eastAsia" w:ascii="宋体" w:cs="黑体"/>
          <w:color w:val="000000"/>
          <w:kern w:val="0"/>
          <w:sz w:val="32"/>
          <w:szCs w:val="32"/>
        </w:rPr>
        <w:t>万元，商品和服务支出</w:t>
      </w:r>
      <w:r>
        <w:rPr>
          <w:rFonts w:ascii="宋体" w:cs="黑体"/>
          <w:color w:val="000000"/>
          <w:kern w:val="0"/>
          <w:sz w:val="32"/>
          <w:szCs w:val="32"/>
        </w:rPr>
        <w:t>344.36</w:t>
      </w:r>
      <w:r>
        <w:rPr>
          <w:rFonts w:hint="eastAsia" w:ascii="宋体" w:cs="黑体"/>
          <w:color w:val="000000"/>
          <w:kern w:val="0"/>
          <w:sz w:val="32"/>
          <w:szCs w:val="32"/>
        </w:rPr>
        <w:t>万元。特别是加强了对</w:t>
      </w:r>
      <w:r>
        <w:rPr>
          <w:rFonts w:ascii="宋体" w:cs="黑体"/>
          <w:color w:val="000000"/>
          <w:kern w:val="0"/>
          <w:sz w:val="32"/>
          <w:szCs w:val="32"/>
        </w:rPr>
        <w:t>“</w:t>
      </w:r>
      <w:r>
        <w:rPr>
          <w:rFonts w:hint="eastAsia" w:ascii="宋体" w:cs="黑体"/>
          <w:color w:val="000000"/>
          <w:kern w:val="0"/>
          <w:sz w:val="32"/>
          <w:szCs w:val="32"/>
        </w:rPr>
        <w:t>三公</w:t>
      </w:r>
      <w:r>
        <w:rPr>
          <w:rFonts w:ascii="宋体" w:cs="黑体"/>
          <w:color w:val="000000"/>
          <w:kern w:val="0"/>
          <w:sz w:val="32"/>
          <w:szCs w:val="32"/>
        </w:rPr>
        <w:t>”</w:t>
      </w:r>
      <w:r>
        <w:rPr>
          <w:rFonts w:hint="eastAsia" w:ascii="宋体" w:cs="黑体"/>
          <w:color w:val="000000"/>
          <w:kern w:val="0"/>
          <w:sz w:val="32"/>
          <w:szCs w:val="32"/>
        </w:rPr>
        <w:t>经费的管控，全年</w:t>
      </w:r>
      <w:r>
        <w:rPr>
          <w:rFonts w:ascii="宋体" w:cs="黑体"/>
          <w:color w:val="000000"/>
          <w:kern w:val="0"/>
          <w:sz w:val="32"/>
          <w:szCs w:val="32"/>
        </w:rPr>
        <w:t>“</w:t>
      </w:r>
      <w:r>
        <w:rPr>
          <w:rFonts w:hint="eastAsia" w:ascii="宋体" w:cs="黑体"/>
          <w:color w:val="000000"/>
          <w:kern w:val="0"/>
          <w:sz w:val="32"/>
          <w:szCs w:val="32"/>
        </w:rPr>
        <w:t>三公</w:t>
      </w:r>
      <w:r>
        <w:rPr>
          <w:rFonts w:ascii="宋体" w:cs="黑体"/>
          <w:color w:val="000000"/>
          <w:kern w:val="0"/>
          <w:sz w:val="32"/>
          <w:szCs w:val="32"/>
        </w:rPr>
        <w:t>”</w:t>
      </w:r>
      <w:r>
        <w:rPr>
          <w:rFonts w:hint="eastAsia" w:ascii="宋体" w:cs="黑体"/>
          <w:color w:val="000000"/>
          <w:kern w:val="0"/>
          <w:sz w:val="32"/>
          <w:szCs w:val="32"/>
        </w:rPr>
        <w:t>经费支出</w:t>
      </w:r>
      <w:r>
        <w:rPr>
          <w:rFonts w:ascii="宋体" w:cs="黑体"/>
          <w:color w:val="000000"/>
          <w:kern w:val="0"/>
          <w:sz w:val="32"/>
          <w:szCs w:val="32"/>
        </w:rPr>
        <w:t>5.25</w:t>
      </w:r>
      <w:r>
        <w:rPr>
          <w:rFonts w:hint="eastAsia" w:ascii="宋体" w:cs="黑体"/>
          <w:color w:val="000000"/>
          <w:kern w:val="0"/>
          <w:sz w:val="32"/>
          <w:szCs w:val="32"/>
        </w:rPr>
        <w:t>万元，其中，公务用车运行维护费支出</w:t>
      </w:r>
      <w:r>
        <w:rPr>
          <w:rFonts w:ascii="宋体" w:cs="黑体"/>
          <w:color w:val="000000"/>
          <w:kern w:val="0"/>
          <w:sz w:val="32"/>
          <w:szCs w:val="32"/>
        </w:rPr>
        <w:t>2.45</w:t>
      </w:r>
      <w:r>
        <w:rPr>
          <w:rFonts w:hint="eastAsia" w:ascii="宋体" w:cs="黑体"/>
          <w:color w:val="000000"/>
          <w:kern w:val="0"/>
          <w:sz w:val="32"/>
          <w:szCs w:val="32"/>
        </w:rPr>
        <w:t>万元，公务接待费支出</w:t>
      </w:r>
      <w:r>
        <w:rPr>
          <w:rFonts w:ascii="宋体" w:cs="黑体"/>
          <w:color w:val="000000"/>
          <w:kern w:val="0"/>
          <w:sz w:val="32"/>
          <w:szCs w:val="32"/>
        </w:rPr>
        <w:t>2.80</w:t>
      </w:r>
      <w:r>
        <w:rPr>
          <w:rFonts w:hint="eastAsia" w:ascii="宋体" w:cs="黑体"/>
          <w:color w:val="000000"/>
          <w:kern w:val="0"/>
          <w:sz w:val="32"/>
          <w:szCs w:val="32"/>
        </w:rPr>
        <w:t>万元。</w:t>
      </w:r>
    </w:p>
    <w:p>
      <w:pPr>
        <w:ind w:firstLine="640" w:firstLineChars="200"/>
        <w:jc w:val="left"/>
        <w:rPr>
          <w:rFonts w:ascii="宋体" w:cs="黑体"/>
          <w:b/>
          <w:color w:val="000000"/>
          <w:kern w:val="0"/>
          <w:sz w:val="32"/>
          <w:szCs w:val="32"/>
        </w:rPr>
      </w:pPr>
      <w:r>
        <w:rPr>
          <w:rFonts w:hint="eastAsia" w:ascii="宋体" w:cs="黑体"/>
          <w:b/>
          <w:color w:val="000000"/>
          <w:kern w:val="0"/>
          <w:sz w:val="32"/>
          <w:szCs w:val="32"/>
        </w:rPr>
        <w:t>（二）项目支出情况</w:t>
      </w:r>
    </w:p>
    <w:p>
      <w:pPr>
        <w:ind w:firstLine="640" w:firstLineChars="200"/>
        <w:jc w:val="left"/>
        <w:rPr>
          <w:rFonts w:ascii="宋体" w:cs="黑体"/>
          <w:color w:val="000000"/>
          <w:kern w:val="0"/>
          <w:sz w:val="32"/>
          <w:szCs w:val="32"/>
        </w:rPr>
      </w:pPr>
      <w:r>
        <w:rPr>
          <w:rFonts w:ascii="宋体" w:cs="黑体"/>
          <w:color w:val="000000"/>
          <w:kern w:val="0"/>
          <w:sz w:val="32"/>
          <w:szCs w:val="32"/>
        </w:rPr>
        <w:t>1.</w:t>
      </w:r>
      <w:r>
        <w:rPr>
          <w:rFonts w:hint="eastAsia" w:ascii="宋体" w:cs="黑体"/>
          <w:color w:val="000000"/>
          <w:kern w:val="0"/>
          <w:sz w:val="32"/>
          <w:szCs w:val="32"/>
        </w:rPr>
        <w:t>无</w:t>
      </w:r>
      <w:r>
        <w:rPr>
          <w:rFonts w:ascii="宋体" w:cs="黑体"/>
          <w:color w:val="000000"/>
          <w:kern w:val="0"/>
          <w:sz w:val="32"/>
          <w:szCs w:val="32"/>
        </w:rPr>
        <w:t>2020</w:t>
      </w:r>
      <w:r>
        <w:rPr>
          <w:rFonts w:hint="eastAsia" w:ascii="宋体" w:cs="黑体"/>
          <w:color w:val="000000"/>
          <w:kern w:val="0"/>
          <w:sz w:val="32"/>
          <w:szCs w:val="32"/>
        </w:rPr>
        <w:t>年度区级专项资金分配安排和使用管理情况。</w:t>
      </w:r>
    </w:p>
    <w:p>
      <w:pPr>
        <w:ind w:firstLine="640" w:firstLineChars="200"/>
        <w:jc w:val="left"/>
        <w:rPr>
          <w:rFonts w:ascii="宋体" w:cs="黑体"/>
          <w:color w:val="000000"/>
          <w:kern w:val="0"/>
          <w:sz w:val="32"/>
          <w:szCs w:val="32"/>
        </w:rPr>
      </w:pPr>
      <w:r>
        <w:rPr>
          <w:rFonts w:ascii="宋体" w:cs="黑体"/>
          <w:color w:val="000000"/>
          <w:kern w:val="0"/>
          <w:sz w:val="32"/>
          <w:szCs w:val="32"/>
        </w:rPr>
        <w:t>2.2020</w:t>
      </w:r>
      <w:r>
        <w:rPr>
          <w:rFonts w:hint="eastAsia" w:ascii="宋体" w:cs="黑体"/>
          <w:color w:val="000000"/>
          <w:kern w:val="0"/>
          <w:sz w:val="32"/>
          <w:szCs w:val="32"/>
        </w:rPr>
        <w:t>年，在项目支出资金的使用中，我们做到了既充分保证审查调查工作的经费需要，又严格贯彻执行了厉行节约的相关规定。全年项目支出</w:t>
      </w:r>
      <w:r>
        <w:rPr>
          <w:rFonts w:ascii="宋体" w:cs="黑体"/>
          <w:color w:val="000000"/>
          <w:kern w:val="0"/>
          <w:sz w:val="32"/>
          <w:szCs w:val="32"/>
        </w:rPr>
        <w:t>314.23</w:t>
      </w:r>
      <w:r>
        <w:rPr>
          <w:rFonts w:hint="eastAsia" w:ascii="宋体" w:cs="黑体"/>
          <w:color w:val="000000"/>
          <w:kern w:val="0"/>
          <w:sz w:val="32"/>
          <w:szCs w:val="32"/>
        </w:rPr>
        <w:t>万元，其中，商品和服务支出</w:t>
      </w:r>
      <w:r>
        <w:rPr>
          <w:rFonts w:ascii="宋体" w:cs="黑体"/>
          <w:color w:val="000000"/>
          <w:kern w:val="0"/>
          <w:sz w:val="32"/>
          <w:szCs w:val="32"/>
        </w:rPr>
        <w:t>266.19</w:t>
      </w:r>
      <w:r>
        <w:rPr>
          <w:rFonts w:hint="eastAsia" w:ascii="宋体" w:cs="黑体"/>
          <w:color w:val="000000"/>
          <w:kern w:val="0"/>
          <w:sz w:val="32"/>
          <w:szCs w:val="32"/>
        </w:rPr>
        <w:t>万元，对个人和家庭补助支出</w:t>
      </w:r>
      <w:r>
        <w:rPr>
          <w:rFonts w:ascii="宋体" w:cs="黑体"/>
          <w:color w:val="000000"/>
          <w:kern w:val="0"/>
          <w:sz w:val="32"/>
          <w:szCs w:val="32"/>
        </w:rPr>
        <w:t>23.71</w:t>
      </w:r>
      <w:r>
        <w:rPr>
          <w:rFonts w:hint="eastAsia" w:ascii="宋体" w:cs="黑体"/>
          <w:color w:val="000000"/>
          <w:kern w:val="0"/>
          <w:sz w:val="32"/>
          <w:szCs w:val="32"/>
        </w:rPr>
        <w:t>万元，办公设备购置支出</w:t>
      </w:r>
      <w:r>
        <w:rPr>
          <w:rFonts w:ascii="宋体" w:cs="黑体"/>
          <w:color w:val="000000"/>
          <w:kern w:val="0"/>
          <w:sz w:val="32"/>
          <w:szCs w:val="32"/>
        </w:rPr>
        <w:t>2.29</w:t>
      </w:r>
      <w:r>
        <w:rPr>
          <w:rFonts w:hint="eastAsia" w:ascii="宋体" w:cs="黑体"/>
          <w:color w:val="000000"/>
          <w:kern w:val="0"/>
          <w:sz w:val="32"/>
          <w:szCs w:val="32"/>
        </w:rPr>
        <w:t>万元，大型修缮</w:t>
      </w:r>
      <w:r>
        <w:rPr>
          <w:rFonts w:ascii="宋体" w:cs="黑体"/>
          <w:color w:val="000000"/>
          <w:kern w:val="0"/>
          <w:sz w:val="32"/>
          <w:szCs w:val="32"/>
        </w:rPr>
        <w:t>1.34</w:t>
      </w:r>
      <w:r>
        <w:rPr>
          <w:rFonts w:hint="eastAsia" w:ascii="宋体" w:cs="黑体"/>
          <w:color w:val="000000"/>
          <w:kern w:val="0"/>
          <w:sz w:val="32"/>
          <w:szCs w:val="32"/>
        </w:rPr>
        <w:t>万元，其他支出</w:t>
      </w:r>
      <w:r>
        <w:rPr>
          <w:rFonts w:ascii="宋体" w:cs="黑体"/>
          <w:color w:val="000000"/>
          <w:kern w:val="0"/>
          <w:sz w:val="32"/>
          <w:szCs w:val="32"/>
        </w:rPr>
        <w:t>20.70</w:t>
      </w:r>
      <w:r>
        <w:rPr>
          <w:rFonts w:hint="eastAsia" w:ascii="宋体" w:cs="黑体"/>
          <w:color w:val="000000"/>
          <w:kern w:val="0"/>
          <w:sz w:val="32"/>
          <w:szCs w:val="32"/>
        </w:rPr>
        <w:t>万元。</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具体项目情况为：</w:t>
      </w:r>
    </w:p>
    <w:p>
      <w:pPr>
        <w:ind w:firstLine="640" w:firstLineChars="200"/>
        <w:jc w:val="left"/>
        <w:rPr>
          <w:rFonts w:ascii="宋体" w:cs="黑体"/>
          <w:color w:val="000000"/>
          <w:kern w:val="0"/>
          <w:sz w:val="32"/>
          <w:szCs w:val="32"/>
        </w:rPr>
      </w:pPr>
      <w:r>
        <w:rPr>
          <w:rFonts w:hint="eastAsia" w:ascii="宋体" w:hAnsi="宋体" w:cs="宋体"/>
          <w:color w:val="000000"/>
          <w:kern w:val="0"/>
          <w:sz w:val="32"/>
          <w:szCs w:val="32"/>
        </w:rPr>
        <w:t>⑴</w:t>
      </w:r>
      <w:r>
        <w:rPr>
          <w:rFonts w:hint="eastAsia" w:ascii="宋体" w:cs="黑体"/>
          <w:color w:val="000000"/>
          <w:kern w:val="0"/>
          <w:sz w:val="32"/>
          <w:szCs w:val="32"/>
        </w:rPr>
        <w:t>区纪委监委办案项目专项经费，预算</w:t>
      </w:r>
      <w:r>
        <w:rPr>
          <w:rFonts w:ascii="宋体" w:cs="黑体"/>
          <w:color w:val="000000"/>
          <w:kern w:val="0"/>
          <w:sz w:val="32"/>
          <w:szCs w:val="32"/>
        </w:rPr>
        <w:t>100</w:t>
      </w:r>
      <w:r>
        <w:rPr>
          <w:rFonts w:hint="eastAsia" w:ascii="宋体" w:cs="黑体"/>
          <w:color w:val="000000"/>
          <w:kern w:val="0"/>
          <w:sz w:val="32"/>
          <w:szCs w:val="32"/>
        </w:rPr>
        <w:t>万元，实际支出</w:t>
      </w:r>
      <w:r>
        <w:rPr>
          <w:rFonts w:ascii="宋体" w:cs="黑体"/>
          <w:color w:val="000000"/>
          <w:kern w:val="0"/>
          <w:sz w:val="32"/>
          <w:szCs w:val="32"/>
        </w:rPr>
        <w:t>100</w:t>
      </w:r>
      <w:r>
        <w:rPr>
          <w:rFonts w:hint="eastAsia" w:ascii="宋体" w:cs="黑体"/>
          <w:color w:val="000000"/>
          <w:kern w:val="0"/>
          <w:sz w:val="32"/>
          <w:szCs w:val="32"/>
        </w:rPr>
        <w:t>万元，主要用于办理</w:t>
      </w:r>
      <w:r>
        <w:rPr>
          <w:rFonts w:ascii="宋体" w:cs="黑体"/>
          <w:color w:val="000000"/>
          <w:kern w:val="0"/>
          <w:sz w:val="32"/>
          <w:szCs w:val="32"/>
        </w:rPr>
        <w:t>5.29</w:t>
      </w:r>
      <w:r>
        <w:rPr>
          <w:rFonts w:hint="eastAsia" w:ascii="宋体" w:cs="黑体"/>
          <w:color w:val="000000"/>
          <w:kern w:val="0"/>
          <w:sz w:val="32"/>
          <w:szCs w:val="32"/>
        </w:rPr>
        <w:t>专案的留置费用、办案人员差旅费等；</w:t>
      </w:r>
    </w:p>
    <w:p>
      <w:pPr>
        <w:ind w:firstLine="640" w:firstLineChars="200"/>
        <w:jc w:val="left"/>
        <w:rPr>
          <w:rFonts w:ascii="宋体" w:cs="黑体"/>
          <w:b/>
          <w:color w:val="000000"/>
          <w:kern w:val="0"/>
          <w:sz w:val="32"/>
          <w:szCs w:val="32"/>
        </w:rPr>
      </w:pPr>
      <w:r>
        <w:rPr>
          <w:rFonts w:hint="eastAsia" w:ascii="宋体" w:hAnsi="宋体" w:cs="宋体"/>
          <w:color w:val="000000"/>
          <w:kern w:val="0"/>
          <w:sz w:val="32"/>
          <w:szCs w:val="32"/>
        </w:rPr>
        <w:t>⑵</w:t>
      </w:r>
      <w:r>
        <w:rPr>
          <w:rFonts w:hint="eastAsia" w:ascii="宋体" w:cs="黑体"/>
          <w:color w:val="000000"/>
          <w:kern w:val="0"/>
          <w:sz w:val="32"/>
          <w:szCs w:val="32"/>
        </w:rPr>
        <w:t>作风督查、巡察项目专项经费，预算</w:t>
      </w:r>
      <w:r>
        <w:rPr>
          <w:rFonts w:ascii="宋体" w:cs="黑体"/>
          <w:color w:val="000000"/>
          <w:kern w:val="0"/>
          <w:sz w:val="32"/>
          <w:szCs w:val="32"/>
        </w:rPr>
        <w:t>40</w:t>
      </w:r>
      <w:r>
        <w:rPr>
          <w:rFonts w:hint="eastAsia" w:ascii="宋体" w:cs="黑体"/>
          <w:color w:val="000000"/>
          <w:kern w:val="0"/>
          <w:sz w:val="32"/>
          <w:szCs w:val="32"/>
        </w:rPr>
        <w:t>万元，实际支出</w:t>
      </w:r>
      <w:r>
        <w:rPr>
          <w:rFonts w:ascii="宋体" w:cs="黑体"/>
          <w:color w:val="000000"/>
          <w:kern w:val="0"/>
          <w:sz w:val="32"/>
          <w:szCs w:val="32"/>
        </w:rPr>
        <w:t>40</w:t>
      </w:r>
      <w:r>
        <w:rPr>
          <w:rFonts w:hint="eastAsia" w:ascii="宋体" w:cs="黑体"/>
          <w:color w:val="000000"/>
          <w:kern w:val="0"/>
          <w:sz w:val="32"/>
          <w:szCs w:val="32"/>
        </w:rPr>
        <w:t>万元，主要用于作风督查、巡察人员差旅费、巡察点用房租赁费等。</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三、政府性基金预算支出情况</w:t>
      </w:r>
    </w:p>
    <w:p>
      <w:pPr>
        <w:ind w:firstLine="640" w:firstLineChars="200"/>
        <w:jc w:val="left"/>
        <w:rPr>
          <w:rFonts w:ascii="宋体" w:cs="黑体"/>
          <w:color w:val="000000"/>
          <w:kern w:val="0"/>
          <w:sz w:val="32"/>
          <w:szCs w:val="32"/>
        </w:rPr>
      </w:pPr>
      <w:r>
        <w:rPr>
          <w:rFonts w:ascii="宋体" w:cs="黑体"/>
          <w:color w:val="000000"/>
          <w:kern w:val="0"/>
          <w:sz w:val="32"/>
          <w:szCs w:val="32"/>
        </w:rPr>
        <w:t>2020</w:t>
      </w:r>
      <w:r>
        <w:rPr>
          <w:rFonts w:hint="eastAsia" w:ascii="宋体" w:cs="黑体"/>
          <w:color w:val="000000"/>
          <w:kern w:val="0"/>
          <w:sz w:val="32"/>
          <w:szCs w:val="32"/>
        </w:rPr>
        <w:t>年，政府性基金预算支出</w:t>
      </w:r>
      <w:r>
        <w:rPr>
          <w:rFonts w:ascii="宋体" w:cs="黑体"/>
          <w:color w:val="000000"/>
          <w:kern w:val="0"/>
          <w:sz w:val="32"/>
          <w:szCs w:val="32"/>
        </w:rPr>
        <w:t>0.71</w:t>
      </w:r>
      <w:r>
        <w:rPr>
          <w:rFonts w:hint="eastAsia" w:ascii="宋体" w:cs="黑体"/>
          <w:color w:val="000000"/>
          <w:kern w:val="0"/>
          <w:sz w:val="32"/>
          <w:szCs w:val="32"/>
        </w:rPr>
        <w:t>万元，其中其他商品和服务支出</w:t>
      </w:r>
      <w:r>
        <w:rPr>
          <w:rFonts w:ascii="宋体" w:cs="黑体"/>
          <w:color w:val="000000"/>
          <w:kern w:val="0"/>
          <w:sz w:val="32"/>
          <w:szCs w:val="32"/>
        </w:rPr>
        <w:t>0.71</w:t>
      </w:r>
      <w:r>
        <w:rPr>
          <w:rFonts w:hint="eastAsia" w:ascii="宋体" w:cs="黑体"/>
          <w:color w:val="000000"/>
          <w:kern w:val="0"/>
          <w:sz w:val="32"/>
          <w:szCs w:val="32"/>
        </w:rPr>
        <w:t>万元。</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四、国有资本经营预算支出情况</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无</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五、社会保险基金预算支出情况</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无</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六、部门整体支出绩效情况</w:t>
      </w:r>
    </w:p>
    <w:p>
      <w:pPr>
        <w:ind w:firstLine="640" w:firstLineChars="200"/>
        <w:jc w:val="left"/>
        <w:rPr>
          <w:rFonts w:ascii="宋体" w:cs="黑体"/>
          <w:color w:val="000000"/>
          <w:kern w:val="0"/>
          <w:sz w:val="32"/>
          <w:szCs w:val="32"/>
        </w:rPr>
      </w:pPr>
      <w:r>
        <w:rPr>
          <w:rFonts w:ascii="宋体" w:cs="黑体"/>
          <w:color w:val="000000"/>
          <w:kern w:val="0"/>
          <w:sz w:val="32"/>
          <w:szCs w:val="32"/>
        </w:rPr>
        <w:t>2020</w:t>
      </w:r>
      <w:r>
        <w:rPr>
          <w:rFonts w:hint="eastAsia" w:ascii="宋体" w:cs="黑体"/>
          <w:color w:val="000000"/>
          <w:kern w:val="0"/>
          <w:sz w:val="32"/>
          <w:szCs w:val="32"/>
        </w:rPr>
        <w:t>年，各项工作积极有效开展，纪律审查、监察调查工作全年共立案查办党政纪案件</w:t>
      </w:r>
      <w:r>
        <w:rPr>
          <w:rFonts w:ascii="宋体" w:cs="黑体"/>
          <w:color w:val="000000"/>
          <w:kern w:val="0"/>
          <w:sz w:val="32"/>
          <w:szCs w:val="32"/>
        </w:rPr>
        <w:t>51</w:t>
      </w:r>
      <w:r>
        <w:rPr>
          <w:rFonts w:hint="eastAsia" w:ascii="宋体" w:cs="黑体"/>
          <w:color w:val="000000"/>
          <w:kern w:val="0"/>
          <w:sz w:val="32"/>
          <w:szCs w:val="32"/>
        </w:rPr>
        <w:t>件</w:t>
      </w:r>
      <w:r>
        <w:rPr>
          <w:rFonts w:ascii="宋体" w:cs="黑体"/>
          <w:color w:val="000000"/>
          <w:kern w:val="0"/>
          <w:sz w:val="32"/>
          <w:szCs w:val="32"/>
        </w:rPr>
        <w:t>51</w:t>
      </w:r>
      <w:r>
        <w:rPr>
          <w:rFonts w:hint="eastAsia" w:ascii="宋体" w:cs="黑体"/>
          <w:color w:val="000000"/>
          <w:kern w:val="0"/>
          <w:sz w:val="32"/>
          <w:szCs w:val="32"/>
        </w:rPr>
        <w:t>人，其中，办理了区产业公司原党委副书记、董事长、总经理王爱民国有公司人员涉嫌滥用职权、受贿案，王娟涉嫌共同受贿案，王瑞、晏伯泉涉嫌行贿案，以及市纪委监委指定管辖的刘开进、粟华、罗瑜、魏红涉嫌行贿案，先后留置</w:t>
      </w:r>
      <w:r>
        <w:rPr>
          <w:rFonts w:ascii="宋体" w:cs="黑体"/>
          <w:color w:val="000000"/>
          <w:kern w:val="0"/>
          <w:sz w:val="32"/>
          <w:szCs w:val="32"/>
        </w:rPr>
        <w:t>8</w:t>
      </w:r>
      <w:r>
        <w:rPr>
          <w:rFonts w:hint="eastAsia" w:ascii="宋体" w:cs="黑体"/>
          <w:color w:val="000000"/>
          <w:kern w:val="0"/>
          <w:sz w:val="32"/>
          <w:szCs w:val="32"/>
        </w:rPr>
        <w:t>人，已移送检察机关审查起诉</w:t>
      </w:r>
      <w:r>
        <w:rPr>
          <w:rFonts w:ascii="宋体" w:cs="黑体"/>
          <w:color w:val="000000"/>
          <w:kern w:val="0"/>
          <w:sz w:val="32"/>
          <w:szCs w:val="32"/>
        </w:rPr>
        <w:t>1</w:t>
      </w:r>
      <w:r>
        <w:rPr>
          <w:rFonts w:hint="eastAsia" w:ascii="宋体" w:cs="黑体"/>
          <w:color w:val="000000"/>
          <w:kern w:val="0"/>
          <w:sz w:val="32"/>
          <w:szCs w:val="32"/>
        </w:rPr>
        <w:t>人。监督检查、信访、案件审理、案件监督管理、办公综合、信息宣传、财务后勤等各项工作均取得了较好成绩。</w:t>
      </w:r>
      <w:r>
        <w:rPr>
          <w:rFonts w:ascii="宋体" w:cs="黑体"/>
          <w:color w:val="000000"/>
          <w:kern w:val="0"/>
          <w:sz w:val="32"/>
          <w:szCs w:val="32"/>
        </w:rPr>
        <w:t xml:space="preserve">             </w:t>
      </w:r>
    </w:p>
    <w:p>
      <w:pPr>
        <w:ind w:firstLine="640" w:firstLineChars="200"/>
        <w:jc w:val="left"/>
        <w:rPr>
          <w:rFonts w:ascii="宋体" w:cs="黑体"/>
          <w:color w:val="000000"/>
          <w:kern w:val="0"/>
          <w:sz w:val="32"/>
          <w:szCs w:val="32"/>
        </w:rPr>
      </w:pPr>
      <w:r>
        <w:rPr>
          <w:rFonts w:ascii="宋体" w:cs="黑体"/>
          <w:color w:val="000000"/>
          <w:kern w:val="0"/>
          <w:sz w:val="32"/>
          <w:szCs w:val="32"/>
        </w:rPr>
        <w:t>2020</w:t>
      </w:r>
      <w:r>
        <w:rPr>
          <w:rFonts w:hint="eastAsia" w:ascii="宋体" w:cs="黑体"/>
          <w:color w:val="000000"/>
          <w:kern w:val="0"/>
          <w:sz w:val="32"/>
          <w:szCs w:val="32"/>
        </w:rPr>
        <w:t>年，因单位人员无变动，人员经费支出与去年持平；又因留置案件较多、开展素质提升年活动等原因，造成</w:t>
      </w:r>
      <w:r>
        <w:rPr>
          <w:rFonts w:ascii="宋体" w:cs="黑体"/>
          <w:color w:val="000000"/>
          <w:kern w:val="0"/>
          <w:sz w:val="32"/>
          <w:szCs w:val="32"/>
        </w:rPr>
        <w:t>2020</w:t>
      </w:r>
      <w:r>
        <w:rPr>
          <w:rFonts w:hint="eastAsia" w:ascii="宋体" w:cs="黑体"/>
          <w:color w:val="000000"/>
          <w:kern w:val="0"/>
          <w:sz w:val="32"/>
          <w:szCs w:val="32"/>
        </w:rPr>
        <w:t>年总支出及各项支出和去年相比，有所减少。</w:t>
      </w:r>
      <w:r>
        <w:rPr>
          <w:rFonts w:ascii="宋体" w:cs="黑体"/>
          <w:color w:val="000000"/>
          <w:kern w:val="0"/>
          <w:sz w:val="32"/>
          <w:szCs w:val="32"/>
        </w:rPr>
        <w:t>2020</w:t>
      </w:r>
      <w:r>
        <w:rPr>
          <w:rFonts w:hint="eastAsia" w:ascii="宋体" w:cs="黑体"/>
          <w:color w:val="000000"/>
          <w:kern w:val="0"/>
          <w:sz w:val="32"/>
          <w:szCs w:val="32"/>
        </w:rPr>
        <w:t>年全年经费支出总计</w:t>
      </w:r>
      <w:r>
        <w:rPr>
          <w:rFonts w:ascii="宋体" w:cs="黑体"/>
          <w:color w:val="000000"/>
          <w:kern w:val="0"/>
          <w:sz w:val="32"/>
          <w:szCs w:val="32"/>
        </w:rPr>
        <w:t>1246.24</w:t>
      </w:r>
      <w:r>
        <w:rPr>
          <w:rFonts w:hint="eastAsia" w:ascii="宋体" w:cs="黑体"/>
          <w:color w:val="000000"/>
          <w:kern w:val="0"/>
          <w:sz w:val="32"/>
          <w:szCs w:val="32"/>
        </w:rPr>
        <w:t>万元，在</w:t>
      </w:r>
      <w:r>
        <w:rPr>
          <w:rFonts w:ascii="宋体" w:cs="黑体"/>
          <w:color w:val="000000"/>
          <w:kern w:val="0"/>
          <w:sz w:val="32"/>
          <w:szCs w:val="32"/>
        </w:rPr>
        <w:t>2019</w:t>
      </w:r>
      <w:r>
        <w:rPr>
          <w:rFonts w:hint="eastAsia" w:ascii="宋体" w:cs="黑体"/>
          <w:color w:val="000000"/>
          <w:kern w:val="0"/>
          <w:sz w:val="32"/>
          <w:szCs w:val="32"/>
        </w:rPr>
        <w:t>年经费总支出</w:t>
      </w:r>
      <w:r>
        <w:rPr>
          <w:rFonts w:ascii="宋体" w:cs="黑体"/>
          <w:color w:val="000000"/>
          <w:kern w:val="0"/>
          <w:sz w:val="32"/>
          <w:szCs w:val="32"/>
        </w:rPr>
        <w:t>1566.33</w:t>
      </w:r>
      <w:r>
        <w:rPr>
          <w:rFonts w:hint="eastAsia" w:ascii="宋体" w:cs="黑体"/>
          <w:color w:val="000000"/>
          <w:kern w:val="0"/>
          <w:sz w:val="32"/>
          <w:szCs w:val="32"/>
        </w:rPr>
        <w:t>万元的基础上，减少了</w:t>
      </w:r>
      <w:r>
        <w:rPr>
          <w:rFonts w:ascii="宋体" w:cs="黑体"/>
          <w:color w:val="000000"/>
          <w:kern w:val="0"/>
          <w:sz w:val="32"/>
          <w:szCs w:val="32"/>
        </w:rPr>
        <w:t>20.44%</w:t>
      </w:r>
      <w:r>
        <w:rPr>
          <w:rFonts w:hint="eastAsia" w:ascii="宋体" w:cs="黑体"/>
          <w:color w:val="000000"/>
          <w:kern w:val="0"/>
          <w:sz w:val="32"/>
          <w:szCs w:val="32"/>
        </w:rPr>
        <w:t>；工资福利支出</w:t>
      </w:r>
      <w:r>
        <w:rPr>
          <w:rFonts w:ascii="宋体" w:cs="黑体"/>
          <w:color w:val="000000"/>
          <w:kern w:val="0"/>
          <w:sz w:val="32"/>
          <w:szCs w:val="32"/>
        </w:rPr>
        <w:t>853.84</w:t>
      </w:r>
      <w:r>
        <w:rPr>
          <w:rFonts w:hint="eastAsia" w:ascii="宋体" w:cs="黑体"/>
          <w:color w:val="000000"/>
          <w:kern w:val="0"/>
          <w:sz w:val="32"/>
          <w:szCs w:val="32"/>
        </w:rPr>
        <w:t>万元，在</w:t>
      </w:r>
      <w:r>
        <w:rPr>
          <w:rFonts w:ascii="宋体" w:cs="黑体"/>
          <w:color w:val="000000"/>
          <w:kern w:val="0"/>
          <w:sz w:val="32"/>
          <w:szCs w:val="32"/>
        </w:rPr>
        <w:t>2019</w:t>
      </w:r>
      <w:r>
        <w:rPr>
          <w:rFonts w:hint="eastAsia" w:ascii="宋体" w:cs="黑体"/>
          <w:color w:val="000000"/>
          <w:kern w:val="0"/>
          <w:sz w:val="32"/>
          <w:szCs w:val="32"/>
        </w:rPr>
        <w:t>年工资福利支出</w:t>
      </w:r>
      <w:r>
        <w:rPr>
          <w:rFonts w:ascii="宋体" w:cs="黑体"/>
          <w:color w:val="000000"/>
          <w:kern w:val="0"/>
          <w:sz w:val="32"/>
          <w:szCs w:val="32"/>
        </w:rPr>
        <w:t>872.95</w:t>
      </w:r>
      <w:r>
        <w:rPr>
          <w:rFonts w:hint="eastAsia" w:ascii="宋体" w:cs="黑体"/>
          <w:color w:val="000000"/>
          <w:kern w:val="0"/>
          <w:sz w:val="32"/>
          <w:szCs w:val="32"/>
        </w:rPr>
        <w:t>万元的基础上，减少了</w:t>
      </w:r>
      <w:r>
        <w:rPr>
          <w:rFonts w:ascii="宋体" w:cs="黑体"/>
          <w:color w:val="000000"/>
          <w:kern w:val="0"/>
          <w:sz w:val="32"/>
          <w:szCs w:val="32"/>
        </w:rPr>
        <w:t>2.19%</w:t>
      </w:r>
      <w:r>
        <w:rPr>
          <w:rFonts w:hint="eastAsia" w:ascii="宋体" w:cs="黑体"/>
          <w:color w:val="000000"/>
          <w:kern w:val="0"/>
          <w:sz w:val="32"/>
          <w:szCs w:val="32"/>
        </w:rPr>
        <w:t>；商品和服务支出</w:t>
      </w:r>
      <w:r>
        <w:rPr>
          <w:rFonts w:ascii="宋体" w:cs="黑体"/>
          <w:color w:val="000000"/>
          <w:kern w:val="0"/>
          <w:sz w:val="32"/>
          <w:szCs w:val="32"/>
        </w:rPr>
        <w:t>344.36</w:t>
      </w:r>
      <w:r>
        <w:rPr>
          <w:rFonts w:hint="eastAsia" w:ascii="宋体" w:cs="黑体"/>
          <w:color w:val="000000"/>
          <w:kern w:val="0"/>
          <w:sz w:val="32"/>
          <w:szCs w:val="32"/>
        </w:rPr>
        <w:t>万元，在</w:t>
      </w:r>
      <w:r>
        <w:rPr>
          <w:rFonts w:ascii="宋体" w:cs="黑体"/>
          <w:color w:val="000000"/>
          <w:kern w:val="0"/>
          <w:sz w:val="32"/>
          <w:szCs w:val="32"/>
        </w:rPr>
        <w:t>2019</w:t>
      </w:r>
      <w:r>
        <w:rPr>
          <w:rFonts w:hint="eastAsia" w:ascii="宋体" w:cs="黑体"/>
          <w:color w:val="000000"/>
          <w:kern w:val="0"/>
          <w:sz w:val="32"/>
          <w:szCs w:val="32"/>
        </w:rPr>
        <w:t>年商品和服务支出</w:t>
      </w:r>
      <w:r>
        <w:rPr>
          <w:rFonts w:ascii="宋体" w:cs="黑体"/>
          <w:color w:val="000000"/>
          <w:kern w:val="0"/>
          <w:sz w:val="32"/>
          <w:szCs w:val="32"/>
        </w:rPr>
        <w:t>501.01</w:t>
      </w:r>
      <w:r>
        <w:rPr>
          <w:rFonts w:hint="eastAsia" w:ascii="宋体" w:cs="黑体"/>
          <w:color w:val="000000"/>
          <w:kern w:val="0"/>
          <w:sz w:val="32"/>
          <w:szCs w:val="32"/>
        </w:rPr>
        <w:t>万元的基础上，减少了</w:t>
      </w:r>
      <w:r>
        <w:rPr>
          <w:rFonts w:ascii="宋体" w:cs="黑体"/>
          <w:color w:val="000000"/>
          <w:kern w:val="0"/>
          <w:sz w:val="32"/>
          <w:szCs w:val="32"/>
        </w:rPr>
        <w:t>31.27%</w:t>
      </w:r>
      <w:r>
        <w:rPr>
          <w:rFonts w:hint="eastAsia" w:ascii="宋体" w:cs="黑体"/>
          <w:color w:val="000000"/>
          <w:kern w:val="0"/>
          <w:sz w:val="32"/>
          <w:szCs w:val="32"/>
        </w:rPr>
        <w:t>；公务接待费支出</w:t>
      </w:r>
      <w:r>
        <w:rPr>
          <w:rFonts w:ascii="宋体" w:cs="黑体"/>
          <w:color w:val="000000"/>
          <w:kern w:val="0"/>
          <w:sz w:val="32"/>
          <w:szCs w:val="32"/>
        </w:rPr>
        <w:t>2.80</w:t>
      </w:r>
      <w:r>
        <w:rPr>
          <w:rFonts w:hint="eastAsia" w:ascii="宋体" w:cs="黑体"/>
          <w:color w:val="000000"/>
          <w:kern w:val="0"/>
          <w:sz w:val="32"/>
          <w:szCs w:val="32"/>
        </w:rPr>
        <w:t>万元，在</w:t>
      </w:r>
      <w:r>
        <w:rPr>
          <w:rFonts w:ascii="宋体" w:cs="黑体"/>
          <w:color w:val="000000"/>
          <w:kern w:val="0"/>
          <w:sz w:val="32"/>
          <w:szCs w:val="32"/>
        </w:rPr>
        <w:t>2019</w:t>
      </w:r>
      <w:r>
        <w:rPr>
          <w:rFonts w:hint="eastAsia" w:ascii="宋体" w:cs="黑体"/>
          <w:color w:val="000000"/>
          <w:kern w:val="0"/>
          <w:sz w:val="32"/>
          <w:szCs w:val="32"/>
        </w:rPr>
        <w:t>年公务接待费支出</w:t>
      </w:r>
      <w:r>
        <w:rPr>
          <w:rFonts w:ascii="宋体" w:cs="黑体"/>
          <w:color w:val="000000"/>
          <w:kern w:val="0"/>
          <w:sz w:val="32"/>
          <w:szCs w:val="32"/>
        </w:rPr>
        <w:t>4.92</w:t>
      </w:r>
      <w:r>
        <w:rPr>
          <w:rFonts w:hint="eastAsia" w:ascii="宋体" w:cs="黑体"/>
          <w:color w:val="000000"/>
          <w:kern w:val="0"/>
          <w:sz w:val="32"/>
          <w:szCs w:val="32"/>
        </w:rPr>
        <w:t>万元的基础上，减少了</w:t>
      </w:r>
      <w:r>
        <w:rPr>
          <w:rFonts w:ascii="宋体" w:cs="黑体"/>
          <w:color w:val="000000"/>
          <w:kern w:val="0"/>
          <w:sz w:val="32"/>
          <w:szCs w:val="32"/>
        </w:rPr>
        <w:t>43.09%</w:t>
      </w:r>
      <w:r>
        <w:rPr>
          <w:rFonts w:hint="eastAsia" w:ascii="宋体" w:cs="黑体"/>
          <w:color w:val="000000"/>
          <w:kern w:val="0"/>
          <w:sz w:val="32"/>
          <w:szCs w:val="32"/>
        </w:rPr>
        <w:t>。从全年部门整体支出情况看，实现了支出的经济性、效率性、有效性和可持续性。</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七、存在问题及原因分析</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主要是在财政拨款收入方面，财政部门给我委安排的财政拨款相对不足，特别年初预算严重不足，需申请追加大量资金，才能基本保证我委开展各项工作的资金需求，这方面矛盾有待进一步改善</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八、改进措施</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进一步做好调查研究，强化财政预算与部门预算的衔接，增加我委财政拨款年初预算，为我区纪检监察工作提供必要经费保障。同时，我委应进一步加强部门整体支出的绩效评估工作，突出资金使用的经济性、效率性、有效性和可持续性。</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九、绩效自评结果拟应用和公开情况</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我委将按照财政部门统一要求和安排，及时准确进行绩效自评结果的公开，并扎实开展结果运用工作。</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其他需要说明的情况：无</w:t>
      </w: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eastAsia="方正小标宋简体"/>
          <w:color w:val="000000"/>
          <w:kern w:val="0"/>
          <w:sz w:val="44"/>
          <w:szCs w:val="44"/>
        </w:rPr>
      </w:pPr>
    </w:p>
    <w:p>
      <w:pPr>
        <w:ind w:left="-850" w:leftChars="-405" w:firstLine="880" w:firstLineChars="200"/>
        <w:jc w:val="center"/>
        <w:rPr>
          <w:rFonts w:hint="default" w:ascii="Times New Roman" w:hAnsi="Times New Roman" w:eastAsia="方正小标宋简体"/>
          <w:color w:val="000000"/>
          <w:kern w:val="0"/>
          <w:sz w:val="44"/>
          <w:szCs w:val="44"/>
        </w:rPr>
      </w:pPr>
      <w:bookmarkStart w:id="0" w:name="_GoBack"/>
      <w:bookmarkEnd w:id="0"/>
      <w:r>
        <w:rPr>
          <w:rFonts w:hint="default" w:ascii="Times New Roman" w:eastAsia="方正小标宋简体"/>
          <w:color w:val="000000"/>
          <w:kern w:val="0"/>
          <w:sz w:val="44"/>
          <w:szCs w:val="44"/>
        </w:rPr>
        <w:t>部门整体支出绩效评价共性指标</w:t>
      </w:r>
    </w:p>
    <w:p>
      <w:pPr>
        <w:ind w:left="-850" w:leftChars="-405" w:firstLine="630" w:firstLineChars="300"/>
        <w:rPr>
          <w:rFonts w:ascii="Times New Roman" w:hAnsi="Times New Roman"/>
          <w:szCs w:val="21"/>
        </w:rPr>
      </w:pPr>
      <w:r>
        <w:rPr>
          <w:rFonts w:hint="default" w:ascii="Times New Roman"/>
          <w:color w:val="000000"/>
          <w:kern w:val="0"/>
          <w:szCs w:val="21"/>
        </w:rPr>
        <w:t>填报单位：</w:t>
      </w:r>
      <w:r>
        <w:rPr>
          <w:rFonts w:ascii="Times New Roman"/>
          <w:color w:val="000000"/>
          <w:kern w:val="0"/>
          <w:szCs w:val="21"/>
        </w:rPr>
        <w:t>武陵源区纪委监委</w:t>
      </w:r>
    </w:p>
    <w:tbl>
      <w:tblPr>
        <w:tblStyle w:val="6"/>
        <w:tblW w:w="0" w:type="auto"/>
        <w:jc w:val="center"/>
        <w:tblLayout w:type="fixed"/>
        <w:tblCellMar>
          <w:top w:w="0" w:type="dxa"/>
          <w:left w:w="108" w:type="dxa"/>
          <w:bottom w:w="0" w:type="dxa"/>
          <w:right w:w="108" w:type="dxa"/>
        </w:tblCellMar>
      </w:tblPr>
      <w:tblGrid>
        <w:gridCol w:w="775"/>
        <w:gridCol w:w="770"/>
        <w:gridCol w:w="707"/>
        <w:gridCol w:w="477"/>
        <w:gridCol w:w="2207"/>
        <w:gridCol w:w="2541"/>
        <w:gridCol w:w="1553"/>
        <w:gridCol w:w="621"/>
      </w:tblGrid>
      <w:tr>
        <w:tblPrEx>
          <w:tblCellMar>
            <w:top w:w="0" w:type="dxa"/>
            <w:left w:w="108" w:type="dxa"/>
            <w:bottom w:w="0" w:type="dxa"/>
            <w:right w:w="108" w:type="dxa"/>
          </w:tblCellMar>
        </w:tblPrEx>
        <w:trPr>
          <w:trHeight w:val="312" w:hRule="atLeast"/>
          <w:jc w:val="center"/>
        </w:trPr>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0"/>
              </w:rPr>
            </w:pPr>
            <w:r>
              <w:rPr>
                <w:rFonts w:hint="default" w:ascii="Times New Roman" w:eastAsia="仿宋_GB2312"/>
                <w:color w:val="000000"/>
                <w:kern w:val="0"/>
                <w:sz w:val="20"/>
              </w:rPr>
              <w:t>一级指标</w:t>
            </w:r>
          </w:p>
        </w:tc>
        <w:tc>
          <w:tcPr>
            <w:tcW w:w="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0"/>
              </w:rPr>
            </w:pPr>
            <w:r>
              <w:rPr>
                <w:rFonts w:hint="default" w:ascii="Times New Roman" w:eastAsia="仿宋_GB2312"/>
                <w:color w:val="000000"/>
                <w:kern w:val="0"/>
                <w:sz w:val="20"/>
              </w:rPr>
              <w:t>二级指标</w:t>
            </w:r>
          </w:p>
        </w:tc>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18"/>
                <w:szCs w:val="18"/>
              </w:rPr>
            </w:pPr>
            <w:r>
              <w:rPr>
                <w:rFonts w:hint="default" w:ascii="Times New Roman" w:eastAsia="仿宋_GB2312"/>
                <w:color w:val="000000"/>
                <w:kern w:val="0"/>
                <w:sz w:val="18"/>
                <w:szCs w:val="18"/>
              </w:rPr>
              <w:t>三级指标</w:t>
            </w:r>
          </w:p>
        </w:tc>
        <w:tc>
          <w:tcPr>
            <w:tcW w:w="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0"/>
              </w:rPr>
            </w:pPr>
            <w:r>
              <w:rPr>
                <w:rFonts w:hint="default" w:ascii="Times New Roman" w:eastAsia="仿宋_GB2312"/>
                <w:color w:val="000000"/>
                <w:kern w:val="0"/>
                <w:sz w:val="20"/>
              </w:rPr>
              <w:t>分值</w:t>
            </w:r>
          </w:p>
        </w:tc>
        <w:tc>
          <w:tcPr>
            <w:tcW w:w="22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0"/>
              </w:rPr>
            </w:pPr>
            <w:r>
              <w:rPr>
                <w:rFonts w:hint="default" w:ascii="Times New Roman" w:eastAsia="仿宋_GB2312"/>
                <w:color w:val="000000"/>
                <w:kern w:val="0"/>
                <w:sz w:val="20"/>
              </w:rPr>
              <w:t>指标解释</w:t>
            </w:r>
          </w:p>
        </w:tc>
        <w:tc>
          <w:tcPr>
            <w:tcW w:w="25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0"/>
              </w:rPr>
            </w:pPr>
            <w:r>
              <w:rPr>
                <w:rFonts w:hint="default" w:ascii="Times New Roman" w:eastAsia="仿宋_GB2312"/>
                <w:color w:val="000000"/>
                <w:kern w:val="0"/>
                <w:sz w:val="20"/>
              </w:rPr>
              <w:t>指标说明</w:t>
            </w:r>
          </w:p>
        </w:tc>
        <w:tc>
          <w:tcPr>
            <w:tcW w:w="15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0"/>
              </w:rPr>
            </w:pPr>
            <w:r>
              <w:rPr>
                <w:rFonts w:hint="default" w:ascii="Times New Roman" w:eastAsia="仿宋_GB2312"/>
                <w:color w:val="000000"/>
                <w:kern w:val="0"/>
                <w:sz w:val="20"/>
              </w:rPr>
              <w:t>评价标准</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0"/>
              </w:rPr>
            </w:pPr>
            <w:r>
              <w:rPr>
                <w:rFonts w:hint="default" w:ascii="Times New Roman" w:eastAsia="仿宋_GB2312"/>
                <w:color w:val="000000"/>
                <w:kern w:val="0"/>
                <w:sz w:val="20"/>
              </w:rPr>
              <w:t>得分</w:t>
            </w:r>
          </w:p>
        </w:tc>
      </w:tr>
      <w:tr>
        <w:tblPrEx>
          <w:tblCellMar>
            <w:top w:w="0" w:type="dxa"/>
            <w:left w:w="108" w:type="dxa"/>
            <w:bottom w:w="0" w:type="dxa"/>
            <w:right w:w="108" w:type="dxa"/>
          </w:tblCellMar>
        </w:tblPrEx>
        <w:trPr>
          <w:trHeight w:val="312" w:hRule="atLeas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0"/>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0"/>
              </w:rPr>
            </w:pPr>
          </w:p>
        </w:tc>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18"/>
                <w:szCs w:val="18"/>
              </w:rPr>
            </w:pPr>
          </w:p>
        </w:tc>
        <w:tc>
          <w:tcPr>
            <w:tcW w:w="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0"/>
              </w:rPr>
            </w:pPr>
          </w:p>
        </w:tc>
        <w:tc>
          <w:tcPr>
            <w:tcW w:w="22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0"/>
              </w:rPr>
            </w:pPr>
          </w:p>
        </w:tc>
        <w:tc>
          <w:tcPr>
            <w:tcW w:w="25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0"/>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0"/>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0"/>
              </w:rPr>
            </w:pPr>
          </w:p>
        </w:tc>
      </w:tr>
      <w:tr>
        <w:tblPrEx>
          <w:tblCellMar>
            <w:top w:w="0" w:type="dxa"/>
            <w:left w:w="108" w:type="dxa"/>
            <w:bottom w:w="0" w:type="dxa"/>
            <w:right w:w="108" w:type="dxa"/>
          </w:tblCellMar>
        </w:tblPrEx>
        <w:trPr>
          <w:trHeight w:val="1350" w:hRule="atLeast"/>
          <w:jc w:val="center"/>
        </w:trPr>
        <w:tc>
          <w:tcPr>
            <w:tcW w:w="775"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color w:val="000000"/>
                <w:kern w:val="0"/>
                <w:sz w:val="15"/>
                <w:szCs w:val="15"/>
              </w:rPr>
              <w:t>投入</w:t>
            </w:r>
          </w:p>
          <w:p>
            <w:pPr>
              <w:widowControl/>
              <w:jc w:val="center"/>
              <w:rPr>
                <w:rFonts w:hint="default" w:ascii="Times New Roman" w:hAnsi="Times New Roman"/>
                <w:color w:val="000000"/>
                <w:kern w:val="0"/>
                <w:sz w:val="15"/>
                <w:szCs w:val="15"/>
              </w:rPr>
            </w:pPr>
            <w:r>
              <w:rPr>
                <w:rFonts w:hint="default" w:ascii="Times New Roman"/>
                <w:color w:val="000000"/>
                <w:kern w:val="0"/>
                <w:sz w:val="15"/>
                <w:szCs w:val="15"/>
              </w:rPr>
              <w:t>（</w:t>
            </w:r>
            <w:r>
              <w:rPr>
                <w:rFonts w:hint="default" w:ascii="Times New Roman" w:hAnsi="Times New Roman"/>
                <w:color w:val="000000"/>
                <w:kern w:val="0"/>
                <w:sz w:val="15"/>
                <w:szCs w:val="15"/>
              </w:rPr>
              <w:t>10</w:t>
            </w:r>
            <w:r>
              <w:rPr>
                <w:rFonts w:hint="default" w:ascii="Times New Roman"/>
                <w:color w:val="000000"/>
                <w:kern w:val="0"/>
                <w:sz w:val="15"/>
                <w:szCs w:val="15"/>
              </w:rPr>
              <w:t>分）</w:t>
            </w:r>
          </w:p>
        </w:tc>
        <w:tc>
          <w:tcPr>
            <w:tcW w:w="770"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color w:val="000000"/>
                <w:kern w:val="0"/>
                <w:sz w:val="15"/>
                <w:szCs w:val="15"/>
              </w:rPr>
              <w:t>目标</w:t>
            </w:r>
          </w:p>
          <w:p>
            <w:pPr>
              <w:widowControl/>
              <w:jc w:val="center"/>
              <w:rPr>
                <w:rFonts w:hint="default" w:ascii="Times New Roman" w:hAnsi="Times New Roman"/>
                <w:color w:val="000000"/>
                <w:kern w:val="0"/>
                <w:sz w:val="15"/>
                <w:szCs w:val="15"/>
              </w:rPr>
            </w:pPr>
            <w:r>
              <w:rPr>
                <w:rFonts w:hint="default" w:ascii="Times New Roman"/>
                <w:color w:val="000000"/>
                <w:kern w:val="0"/>
                <w:sz w:val="15"/>
                <w:szCs w:val="15"/>
              </w:rPr>
              <w:t>设定</w:t>
            </w:r>
          </w:p>
          <w:p>
            <w:pPr>
              <w:widowControl/>
              <w:jc w:val="center"/>
              <w:rPr>
                <w:rFonts w:hint="default" w:ascii="Times New Roman" w:hAnsi="Times New Roman"/>
                <w:color w:val="000000"/>
                <w:kern w:val="0"/>
                <w:sz w:val="15"/>
                <w:szCs w:val="15"/>
              </w:rPr>
            </w:pPr>
            <w:r>
              <w:rPr>
                <w:rFonts w:hint="default" w:ascii="Times New Roman"/>
                <w:color w:val="000000"/>
                <w:kern w:val="0"/>
                <w:sz w:val="15"/>
                <w:szCs w:val="15"/>
              </w:rPr>
              <w:t>（</w:t>
            </w:r>
            <w:r>
              <w:rPr>
                <w:rFonts w:hint="default" w:ascii="Times New Roman" w:hAnsi="Times New Roman"/>
                <w:color w:val="000000"/>
                <w:kern w:val="0"/>
                <w:sz w:val="15"/>
                <w:szCs w:val="15"/>
              </w:rPr>
              <w:t>4</w:t>
            </w:r>
            <w:r>
              <w:rPr>
                <w:rFonts w:hint="default" w:ascii="Times New Roman"/>
                <w:color w:val="000000"/>
                <w:kern w:val="0"/>
                <w:sz w:val="15"/>
                <w:szCs w:val="15"/>
              </w:rPr>
              <w:t>分）</w:t>
            </w:r>
          </w:p>
        </w:tc>
        <w:tc>
          <w:tcPr>
            <w:tcW w:w="7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color w:val="000000"/>
                <w:kern w:val="0"/>
                <w:sz w:val="15"/>
                <w:szCs w:val="15"/>
              </w:rPr>
              <w:t>绩效目标合理性</w:t>
            </w:r>
          </w:p>
        </w:tc>
        <w:tc>
          <w:tcPr>
            <w:tcW w:w="47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2</w:t>
            </w:r>
          </w:p>
        </w:tc>
        <w:tc>
          <w:tcPr>
            <w:tcW w:w="2207" w:type="dxa"/>
            <w:tcBorders>
              <w:top w:val="nil"/>
              <w:left w:val="single" w:color="auto" w:sz="4" w:space="0"/>
              <w:bottom w:val="single" w:color="auto" w:sz="4" w:space="0"/>
              <w:right w:val="nil"/>
            </w:tcBorders>
            <w:noWrap w:val="0"/>
            <w:vAlign w:val="center"/>
          </w:tcPr>
          <w:p>
            <w:pPr>
              <w:widowControl/>
              <w:spacing w:line="240" w:lineRule="exact"/>
              <w:rPr>
                <w:rFonts w:hint="default" w:ascii="Times New Roman" w:hAnsi="Times New Roman"/>
                <w:color w:val="000000"/>
                <w:kern w:val="0"/>
                <w:sz w:val="15"/>
                <w:szCs w:val="15"/>
              </w:rPr>
            </w:pPr>
            <w:r>
              <w:rPr>
                <w:rFonts w:hint="default" w:ascii="Times New Roman"/>
                <w:color w:val="000000"/>
                <w:kern w:val="0"/>
                <w:sz w:val="15"/>
                <w:szCs w:val="15"/>
              </w:rPr>
              <w:t>部门（单位）所设立的整体绩效目标依据是否充分，是否符合客观实际，用以反映和考核整体绩效目标与部门履职、年度工作任务的相符性情况。</w:t>
            </w:r>
          </w:p>
        </w:tc>
        <w:tc>
          <w:tcPr>
            <w:tcW w:w="2541" w:type="dxa"/>
            <w:tcBorders>
              <w:top w:val="nil"/>
              <w:left w:val="single" w:color="auto" w:sz="4" w:space="0"/>
              <w:bottom w:val="single" w:color="auto" w:sz="4" w:space="0"/>
              <w:right w:val="nil"/>
            </w:tcBorders>
            <w:noWrap w:val="0"/>
            <w:vAlign w:val="center"/>
          </w:tcPr>
          <w:p>
            <w:pPr>
              <w:spacing w:line="240" w:lineRule="exact"/>
              <w:rPr>
                <w:rFonts w:hint="default" w:ascii="Times New Roman" w:hAnsi="Times New Roman"/>
              </w:rPr>
            </w:pPr>
            <w:r>
              <w:rPr>
                <w:rFonts w:hint="default" w:ascii="Times New Roman"/>
                <w:color w:val="000000"/>
                <w:kern w:val="0"/>
                <w:sz w:val="15"/>
                <w:szCs w:val="15"/>
              </w:rPr>
              <w:t>评价要点：</w:t>
            </w:r>
            <w:r>
              <w:rPr>
                <w:rFonts w:hint="default"/>
                <w:color w:val="000000"/>
                <w:kern w:val="0"/>
                <w:sz w:val="15"/>
                <w:szCs w:val="15"/>
              </w:rPr>
              <w:t>①</w:t>
            </w:r>
            <w:r>
              <w:rPr>
                <w:rFonts w:hint="default" w:ascii="Times New Roman"/>
                <w:color w:val="000000"/>
                <w:kern w:val="0"/>
                <w:sz w:val="15"/>
                <w:szCs w:val="15"/>
              </w:rPr>
              <w:t>是否符合国家法律法规、国民经济和社会发展总体规划；</w:t>
            </w:r>
            <w:r>
              <w:rPr>
                <w:rFonts w:hint="default"/>
                <w:color w:val="000000"/>
                <w:kern w:val="0"/>
                <w:sz w:val="15"/>
                <w:szCs w:val="15"/>
              </w:rPr>
              <w:t>②</w:t>
            </w:r>
            <w:r>
              <w:rPr>
                <w:rFonts w:hint="default" w:ascii="Times New Roman"/>
                <w:color w:val="000000"/>
                <w:kern w:val="0"/>
                <w:sz w:val="15"/>
                <w:szCs w:val="15"/>
              </w:rPr>
              <w:t>是否符合部门</w:t>
            </w:r>
            <w:r>
              <w:rPr>
                <w:rFonts w:hint="default" w:ascii="Times New Roman" w:hAnsi="Times New Roman"/>
                <w:color w:val="000000"/>
                <w:kern w:val="0"/>
                <w:sz w:val="15"/>
                <w:szCs w:val="15"/>
              </w:rPr>
              <w:t>“</w:t>
            </w:r>
            <w:r>
              <w:rPr>
                <w:rFonts w:hint="default" w:ascii="Times New Roman"/>
                <w:color w:val="000000"/>
                <w:kern w:val="0"/>
                <w:sz w:val="15"/>
                <w:szCs w:val="15"/>
              </w:rPr>
              <w:t>三定</w:t>
            </w:r>
            <w:r>
              <w:rPr>
                <w:rFonts w:hint="default" w:ascii="Times New Roman" w:hAnsi="Times New Roman"/>
                <w:color w:val="000000"/>
                <w:kern w:val="0"/>
                <w:sz w:val="15"/>
                <w:szCs w:val="15"/>
              </w:rPr>
              <w:t>”</w:t>
            </w:r>
            <w:r>
              <w:rPr>
                <w:rFonts w:hint="default" w:ascii="Times New Roman"/>
                <w:color w:val="000000"/>
                <w:kern w:val="0"/>
                <w:sz w:val="15"/>
                <w:szCs w:val="15"/>
              </w:rPr>
              <w:t>方案确定的职责；</w:t>
            </w:r>
            <w:r>
              <w:rPr>
                <w:rFonts w:hint="default"/>
                <w:color w:val="000000"/>
                <w:kern w:val="0"/>
                <w:sz w:val="15"/>
                <w:szCs w:val="15"/>
              </w:rPr>
              <w:t>③</w:t>
            </w:r>
            <w:r>
              <w:rPr>
                <w:rFonts w:hint="default" w:ascii="Times New Roman"/>
                <w:color w:val="000000"/>
                <w:kern w:val="0"/>
                <w:sz w:val="15"/>
                <w:szCs w:val="15"/>
              </w:rPr>
              <w:t>是否符合部门制定的中长期实施规划。</w:t>
            </w:r>
          </w:p>
          <w:p>
            <w:pPr>
              <w:widowControl/>
              <w:rPr>
                <w:rFonts w:hint="default" w:ascii="Times New Roman" w:hAnsi="Times New Roman"/>
                <w:color w:val="000000"/>
                <w:kern w:val="0"/>
                <w:sz w:val="15"/>
                <w:szCs w:val="15"/>
              </w:rPr>
            </w:pPr>
          </w:p>
        </w:tc>
        <w:tc>
          <w:tcPr>
            <w:tcW w:w="1553" w:type="dxa"/>
            <w:tcBorders>
              <w:top w:val="nil"/>
              <w:left w:val="single" w:color="auto" w:sz="4" w:space="0"/>
              <w:bottom w:val="single" w:color="auto" w:sz="4" w:space="0"/>
              <w:right w:val="single" w:color="auto" w:sz="4" w:space="0"/>
            </w:tcBorders>
            <w:noWrap w:val="0"/>
            <w:vAlign w:val="center"/>
          </w:tcPr>
          <w:p>
            <w:pPr>
              <w:widowControl/>
              <w:rPr>
                <w:rFonts w:hint="default" w:ascii="Times New Roman" w:hAnsi="Times New Roman"/>
                <w:color w:val="000000"/>
                <w:kern w:val="0"/>
                <w:sz w:val="15"/>
                <w:szCs w:val="15"/>
              </w:rPr>
            </w:pPr>
            <w:r>
              <w:rPr>
                <w:rFonts w:hint="default" w:ascii="Times New Roman"/>
                <w:color w:val="000000"/>
                <w:kern w:val="0"/>
                <w:sz w:val="15"/>
                <w:szCs w:val="15"/>
              </w:rPr>
              <w:t>合理：</w:t>
            </w:r>
            <w:r>
              <w:rPr>
                <w:rFonts w:hint="default" w:ascii="Times New Roman" w:hAnsi="Times New Roman"/>
                <w:color w:val="000000"/>
                <w:kern w:val="0"/>
                <w:sz w:val="15"/>
                <w:szCs w:val="15"/>
              </w:rPr>
              <w:t>2</w:t>
            </w:r>
            <w:r>
              <w:rPr>
                <w:rFonts w:hint="default" w:ascii="Times New Roman"/>
                <w:color w:val="000000"/>
                <w:kern w:val="0"/>
                <w:sz w:val="15"/>
                <w:szCs w:val="15"/>
              </w:rPr>
              <w:t>分；较合理：</w:t>
            </w:r>
            <w:r>
              <w:rPr>
                <w:rFonts w:hint="default" w:ascii="Times New Roman" w:hAnsi="Times New Roman"/>
                <w:color w:val="000000"/>
                <w:kern w:val="0"/>
                <w:sz w:val="15"/>
                <w:szCs w:val="15"/>
              </w:rPr>
              <w:t>1</w:t>
            </w:r>
            <w:r>
              <w:rPr>
                <w:rFonts w:hint="default" w:ascii="Times New Roman"/>
                <w:color w:val="000000"/>
                <w:kern w:val="0"/>
                <w:sz w:val="15"/>
                <w:szCs w:val="15"/>
              </w:rPr>
              <w:t>分；不合理：</w:t>
            </w:r>
            <w:r>
              <w:rPr>
                <w:rFonts w:hint="default" w:ascii="Times New Roman" w:hAnsi="Times New Roman"/>
                <w:color w:val="000000"/>
                <w:kern w:val="0"/>
                <w:sz w:val="15"/>
                <w:szCs w:val="15"/>
              </w:rPr>
              <w:t>0</w:t>
            </w:r>
            <w:r>
              <w:rPr>
                <w:rFonts w:hint="default" w:ascii="Times New Roman"/>
                <w:color w:val="000000"/>
                <w:kern w:val="0"/>
                <w:sz w:val="15"/>
                <w:szCs w:val="15"/>
              </w:rPr>
              <w:t>分</w:t>
            </w:r>
          </w:p>
        </w:tc>
        <w:tc>
          <w:tcPr>
            <w:tcW w:w="621" w:type="dxa"/>
            <w:tcBorders>
              <w:top w:val="nil"/>
              <w:left w:val="nil"/>
              <w:bottom w:val="single" w:color="auto" w:sz="4" w:space="0"/>
              <w:right w:val="single" w:color="auto" w:sz="4" w:space="0"/>
            </w:tcBorders>
            <w:noWrap w:val="0"/>
            <w:vAlign w:val="center"/>
          </w:tcPr>
          <w:p>
            <w:pPr>
              <w:widowControl/>
              <w:ind w:firstLine="75" w:firstLineChars="50"/>
              <w:jc w:val="left"/>
              <w:rPr>
                <w:rFonts w:ascii="Times New Roman" w:hAnsi="Times New Roman"/>
                <w:color w:val="000000"/>
                <w:kern w:val="0"/>
                <w:sz w:val="15"/>
                <w:szCs w:val="15"/>
              </w:rPr>
            </w:pPr>
            <w:r>
              <w:rPr>
                <w:rFonts w:ascii="Times New Roman" w:hAnsi="Times New Roman"/>
                <w:color w:val="000000"/>
                <w:kern w:val="0"/>
                <w:sz w:val="15"/>
                <w:szCs w:val="15"/>
              </w:rPr>
              <w:t>2</w:t>
            </w:r>
          </w:p>
        </w:tc>
      </w:tr>
      <w:tr>
        <w:tblPrEx>
          <w:tblCellMar>
            <w:top w:w="0" w:type="dxa"/>
            <w:left w:w="108" w:type="dxa"/>
            <w:bottom w:w="0" w:type="dxa"/>
            <w:right w:w="108" w:type="dxa"/>
          </w:tblCellMar>
        </w:tblPrEx>
        <w:trPr>
          <w:trHeight w:val="1542" w:hRule="atLeast"/>
          <w:jc w:val="center"/>
        </w:trPr>
        <w:tc>
          <w:tcPr>
            <w:tcW w:w="77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p>
        </w:tc>
        <w:tc>
          <w:tcPr>
            <w:tcW w:w="770"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p>
        </w:tc>
        <w:tc>
          <w:tcPr>
            <w:tcW w:w="7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color w:val="000000"/>
                <w:kern w:val="0"/>
                <w:sz w:val="15"/>
                <w:szCs w:val="15"/>
              </w:rPr>
              <w:t>绩效目标明确性</w:t>
            </w:r>
          </w:p>
        </w:tc>
        <w:tc>
          <w:tcPr>
            <w:tcW w:w="47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2</w:t>
            </w:r>
          </w:p>
        </w:tc>
        <w:tc>
          <w:tcPr>
            <w:tcW w:w="2207" w:type="dxa"/>
            <w:tcBorders>
              <w:top w:val="nil"/>
              <w:left w:val="single" w:color="auto" w:sz="4" w:space="0"/>
              <w:bottom w:val="single" w:color="auto" w:sz="4" w:space="0"/>
              <w:right w:val="nil"/>
            </w:tcBorders>
            <w:noWrap w:val="0"/>
            <w:vAlign w:val="center"/>
          </w:tcPr>
          <w:p>
            <w:pPr>
              <w:spacing w:line="240" w:lineRule="exact"/>
              <w:rPr>
                <w:rFonts w:hint="default" w:ascii="Times New Roman" w:hAnsi="Times New Roman"/>
              </w:rPr>
            </w:pPr>
            <w:r>
              <w:rPr>
                <w:rFonts w:hint="default" w:ascii="Times New Roman"/>
                <w:color w:val="000000"/>
                <w:kern w:val="0"/>
                <w:sz w:val="15"/>
                <w:szCs w:val="15"/>
              </w:rPr>
              <w:t>部门（单位）依据整体绩效目标所设定的绩效指标是否清晰、细化、可衡量，用以反映和考核整体绩效目标的明细化情况。</w:t>
            </w:r>
          </w:p>
          <w:p>
            <w:pPr>
              <w:widowControl/>
              <w:rPr>
                <w:rFonts w:hint="default" w:ascii="Times New Roman" w:hAnsi="Times New Roman"/>
                <w:color w:val="000000"/>
                <w:kern w:val="0"/>
                <w:sz w:val="15"/>
                <w:szCs w:val="15"/>
              </w:rPr>
            </w:pPr>
          </w:p>
        </w:tc>
        <w:tc>
          <w:tcPr>
            <w:tcW w:w="2541" w:type="dxa"/>
            <w:tcBorders>
              <w:top w:val="nil"/>
              <w:left w:val="single" w:color="auto" w:sz="4" w:space="0"/>
              <w:bottom w:val="single" w:color="auto" w:sz="4" w:space="0"/>
              <w:right w:val="nil"/>
            </w:tcBorders>
            <w:noWrap w:val="0"/>
            <w:vAlign w:val="center"/>
          </w:tcPr>
          <w:p>
            <w:pPr>
              <w:spacing w:line="240" w:lineRule="exact"/>
              <w:rPr>
                <w:rFonts w:hint="default" w:ascii="Times New Roman" w:hAnsi="Times New Roman"/>
              </w:rPr>
            </w:pPr>
            <w:r>
              <w:rPr>
                <w:rFonts w:hint="default" w:ascii="Times New Roman"/>
                <w:color w:val="000000"/>
                <w:kern w:val="0"/>
                <w:sz w:val="15"/>
                <w:szCs w:val="15"/>
              </w:rPr>
              <w:t>评价要点：</w:t>
            </w:r>
            <w:r>
              <w:rPr>
                <w:rFonts w:hint="default"/>
                <w:color w:val="000000"/>
                <w:kern w:val="0"/>
                <w:sz w:val="15"/>
                <w:szCs w:val="15"/>
              </w:rPr>
              <w:t>①</w:t>
            </w:r>
            <w:r>
              <w:rPr>
                <w:rFonts w:hint="default" w:ascii="Times New Roman"/>
                <w:color w:val="000000"/>
                <w:kern w:val="0"/>
                <w:sz w:val="15"/>
                <w:szCs w:val="15"/>
              </w:rPr>
              <w:t>是否将部门整体的绩效目标细化分解为具体的工作任务；</w:t>
            </w:r>
            <w:r>
              <w:rPr>
                <w:rFonts w:hint="default"/>
                <w:color w:val="000000"/>
                <w:kern w:val="0"/>
                <w:sz w:val="15"/>
                <w:szCs w:val="15"/>
              </w:rPr>
              <w:t>②</w:t>
            </w:r>
            <w:r>
              <w:rPr>
                <w:rFonts w:hint="default" w:ascii="Times New Roman"/>
                <w:color w:val="000000"/>
                <w:kern w:val="0"/>
                <w:sz w:val="15"/>
                <w:szCs w:val="15"/>
              </w:rPr>
              <w:t>是否通过清晰、可衡量的指标值予以体现；</w:t>
            </w:r>
            <w:r>
              <w:rPr>
                <w:rFonts w:hint="default"/>
                <w:color w:val="000000"/>
                <w:kern w:val="0"/>
                <w:sz w:val="15"/>
                <w:szCs w:val="15"/>
              </w:rPr>
              <w:t>③</w:t>
            </w:r>
            <w:r>
              <w:rPr>
                <w:rFonts w:hint="default" w:ascii="Times New Roman"/>
                <w:color w:val="000000"/>
                <w:kern w:val="0"/>
                <w:sz w:val="15"/>
                <w:szCs w:val="15"/>
              </w:rPr>
              <w:t>是否与部门年度任务数或计划数相对应；</w:t>
            </w:r>
            <w:r>
              <w:rPr>
                <w:rFonts w:hint="default"/>
                <w:color w:val="000000"/>
                <w:kern w:val="0"/>
                <w:sz w:val="15"/>
                <w:szCs w:val="15"/>
              </w:rPr>
              <w:t>④</w:t>
            </w:r>
            <w:r>
              <w:rPr>
                <w:rFonts w:hint="default" w:ascii="Times New Roman"/>
                <w:color w:val="000000"/>
                <w:kern w:val="0"/>
                <w:sz w:val="15"/>
                <w:szCs w:val="15"/>
              </w:rPr>
              <w:t>是否与本年度部门预算资金相匹配。</w:t>
            </w:r>
          </w:p>
          <w:p>
            <w:pPr>
              <w:widowControl/>
              <w:rPr>
                <w:rFonts w:hint="default" w:ascii="Times New Roman" w:hAnsi="Times New Roman"/>
                <w:color w:val="000000"/>
                <w:kern w:val="0"/>
                <w:sz w:val="15"/>
                <w:szCs w:val="15"/>
              </w:rPr>
            </w:pPr>
          </w:p>
        </w:tc>
        <w:tc>
          <w:tcPr>
            <w:tcW w:w="1553" w:type="dxa"/>
            <w:tcBorders>
              <w:top w:val="nil"/>
              <w:left w:val="single" w:color="auto" w:sz="4" w:space="0"/>
              <w:bottom w:val="single" w:color="auto" w:sz="4" w:space="0"/>
              <w:right w:val="single" w:color="auto" w:sz="4" w:space="0"/>
            </w:tcBorders>
            <w:noWrap w:val="0"/>
            <w:vAlign w:val="center"/>
          </w:tcPr>
          <w:p>
            <w:pPr>
              <w:widowControl/>
              <w:rPr>
                <w:rFonts w:hint="default" w:ascii="Times New Roman" w:hAnsi="Times New Roman"/>
                <w:color w:val="000000"/>
                <w:kern w:val="0"/>
                <w:sz w:val="15"/>
                <w:szCs w:val="15"/>
              </w:rPr>
            </w:pPr>
            <w:r>
              <w:rPr>
                <w:rFonts w:hint="default" w:ascii="Times New Roman" w:hAnsi="Times New Roman"/>
                <w:color w:val="000000"/>
                <w:kern w:val="0"/>
                <w:sz w:val="15"/>
                <w:szCs w:val="15"/>
              </w:rPr>
              <w:t>明确：2分；较明确：1分；不明确：0分</w:t>
            </w:r>
          </w:p>
        </w:tc>
        <w:tc>
          <w:tcPr>
            <w:tcW w:w="621" w:type="dxa"/>
            <w:tcBorders>
              <w:top w:val="nil"/>
              <w:left w:val="nil"/>
              <w:bottom w:val="single" w:color="auto" w:sz="4" w:space="0"/>
              <w:right w:val="single" w:color="auto" w:sz="4" w:space="0"/>
            </w:tcBorders>
            <w:noWrap w:val="0"/>
            <w:vAlign w:val="center"/>
          </w:tcPr>
          <w:p>
            <w:pPr>
              <w:widowControl/>
              <w:ind w:firstLine="75" w:firstLineChars="50"/>
              <w:jc w:val="left"/>
              <w:rPr>
                <w:rFonts w:ascii="Times New Roman" w:hAnsi="Times New Roman"/>
                <w:color w:val="000000"/>
                <w:kern w:val="0"/>
                <w:sz w:val="15"/>
                <w:szCs w:val="15"/>
              </w:rPr>
            </w:pPr>
            <w:r>
              <w:rPr>
                <w:rFonts w:ascii="Times New Roman" w:hAnsi="Times New Roman"/>
                <w:color w:val="000000"/>
                <w:kern w:val="0"/>
                <w:sz w:val="15"/>
                <w:szCs w:val="15"/>
              </w:rPr>
              <w:t>2</w:t>
            </w:r>
          </w:p>
        </w:tc>
      </w:tr>
      <w:tr>
        <w:tblPrEx>
          <w:tblCellMar>
            <w:top w:w="0" w:type="dxa"/>
            <w:left w:w="108" w:type="dxa"/>
            <w:bottom w:w="0" w:type="dxa"/>
            <w:right w:w="108" w:type="dxa"/>
          </w:tblCellMar>
        </w:tblPrEx>
        <w:trPr>
          <w:trHeight w:val="1482" w:hRule="atLeast"/>
          <w:jc w:val="center"/>
        </w:trPr>
        <w:tc>
          <w:tcPr>
            <w:tcW w:w="77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p>
        </w:tc>
        <w:tc>
          <w:tcPr>
            <w:tcW w:w="770"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预算</w:t>
            </w:r>
          </w:p>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配置</w:t>
            </w:r>
          </w:p>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（6分）</w:t>
            </w:r>
          </w:p>
        </w:tc>
        <w:tc>
          <w:tcPr>
            <w:tcW w:w="7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在职人员控制率</w:t>
            </w:r>
          </w:p>
        </w:tc>
        <w:tc>
          <w:tcPr>
            <w:tcW w:w="47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3</w:t>
            </w:r>
          </w:p>
        </w:tc>
        <w:tc>
          <w:tcPr>
            <w:tcW w:w="2207" w:type="dxa"/>
            <w:tcBorders>
              <w:top w:val="nil"/>
              <w:left w:val="single" w:color="auto" w:sz="4" w:space="0"/>
              <w:bottom w:val="single" w:color="auto" w:sz="4" w:space="0"/>
              <w:right w:val="nil"/>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部门（单位）本年度实际在职人员数与编制数的比率，用以反映和考核对人员成本的控制程度。</w:t>
            </w:r>
          </w:p>
        </w:tc>
        <w:tc>
          <w:tcPr>
            <w:tcW w:w="2541" w:type="dxa"/>
            <w:tcBorders>
              <w:top w:val="nil"/>
              <w:left w:val="single" w:color="auto" w:sz="4" w:space="0"/>
              <w:bottom w:val="single" w:color="auto" w:sz="4" w:space="0"/>
              <w:right w:val="nil"/>
            </w:tcBorders>
            <w:noWrap w:val="0"/>
            <w:vAlign w:val="center"/>
          </w:tcPr>
          <w:p>
            <w:pPr>
              <w:widowControl/>
              <w:spacing w:line="240" w:lineRule="exact"/>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在职人员控制率=（在职人员数/编制数）×100%。在职人员数：部门（单位）实际在职人数，以财政局确定的部门决算编制口径为准。</w:t>
            </w:r>
          </w:p>
          <w:p>
            <w:pPr>
              <w:spacing w:line="240" w:lineRule="exact"/>
              <w:rPr>
                <w:rFonts w:hint="default" w:ascii="Times New Roman" w:hAnsi="Times New Roman"/>
              </w:rPr>
            </w:pPr>
            <w:r>
              <w:rPr>
                <w:rFonts w:hint="default" w:ascii="Times New Roman" w:hAnsi="Times New Roman"/>
                <w:color w:val="000000"/>
                <w:kern w:val="0"/>
                <w:sz w:val="15"/>
                <w:szCs w:val="15"/>
              </w:rPr>
              <w:t>编制数：机构编制部门核定批复的部门（单位）的人员编制数。</w:t>
            </w:r>
          </w:p>
          <w:p>
            <w:pPr>
              <w:widowControl/>
              <w:spacing w:line="240" w:lineRule="exact"/>
              <w:jc w:val="left"/>
              <w:rPr>
                <w:rFonts w:hint="default" w:ascii="Times New Roman" w:hAnsi="Times New Roman"/>
                <w:color w:val="000000"/>
                <w:kern w:val="0"/>
                <w:sz w:val="15"/>
                <w:szCs w:val="15"/>
              </w:rPr>
            </w:pPr>
          </w:p>
        </w:tc>
        <w:tc>
          <w:tcPr>
            <w:tcW w:w="1553" w:type="dxa"/>
            <w:tcBorders>
              <w:top w:val="nil"/>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以100%为标准。在职人员控制率</w:t>
            </w:r>
            <w:r>
              <w:rPr>
                <w:rFonts w:hint="default" w:ascii="宋体" w:hAnsi="Times New Roman"/>
                <w:color w:val="000000"/>
                <w:kern w:val="0"/>
                <w:sz w:val="15"/>
                <w:szCs w:val="15"/>
              </w:rPr>
              <w:t>≦</w:t>
            </w:r>
            <w:r>
              <w:rPr>
                <w:rFonts w:hint="default" w:ascii="Times New Roman" w:hAnsi="Times New Roman"/>
                <w:color w:val="000000"/>
                <w:kern w:val="0"/>
                <w:sz w:val="15"/>
                <w:szCs w:val="15"/>
              </w:rPr>
              <w:t>100%，计3分；每超过一个百分点扣0.5分，扣完为止。</w:t>
            </w:r>
          </w:p>
        </w:tc>
        <w:tc>
          <w:tcPr>
            <w:tcW w:w="621" w:type="dxa"/>
            <w:tcBorders>
              <w:top w:val="nil"/>
              <w:left w:val="nil"/>
              <w:bottom w:val="single" w:color="auto" w:sz="4" w:space="0"/>
              <w:right w:val="single" w:color="auto" w:sz="4" w:space="0"/>
            </w:tcBorders>
            <w:noWrap w:val="0"/>
            <w:vAlign w:val="center"/>
          </w:tcPr>
          <w:p>
            <w:pPr>
              <w:widowControl/>
              <w:ind w:firstLine="75" w:firstLineChars="50"/>
              <w:jc w:val="left"/>
              <w:rPr>
                <w:rFonts w:ascii="Times New Roman" w:hAnsi="Times New Roman"/>
                <w:color w:val="000000"/>
                <w:kern w:val="0"/>
                <w:sz w:val="15"/>
                <w:szCs w:val="15"/>
              </w:rPr>
            </w:pPr>
            <w:r>
              <w:rPr>
                <w:rFonts w:ascii="Times New Roman" w:hAnsi="Times New Roman"/>
                <w:color w:val="000000"/>
                <w:kern w:val="0"/>
                <w:sz w:val="15"/>
                <w:szCs w:val="15"/>
              </w:rPr>
              <w:t>3</w:t>
            </w:r>
          </w:p>
        </w:tc>
      </w:tr>
      <w:tr>
        <w:tblPrEx>
          <w:tblCellMar>
            <w:top w:w="0" w:type="dxa"/>
            <w:left w:w="108" w:type="dxa"/>
            <w:bottom w:w="0" w:type="dxa"/>
            <w:right w:w="108" w:type="dxa"/>
          </w:tblCellMar>
        </w:tblPrEx>
        <w:trPr>
          <w:trHeight w:val="1089" w:hRule="atLeast"/>
          <w:jc w:val="center"/>
        </w:trPr>
        <w:tc>
          <w:tcPr>
            <w:tcW w:w="775"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7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“三公经费”变动率</w:t>
            </w:r>
          </w:p>
        </w:tc>
        <w:tc>
          <w:tcPr>
            <w:tcW w:w="4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3</w:t>
            </w:r>
          </w:p>
        </w:tc>
        <w:tc>
          <w:tcPr>
            <w:tcW w:w="2207" w:type="dxa"/>
            <w:tcBorders>
              <w:top w:val="single" w:color="auto" w:sz="4" w:space="0"/>
              <w:left w:val="nil"/>
              <w:bottom w:val="single" w:color="auto" w:sz="4" w:space="0"/>
              <w:right w:val="single" w:color="auto" w:sz="4" w:space="0"/>
            </w:tcBorders>
            <w:noWrap w:val="0"/>
            <w:vAlign w:val="center"/>
          </w:tcPr>
          <w:p>
            <w:pPr>
              <w:spacing w:line="240" w:lineRule="exac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部门（单位）本年度“三公经费”预算数与上年度“三公经费”预算数的变动比率，用以反映和考核对控制重点行政成本的努力程度。</w:t>
            </w:r>
          </w:p>
        </w:tc>
        <w:tc>
          <w:tcPr>
            <w:tcW w:w="2541" w:type="dxa"/>
            <w:tcBorders>
              <w:top w:val="single" w:color="auto" w:sz="4" w:space="0"/>
              <w:left w:val="nil"/>
              <w:bottom w:val="single" w:color="auto" w:sz="4" w:space="0"/>
              <w:right w:val="single" w:color="auto" w:sz="4" w:space="0"/>
            </w:tcBorders>
            <w:noWrap w:val="0"/>
            <w:vAlign w:val="top"/>
          </w:tcPr>
          <w:p>
            <w:pPr>
              <w:spacing w:line="240" w:lineRule="exact"/>
              <w:rPr>
                <w:rFonts w:hint="default" w:ascii="Times New Roman" w:hAnsi="Times New Roman"/>
              </w:rPr>
            </w:pPr>
            <w:r>
              <w:rPr>
                <w:rFonts w:hint="default" w:ascii="Times New Roman" w:hAnsi="Times New Roman"/>
                <w:color w:val="000000"/>
                <w:kern w:val="0"/>
                <w:sz w:val="15"/>
                <w:szCs w:val="15"/>
              </w:rPr>
              <w:t>“三公经费”变动率=[（本年度“三公经费”预算数-上年度“三公经费”预算数）/上年度“三公经费”预算数]×100%。</w:t>
            </w:r>
          </w:p>
          <w:p>
            <w:pPr>
              <w:widowControl/>
              <w:spacing w:line="240" w:lineRule="exact"/>
              <w:rPr>
                <w:rFonts w:hint="default" w:ascii="Times New Roman" w:hAnsi="Times New Roman"/>
                <w:color w:val="000000"/>
                <w:kern w:val="0"/>
                <w:sz w:val="15"/>
                <w:szCs w:val="15"/>
              </w:rPr>
            </w:pPr>
          </w:p>
        </w:tc>
        <w:tc>
          <w:tcPr>
            <w:tcW w:w="1553"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default" w:ascii="Times New Roman" w:hAnsi="Times New Roman"/>
                <w:color w:val="000000"/>
                <w:kern w:val="0"/>
                <w:sz w:val="15"/>
                <w:szCs w:val="15"/>
              </w:rPr>
            </w:pPr>
            <w:r>
              <w:rPr>
                <w:rFonts w:hint="default" w:ascii="Times New Roman" w:hAnsi="Times New Roman"/>
                <w:color w:val="000000"/>
                <w:kern w:val="0"/>
                <w:sz w:val="15"/>
                <w:szCs w:val="15"/>
              </w:rPr>
              <w:t>“三公经费”变动率</w:t>
            </w:r>
            <w:r>
              <w:rPr>
                <w:rFonts w:hint="default" w:ascii="宋体" w:hAnsi="Times New Roman"/>
                <w:color w:val="000000"/>
                <w:kern w:val="0"/>
                <w:sz w:val="15"/>
                <w:szCs w:val="15"/>
              </w:rPr>
              <w:t>≦</w:t>
            </w:r>
            <w:r>
              <w:rPr>
                <w:rFonts w:hint="default" w:ascii="Times New Roman" w:hAnsi="Times New Roman"/>
                <w:color w:val="000000"/>
                <w:kern w:val="0"/>
                <w:sz w:val="15"/>
                <w:szCs w:val="15"/>
              </w:rPr>
              <w:t>0,计3分；“三公经费”变动率＞0，每超过一个百分点扣0.5分，扣完为止。</w:t>
            </w:r>
          </w:p>
        </w:tc>
        <w:tc>
          <w:tcPr>
            <w:tcW w:w="621" w:type="dxa"/>
            <w:tcBorders>
              <w:top w:val="nil"/>
              <w:left w:val="nil"/>
              <w:bottom w:val="single" w:color="auto" w:sz="4" w:space="0"/>
              <w:right w:val="single" w:color="auto" w:sz="4" w:space="0"/>
            </w:tcBorders>
            <w:noWrap w:val="0"/>
            <w:vAlign w:val="center"/>
          </w:tcPr>
          <w:p>
            <w:pPr>
              <w:widowControl/>
              <w:spacing w:line="240" w:lineRule="exact"/>
              <w:ind w:firstLine="75" w:firstLineChars="50"/>
              <w:jc w:val="left"/>
              <w:rPr>
                <w:rFonts w:ascii="Times New Roman" w:hAnsi="Times New Roman"/>
                <w:color w:val="000000"/>
                <w:kern w:val="0"/>
                <w:sz w:val="15"/>
                <w:szCs w:val="15"/>
              </w:rPr>
            </w:pPr>
            <w:r>
              <w:rPr>
                <w:rFonts w:ascii="Times New Roman" w:hAnsi="Times New Roman"/>
                <w:color w:val="000000"/>
                <w:kern w:val="0"/>
                <w:sz w:val="15"/>
                <w:szCs w:val="15"/>
              </w:rPr>
              <w:t>3</w:t>
            </w:r>
          </w:p>
        </w:tc>
      </w:tr>
      <w:tr>
        <w:tblPrEx>
          <w:tblCellMar>
            <w:top w:w="0" w:type="dxa"/>
            <w:left w:w="108" w:type="dxa"/>
            <w:bottom w:w="0" w:type="dxa"/>
            <w:right w:w="108" w:type="dxa"/>
          </w:tblCellMar>
        </w:tblPrEx>
        <w:trPr>
          <w:trHeight w:val="928" w:hRule="atLeast"/>
          <w:jc w:val="center"/>
        </w:trPr>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p>
          <w:p>
            <w:pPr>
              <w:widowControl/>
              <w:jc w:val="center"/>
              <w:rPr>
                <w:rFonts w:hint="default" w:ascii="Times New Roman" w:hAnsi="Times New Roman"/>
                <w:color w:val="000000"/>
                <w:kern w:val="0"/>
                <w:sz w:val="15"/>
                <w:szCs w:val="15"/>
              </w:rPr>
            </w:pPr>
          </w:p>
          <w:p>
            <w:pPr>
              <w:widowControl/>
              <w:jc w:val="center"/>
              <w:rPr>
                <w:rFonts w:hint="default" w:ascii="Times New Roman" w:hAnsi="Times New Roman"/>
                <w:color w:val="000000"/>
                <w:kern w:val="0"/>
                <w:sz w:val="15"/>
                <w:szCs w:val="15"/>
              </w:rPr>
            </w:pPr>
          </w:p>
          <w:p>
            <w:pPr>
              <w:widowControl/>
              <w:jc w:val="center"/>
              <w:rPr>
                <w:rFonts w:hint="default" w:ascii="Times New Roman" w:hAnsi="Times New Roman"/>
                <w:color w:val="000000"/>
                <w:kern w:val="0"/>
                <w:sz w:val="15"/>
                <w:szCs w:val="15"/>
              </w:rPr>
            </w:pPr>
          </w:p>
          <w:p>
            <w:pPr>
              <w:widowControl/>
              <w:jc w:val="center"/>
              <w:rPr>
                <w:rFonts w:hint="default" w:ascii="Times New Roman" w:hAnsi="Times New Roman"/>
                <w:color w:val="000000"/>
                <w:kern w:val="0"/>
                <w:sz w:val="15"/>
                <w:szCs w:val="15"/>
              </w:rPr>
            </w:pPr>
          </w:p>
          <w:p>
            <w:pPr>
              <w:widowControl/>
              <w:jc w:val="center"/>
              <w:rPr>
                <w:rFonts w:hint="default" w:ascii="Times New Roman" w:hAnsi="Times New Roman"/>
                <w:color w:val="000000"/>
                <w:kern w:val="0"/>
                <w:sz w:val="15"/>
                <w:szCs w:val="15"/>
              </w:rPr>
            </w:pPr>
          </w:p>
          <w:p>
            <w:pPr>
              <w:widowControl/>
              <w:jc w:val="center"/>
              <w:rPr>
                <w:rFonts w:hint="default" w:ascii="Times New Roman" w:hAnsi="Times New Roman"/>
                <w:color w:val="000000"/>
                <w:kern w:val="0"/>
                <w:sz w:val="15"/>
                <w:szCs w:val="15"/>
              </w:rPr>
            </w:pPr>
          </w:p>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过程</w:t>
            </w:r>
          </w:p>
          <w:p>
            <w:pPr>
              <w:widowControl/>
              <w:rPr>
                <w:rFonts w:hint="default" w:ascii="Times New Roman" w:hAnsi="Times New Roman"/>
                <w:color w:val="000000"/>
                <w:kern w:val="0"/>
                <w:sz w:val="15"/>
                <w:szCs w:val="15"/>
              </w:rPr>
            </w:pPr>
            <w:r>
              <w:rPr>
                <w:rFonts w:hint="default" w:ascii="Times New Roman" w:hAnsi="Times New Roman"/>
                <w:color w:val="000000"/>
                <w:kern w:val="0"/>
                <w:sz w:val="15"/>
                <w:szCs w:val="15"/>
              </w:rPr>
              <w:t xml:space="preserve">（50分）                                                   </w:t>
            </w:r>
          </w:p>
          <w:p>
            <w:pPr>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 xml:space="preserve">                                                    </w:t>
            </w:r>
          </w:p>
          <w:p>
            <w:pPr>
              <w:jc w:val="left"/>
              <w:rPr>
                <w:rFonts w:hint="default" w:ascii="Times New Roman" w:hAnsi="Times New Roman"/>
                <w:color w:val="000000"/>
                <w:kern w:val="0"/>
                <w:sz w:val="15"/>
                <w:szCs w:val="15"/>
              </w:rPr>
            </w:pPr>
          </w:p>
          <w:p>
            <w:pPr>
              <w:jc w:val="left"/>
              <w:rPr>
                <w:rFonts w:hint="default" w:ascii="Times New Roman" w:hAnsi="Times New Roman"/>
                <w:color w:val="000000"/>
                <w:kern w:val="0"/>
                <w:sz w:val="15"/>
                <w:szCs w:val="15"/>
              </w:rPr>
            </w:pPr>
          </w:p>
          <w:p>
            <w:pPr>
              <w:jc w:val="left"/>
              <w:rPr>
                <w:rFonts w:hint="default" w:ascii="Times New Roman" w:hAnsi="Times New Roman"/>
                <w:color w:val="000000"/>
                <w:kern w:val="0"/>
                <w:sz w:val="15"/>
                <w:szCs w:val="15"/>
              </w:rPr>
            </w:pPr>
          </w:p>
          <w:p>
            <w:pPr>
              <w:jc w:val="left"/>
              <w:rPr>
                <w:rFonts w:hint="default" w:ascii="Times New Roman" w:hAnsi="Times New Roman"/>
                <w:color w:val="000000"/>
                <w:kern w:val="0"/>
                <w:sz w:val="15"/>
                <w:szCs w:val="15"/>
              </w:rPr>
            </w:pPr>
          </w:p>
          <w:p>
            <w:pPr>
              <w:jc w:val="left"/>
              <w:rPr>
                <w:rFonts w:hint="default" w:ascii="Times New Roman" w:hAnsi="Times New Roman"/>
                <w:color w:val="000000"/>
                <w:kern w:val="0"/>
                <w:sz w:val="15"/>
                <w:szCs w:val="15"/>
              </w:rPr>
            </w:pPr>
          </w:p>
          <w:p>
            <w:pPr>
              <w:jc w:val="left"/>
              <w:rPr>
                <w:rFonts w:hint="default" w:ascii="Times New Roman" w:hAnsi="Times New Roman"/>
                <w:color w:val="000000"/>
                <w:kern w:val="0"/>
                <w:sz w:val="15"/>
                <w:szCs w:val="15"/>
              </w:rPr>
            </w:pPr>
          </w:p>
          <w:p>
            <w:pPr>
              <w:jc w:val="left"/>
              <w:rPr>
                <w:rFonts w:hint="default" w:ascii="Times New Roman" w:hAnsi="Times New Roman"/>
                <w:color w:val="000000"/>
                <w:kern w:val="0"/>
                <w:sz w:val="15"/>
                <w:szCs w:val="15"/>
              </w:rPr>
            </w:pPr>
          </w:p>
          <w:p>
            <w:pPr>
              <w:jc w:val="left"/>
              <w:rPr>
                <w:rFonts w:hint="default" w:ascii="Times New Roman" w:hAnsi="Times New Roman"/>
                <w:color w:val="000000"/>
                <w:kern w:val="0"/>
                <w:sz w:val="15"/>
                <w:szCs w:val="15"/>
              </w:rPr>
            </w:pPr>
          </w:p>
          <w:p>
            <w:pPr>
              <w:jc w:val="left"/>
              <w:rPr>
                <w:rFonts w:hint="default" w:ascii="Times New Roman" w:hAnsi="Times New Roman"/>
                <w:color w:val="000000"/>
                <w:kern w:val="0"/>
                <w:sz w:val="15"/>
                <w:szCs w:val="15"/>
              </w:rPr>
            </w:pPr>
          </w:p>
          <w:p>
            <w:pPr>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 xml:space="preserve">             </w:t>
            </w:r>
          </w:p>
          <w:p>
            <w:pPr>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过程</w:t>
            </w:r>
          </w:p>
          <w:p>
            <w:pPr>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(50分)</w:t>
            </w:r>
          </w:p>
        </w:tc>
        <w:tc>
          <w:tcPr>
            <w:tcW w:w="77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预算</w:t>
            </w:r>
          </w:p>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执行</w:t>
            </w:r>
          </w:p>
          <w:p>
            <w:pPr>
              <w:rPr>
                <w:rFonts w:hint="default" w:ascii="Times New Roman" w:hAnsi="Times New Roman"/>
                <w:color w:val="000000"/>
                <w:kern w:val="0"/>
                <w:sz w:val="15"/>
                <w:szCs w:val="15"/>
              </w:rPr>
            </w:pPr>
            <w:r>
              <w:rPr>
                <w:rFonts w:hint="default" w:ascii="Times New Roman" w:hAnsi="Times New Roman"/>
                <w:color w:val="000000"/>
                <w:kern w:val="0"/>
                <w:sz w:val="15"/>
                <w:szCs w:val="15"/>
              </w:rPr>
              <w:t>(32分)</w:t>
            </w:r>
          </w:p>
        </w:tc>
        <w:tc>
          <w:tcPr>
            <w:tcW w:w="7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预算到位率</w:t>
            </w:r>
          </w:p>
        </w:tc>
        <w:tc>
          <w:tcPr>
            <w:tcW w:w="4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部门（单位）本年度部门预算数与部门决算数的比率，用以反映和考核预算完成程度。</w:t>
            </w:r>
          </w:p>
        </w:tc>
        <w:tc>
          <w:tcPr>
            <w:tcW w:w="254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预算到位率=预算数/决算数×100%。</w:t>
            </w:r>
          </w:p>
        </w:tc>
        <w:tc>
          <w:tcPr>
            <w:tcW w:w="15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≥90%：5分；每减少10%的完成率扣1分，扣完为止</w:t>
            </w:r>
          </w:p>
        </w:tc>
        <w:tc>
          <w:tcPr>
            <w:tcW w:w="621"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5"/>
                <w:szCs w:val="15"/>
              </w:rPr>
            </w:pPr>
            <w:r>
              <w:rPr>
                <w:rFonts w:ascii="Times New Roman" w:hAnsi="Times New Roman"/>
                <w:color w:val="000000"/>
                <w:kern w:val="0"/>
                <w:sz w:val="15"/>
                <w:szCs w:val="15"/>
              </w:rPr>
              <w:t xml:space="preserve"> 5</w:t>
            </w:r>
          </w:p>
        </w:tc>
      </w:tr>
      <w:tr>
        <w:tblPrEx>
          <w:tblCellMar>
            <w:top w:w="0" w:type="dxa"/>
            <w:left w:w="108" w:type="dxa"/>
            <w:bottom w:w="0" w:type="dxa"/>
            <w:right w:w="108" w:type="dxa"/>
          </w:tblCellMar>
        </w:tblPrEx>
        <w:trPr>
          <w:trHeight w:val="1561" w:hRule="atLeas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olor w:val="000000"/>
                <w:kern w:val="0"/>
                <w:sz w:val="15"/>
                <w:szCs w:val="15"/>
              </w:rPr>
            </w:pPr>
          </w:p>
        </w:tc>
        <w:tc>
          <w:tcPr>
            <w:tcW w:w="770" w:type="dxa"/>
            <w:vMerge w:val="continue"/>
            <w:tcBorders>
              <w:left w:val="single" w:color="auto" w:sz="4" w:space="0"/>
              <w:right w:val="single" w:color="auto" w:sz="4" w:space="0"/>
            </w:tcBorders>
            <w:noWrap w:val="0"/>
            <w:vAlign w:val="center"/>
          </w:tcPr>
          <w:p>
            <w:pPr>
              <w:jc w:val="center"/>
              <w:rPr>
                <w:rFonts w:hint="default" w:ascii="Times New Roman" w:hAnsi="Times New Roman"/>
                <w:color w:val="000000"/>
                <w:kern w:val="0"/>
                <w:sz w:val="15"/>
                <w:szCs w:val="15"/>
              </w:rPr>
            </w:pPr>
          </w:p>
        </w:tc>
        <w:tc>
          <w:tcPr>
            <w:tcW w:w="7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预算控制率</w:t>
            </w:r>
          </w:p>
        </w:tc>
        <w:tc>
          <w:tcPr>
            <w:tcW w:w="4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部门（单位）本年度预算调整数与预算数的比率，用以反映和考核预算的调整程度。</w:t>
            </w:r>
          </w:p>
        </w:tc>
        <w:tc>
          <w:tcPr>
            <w:tcW w:w="2541" w:type="dxa"/>
            <w:tcBorders>
              <w:top w:val="nil"/>
              <w:left w:val="nil"/>
              <w:bottom w:val="single" w:color="auto" w:sz="4" w:space="0"/>
              <w:right w:val="single" w:color="auto" w:sz="4" w:space="0"/>
            </w:tcBorders>
            <w:noWrap w:val="0"/>
            <w:vAlign w:val="center"/>
          </w:tcPr>
          <w:p>
            <w:pPr>
              <w:spacing w:line="240" w:lineRule="exact"/>
              <w:rPr>
                <w:rFonts w:hint="default" w:ascii="Times New Roman" w:hAnsi="Times New Roman"/>
              </w:rPr>
            </w:pPr>
            <w:r>
              <w:rPr>
                <w:rFonts w:hint="default" w:ascii="Times New Roman" w:hAnsi="Times New Roman"/>
                <w:color w:val="000000"/>
                <w:kern w:val="0"/>
                <w:sz w:val="15"/>
                <w:szCs w:val="15"/>
              </w:rPr>
              <w:t>预算控制率=（预算调整数/预算数）×100%。</w:t>
            </w:r>
            <w:r>
              <w:rPr>
                <w:rFonts w:hint="default" w:ascii="Times New Roman" w:hAnsi="Times New Roman"/>
                <w:color w:val="000000"/>
                <w:kern w:val="0"/>
                <w:sz w:val="15"/>
                <w:szCs w:val="15"/>
              </w:rPr>
              <w:br w:type="textWrapping"/>
            </w:r>
            <w:r>
              <w:rPr>
                <w:rFonts w:hint="default" w:ascii="Times New Roman" w:hAnsi="Times New Roman"/>
                <w:color w:val="000000"/>
                <w:kern w:val="0"/>
                <w:sz w:val="15"/>
                <w:szCs w:val="15"/>
              </w:rPr>
              <w:t>预算调整数：部门（单位）在本年度内涉及预算的追加、追减或结构调整的资金总和（因落实国家政策、发生不可抗力、上级部门或本级党委政府临时交办而产生的调整除外）。</w:t>
            </w:r>
          </w:p>
          <w:p>
            <w:pPr>
              <w:widowControl/>
              <w:jc w:val="left"/>
              <w:rPr>
                <w:rFonts w:hint="default" w:ascii="Times New Roman" w:hAnsi="Times New Roman"/>
                <w:color w:val="000000"/>
                <w:kern w:val="0"/>
                <w:sz w:val="15"/>
                <w:szCs w:val="15"/>
              </w:rPr>
            </w:pPr>
          </w:p>
        </w:tc>
        <w:tc>
          <w:tcPr>
            <w:tcW w:w="15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≤0：5分；每增加10%的调整率扣1分，扣完为止</w:t>
            </w:r>
          </w:p>
        </w:tc>
        <w:tc>
          <w:tcPr>
            <w:tcW w:w="621"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5"/>
                <w:szCs w:val="15"/>
              </w:rPr>
            </w:pPr>
            <w:r>
              <w:rPr>
                <w:rFonts w:ascii="Times New Roman" w:hAnsi="Times New Roman"/>
                <w:color w:val="000000"/>
                <w:kern w:val="0"/>
                <w:sz w:val="15"/>
                <w:szCs w:val="15"/>
              </w:rPr>
              <w:t xml:space="preserve"> 3</w:t>
            </w:r>
          </w:p>
        </w:tc>
      </w:tr>
      <w:tr>
        <w:tblPrEx>
          <w:tblCellMar>
            <w:top w:w="0" w:type="dxa"/>
            <w:left w:w="108" w:type="dxa"/>
            <w:bottom w:w="0" w:type="dxa"/>
            <w:right w:w="108" w:type="dxa"/>
          </w:tblCellMar>
        </w:tblPrEx>
        <w:trPr>
          <w:trHeight w:val="1486" w:hRule="atLeas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olor w:val="000000"/>
                <w:kern w:val="0"/>
                <w:sz w:val="15"/>
                <w:szCs w:val="15"/>
              </w:rPr>
            </w:pPr>
          </w:p>
        </w:tc>
        <w:tc>
          <w:tcPr>
            <w:tcW w:w="77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olor w:val="000000"/>
                <w:kern w:val="0"/>
                <w:sz w:val="15"/>
                <w:szCs w:val="15"/>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结余结转率</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部门（单位）本年度结转结余总额与支出预算数的比率，用以反映和考核对本年度结转结余资金的实际控制程度。</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color w:val="000000"/>
                <w:kern w:val="0"/>
                <w:sz w:val="15"/>
                <w:szCs w:val="15"/>
              </w:rPr>
            </w:pPr>
            <w:r>
              <w:rPr>
                <w:rFonts w:hint="default" w:ascii="Times New Roman" w:hAnsi="Times New Roman"/>
                <w:color w:val="000000"/>
                <w:kern w:val="0"/>
                <w:sz w:val="15"/>
                <w:szCs w:val="15"/>
              </w:rPr>
              <w:t>结转结余率=结转结余总额/支出决算数×100%。</w:t>
            </w:r>
            <w:r>
              <w:rPr>
                <w:rFonts w:hint="default" w:ascii="Times New Roman" w:hAnsi="Times New Roman"/>
                <w:color w:val="000000"/>
                <w:kern w:val="0"/>
                <w:sz w:val="15"/>
                <w:szCs w:val="15"/>
              </w:rPr>
              <w:br w:type="textWrapping"/>
            </w:r>
            <w:r>
              <w:rPr>
                <w:rFonts w:hint="default" w:ascii="Times New Roman" w:hAnsi="Times New Roman"/>
                <w:color w:val="000000"/>
                <w:kern w:val="0"/>
                <w:sz w:val="15"/>
                <w:szCs w:val="15"/>
              </w:rPr>
              <w:t>结转结余总额：部门（单位）本年度的结转资金与结余资金之和（以决算数为准）。</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color w:val="000000"/>
                <w:kern w:val="0"/>
                <w:sz w:val="15"/>
                <w:szCs w:val="15"/>
              </w:rPr>
            </w:pPr>
            <w:r>
              <w:rPr>
                <w:rFonts w:hint="default" w:ascii="Times New Roman" w:hAnsi="Times New Roman"/>
                <w:color w:val="000000"/>
                <w:kern w:val="0"/>
                <w:sz w:val="15"/>
                <w:szCs w:val="15"/>
              </w:rPr>
              <w:t>≤9%：5分；每增加10%的调整率扣1分，扣完为止</w:t>
            </w:r>
          </w:p>
        </w:tc>
        <w:tc>
          <w:tcPr>
            <w:tcW w:w="6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15"/>
                <w:szCs w:val="15"/>
              </w:rPr>
            </w:pPr>
            <w:r>
              <w:rPr>
                <w:rFonts w:ascii="Times New Roman" w:hAnsi="Times New Roman"/>
                <w:color w:val="000000"/>
                <w:kern w:val="0"/>
                <w:sz w:val="15"/>
                <w:szCs w:val="15"/>
              </w:rPr>
              <w:t xml:space="preserve">  5</w:t>
            </w:r>
          </w:p>
        </w:tc>
      </w:tr>
      <w:tr>
        <w:tblPrEx>
          <w:tblCellMar>
            <w:top w:w="0" w:type="dxa"/>
            <w:left w:w="108" w:type="dxa"/>
            <w:bottom w:w="0" w:type="dxa"/>
            <w:right w:w="108" w:type="dxa"/>
          </w:tblCellMar>
        </w:tblPrEx>
        <w:trPr>
          <w:trHeight w:val="1322" w:hRule="exac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olor w:val="000000"/>
                <w:kern w:val="0"/>
                <w:sz w:val="15"/>
                <w:szCs w:val="15"/>
              </w:rPr>
            </w:pPr>
          </w:p>
        </w:tc>
        <w:tc>
          <w:tcPr>
            <w:tcW w:w="77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预算</w:t>
            </w:r>
          </w:p>
          <w:p>
            <w:pPr>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执行</w:t>
            </w:r>
          </w:p>
          <w:p>
            <w:pPr>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(32分)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结余结转变动率</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rPr>
            </w:pPr>
            <w:r>
              <w:rPr>
                <w:rFonts w:hint="default" w:ascii="Times New Roman" w:hAnsi="Times New Roman"/>
                <w:color w:val="000000"/>
                <w:kern w:val="0"/>
                <w:sz w:val="15"/>
                <w:szCs w:val="15"/>
              </w:rPr>
              <w:t>部门（单位）本年度结转结余资金总额与上年度结转结余资金总额的变动比率，用以反映和考核对控制结转结余资金的努力程度。</w:t>
            </w:r>
          </w:p>
          <w:p>
            <w:pPr>
              <w:widowControl/>
              <w:jc w:val="left"/>
              <w:rPr>
                <w:rFonts w:hint="default" w:ascii="Times New Roman" w:hAnsi="Times New Roman"/>
                <w:color w:val="000000"/>
                <w:kern w:val="0"/>
                <w:sz w:val="15"/>
                <w:szCs w:val="15"/>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rPr>
            </w:pPr>
            <w:r>
              <w:rPr>
                <w:rFonts w:hint="default" w:ascii="Times New Roman" w:hAnsi="Times New Roman"/>
                <w:color w:val="000000"/>
                <w:kern w:val="0"/>
                <w:sz w:val="15"/>
                <w:szCs w:val="15"/>
              </w:rPr>
              <w:t>结转结余变动率=[（本年度累计结转结余资金总额-上年度累计结转结余资金总额）/上年度累计结转结余资金总额]×100%。</w:t>
            </w:r>
          </w:p>
          <w:p>
            <w:pPr>
              <w:widowControl/>
              <w:jc w:val="left"/>
              <w:rPr>
                <w:rFonts w:hint="default" w:ascii="Times New Roman" w:hAnsi="Times New Roman"/>
                <w:color w:val="000000"/>
                <w:kern w:val="0"/>
                <w:sz w:val="15"/>
                <w:szCs w:val="15"/>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color w:val="000000"/>
                <w:kern w:val="0"/>
                <w:sz w:val="15"/>
                <w:szCs w:val="15"/>
              </w:rPr>
            </w:pPr>
            <w:r>
              <w:rPr>
                <w:rFonts w:hint="default" w:ascii="Times New Roman" w:hAnsi="Times New Roman"/>
                <w:color w:val="000000"/>
                <w:kern w:val="0"/>
                <w:sz w:val="15"/>
                <w:szCs w:val="15"/>
              </w:rPr>
              <w:t>≤10%：5分；每增加10%的调整率扣1分，扣完为止</w:t>
            </w:r>
          </w:p>
        </w:tc>
        <w:tc>
          <w:tcPr>
            <w:tcW w:w="6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15"/>
                <w:szCs w:val="15"/>
              </w:rPr>
            </w:pPr>
            <w:r>
              <w:rPr>
                <w:rFonts w:ascii="Times New Roman" w:hAnsi="Times New Roman"/>
                <w:color w:val="000000"/>
                <w:kern w:val="0"/>
                <w:sz w:val="15"/>
                <w:szCs w:val="15"/>
              </w:rPr>
              <w:t xml:space="preserve">  5</w:t>
            </w:r>
          </w:p>
        </w:tc>
      </w:tr>
      <w:tr>
        <w:tblPrEx>
          <w:tblCellMar>
            <w:top w:w="0" w:type="dxa"/>
            <w:left w:w="108" w:type="dxa"/>
            <w:bottom w:w="0" w:type="dxa"/>
            <w:right w:w="108" w:type="dxa"/>
          </w:tblCellMar>
        </w:tblPrEx>
        <w:trPr>
          <w:trHeight w:val="1262" w:hRule="atLeas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olor w:val="000000"/>
                <w:kern w:val="0"/>
                <w:sz w:val="15"/>
                <w:szCs w:val="15"/>
              </w:rPr>
            </w:pPr>
          </w:p>
        </w:tc>
        <w:tc>
          <w:tcPr>
            <w:tcW w:w="770"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公用经费控制率</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4</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部门（单位）本年度实际支出的公用经费总额与预算安排的公用经费总额的比率，用以反映和考核对机构运转成本的实际控制程度。</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rPr>
            </w:pPr>
            <w:r>
              <w:rPr>
                <w:rFonts w:hint="default" w:ascii="Times New Roman" w:hAnsi="Times New Roman"/>
                <w:color w:val="000000"/>
                <w:kern w:val="0"/>
                <w:sz w:val="15"/>
                <w:szCs w:val="15"/>
              </w:rPr>
              <w:t>公用经费控制率=（实际支出公用经费总额/公用经费预算总额）×100%。公用经费支出是指部门基本支出中的一般商品和服务支出。</w:t>
            </w:r>
          </w:p>
          <w:p>
            <w:pPr>
              <w:widowControl/>
              <w:jc w:val="left"/>
              <w:rPr>
                <w:rFonts w:hint="default" w:ascii="Times New Roman" w:hAnsi="Times New Roman"/>
                <w:color w:val="000000"/>
                <w:kern w:val="0"/>
                <w:sz w:val="15"/>
                <w:szCs w:val="15"/>
              </w:rPr>
            </w:pPr>
          </w:p>
        </w:tc>
        <w:tc>
          <w:tcPr>
            <w:tcW w:w="1553" w:type="dxa"/>
            <w:tcBorders>
              <w:top w:val="single" w:color="auto" w:sz="4" w:space="0"/>
              <w:left w:val="nil"/>
              <w:bottom w:val="single" w:color="auto" w:sz="4" w:space="0"/>
              <w:right w:val="single" w:color="auto" w:sz="4" w:space="0"/>
            </w:tcBorders>
            <w:noWrap w:val="0"/>
            <w:vAlign w:val="center"/>
          </w:tcPr>
          <w:p>
            <w:pPr>
              <w:widowControl/>
              <w:rPr>
                <w:rFonts w:hint="default" w:ascii="Times New Roman" w:hAnsi="Times New Roman"/>
                <w:color w:val="000000"/>
                <w:kern w:val="0"/>
                <w:sz w:val="15"/>
                <w:szCs w:val="15"/>
              </w:rPr>
            </w:pPr>
            <w:r>
              <w:rPr>
                <w:rFonts w:hint="default" w:ascii="Times New Roman" w:hAnsi="Times New Roman"/>
                <w:color w:val="000000"/>
                <w:kern w:val="0"/>
                <w:sz w:val="15"/>
                <w:szCs w:val="15"/>
              </w:rPr>
              <w:t>≤100%：4分；每增加5%的公用经费扣1分，扣完为止</w:t>
            </w:r>
          </w:p>
        </w:tc>
        <w:tc>
          <w:tcPr>
            <w:tcW w:w="6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50" w:firstLineChars="100"/>
              <w:jc w:val="left"/>
              <w:rPr>
                <w:rFonts w:ascii="Times New Roman" w:hAnsi="Times New Roman"/>
                <w:color w:val="000000"/>
                <w:kern w:val="0"/>
                <w:sz w:val="15"/>
                <w:szCs w:val="15"/>
              </w:rPr>
            </w:pPr>
            <w:r>
              <w:rPr>
                <w:rFonts w:ascii="Times New Roman" w:hAnsi="Times New Roman"/>
                <w:color w:val="000000"/>
                <w:kern w:val="0"/>
                <w:sz w:val="15"/>
                <w:szCs w:val="15"/>
              </w:rPr>
              <w:t>1</w:t>
            </w:r>
          </w:p>
        </w:tc>
      </w:tr>
      <w:tr>
        <w:tblPrEx>
          <w:tblCellMar>
            <w:top w:w="0" w:type="dxa"/>
            <w:left w:w="108" w:type="dxa"/>
            <w:bottom w:w="0" w:type="dxa"/>
            <w:right w:w="108" w:type="dxa"/>
          </w:tblCellMar>
        </w:tblPrEx>
        <w:trPr>
          <w:trHeight w:val="1034" w:hRule="exac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olor w:val="000000"/>
                <w:kern w:val="0"/>
                <w:sz w:val="15"/>
                <w:szCs w:val="15"/>
              </w:rPr>
            </w:pPr>
          </w:p>
        </w:tc>
        <w:tc>
          <w:tcPr>
            <w:tcW w:w="7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“三公经费”控制率</w:t>
            </w:r>
          </w:p>
        </w:tc>
        <w:tc>
          <w:tcPr>
            <w:tcW w:w="4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nil"/>
              <w:left w:val="nil"/>
              <w:bottom w:val="single" w:color="auto" w:sz="4" w:space="0"/>
              <w:right w:val="single" w:color="auto" w:sz="4" w:space="0"/>
            </w:tcBorders>
            <w:noWrap w:val="0"/>
            <w:vAlign w:val="center"/>
          </w:tcPr>
          <w:p>
            <w:pPr>
              <w:spacing w:line="240" w:lineRule="exac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部门（单位）本年度“三公经费”实际支出数与预算安排数的比率，用以反映和考核对“三公经费”的实际控制程度。</w:t>
            </w:r>
          </w:p>
        </w:tc>
        <w:tc>
          <w:tcPr>
            <w:tcW w:w="2541" w:type="dxa"/>
            <w:tcBorders>
              <w:top w:val="nil"/>
              <w:left w:val="nil"/>
              <w:bottom w:val="single" w:color="auto" w:sz="4" w:space="0"/>
              <w:right w:val="single" w:color="auto" w:sz="4" w:space="0"/>
            </w:tcBorders>
            <w:noWrap w:val="0"/>
            <w:vAlign w:val="top"/>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“三公经费”控制率=（“三公经费”实际支出数/“三公经费”预算数）×100%。</w:t>
            </w:r>
          </w:p>
        </w:tc>
        <w:tc>
          <w:tcPr>
            <w:tcW w:w="1553" w:type="dxa"/>
            <w:tcBorders>
              <w:top w:val="single" w:color="auto" w:sz="4" w:space="0"/>
              <w:left w:val="nil"/>
              <w:bottom w:val="single" w:color="auto" w:sz="4" w:space="0"/>
              <w:right w:val="single" w:color="auto" w:sz="4" w:space="0"/>
            </w:tcBorders>
            <w:noWrap w:val="0"/>
            <w:vAlign w:val="center"/>
          </w:tcPr>
          <w:p>
            <w:pPr>
              <w:widowControl/>
              <w:rPr>
                <w:rFonts w:hint="default" w:ascii="Times New Roman" w:hAnsi="Times New Roman"/>
                <w:color w:val="000000"/>
                <w:kern w:val="0"/>
                <w:sz w:val="15"/>
                <w:szCs w:val="15"/>
              </w:rPr>
            </w:pPr>
            <w:r>
              <w:rPr>
                <w:rFonts w:hint="default" w:ascii="Times New Roman" w:hAnsi="Times New Roman"/>
                <w:color w:val="000000"/>
                <w:kern w:val="0"/>
                <w:sz w:val="15"/>
                <w:szCs w:val="15"/>
              </w:rPr>
              <w:t>≤100%：5分；每增加1%的“三公经费”扣1分，扣完为止</w:t>
            </w:r>
          </w:p>
        </w:tc>
        <w:tc>
          <w:tcPr>
            <w:tcW w:w="62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ascii="Times New Roman" w:hAnsi="Times New Roman"/>
                <w:color w:val="000000"/>
                <w:kern w:val="0"/>
                <w:sz w:val="15"/>
                <w:szCs w:val="15"/>
              </w:rPr>
              <w:t xml:space="preserve">  5</w:t>
            </w:r>
            <w:r>
              <w:rPr>
                <w:rFonts w:hint="default" w:ascii="Times New Roman" w:hAnsi="Times New Roman"/>
                <w:color w:val="000000"/>
                <w:kern w:val="0"/>
                <w:sz w:val="15"/>
                <w:szCs w:val="15"/>
              </w:rPr>
              <w:t>　</w:t>
            </w:r>
          </w:p>
        </w:tc>
      </w:tr>
      <w:tr>
        <w:tblPrEx>
          <w:tblCellMar>
            <w:top w:w="0" w:type="dxa"/>
            <w:left w:w="108" w:type="dxa"/>
            <w:bottom w:w="0" w:type="dxa"/>
            <w:right w:w="108" w:type="dxa"/>
          </w:tblCellMar>
        </w:tblPrEx>
        <w:trPr>
          <w:trHeight w:val="825" w:hRule="atLeas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olor w:val="000000"/>
                <w:kern w:val="0"/>
                <w:sz w:val="15"/>
                <w:szCs w:val="15"/>
              </w:rPr>
            </w:pPr>
          </w:p>
        </w:tc>
        <w:tc>
          <w:tcPr>
            <w:tcW w:w="77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0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政府采购执行率</w:t>
            </w:r>
          </w:p>
        </w:tc>
        <w:tc>
          <w:tcPr>
            <w:tcW w:w="4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3</w:t>
            </w:r>
          </w:p>
        </w:tc>
        <w:tc>
          <w:tcPr>
            <w:tcW w:w="2207" w:type="dxa"/>
            <w:tcBorders>
              <w:top w:val="nil"/>
              <w:left w:val="nil"/>
              <w:bottom w:val="single" w:color="000000"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部门（单位）本年度实际政府采购金额与年初政府采购预算的比率，用以反映和考核政府采购预算执行情况。</w:t>
            </w:r>
          </w:p>
        </w:tc>
        <w:tc>
          <w:tcPr>
            <w:tcW w:w="2541" w:type="dxa"/>
            <w:tcBorders>
              <w:top w:val="nil"/>
              <w:left w:val="nil"/>
              <w:bottom w:val="single" w:color="000000"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 xml:space="preserve">政府采购执行率=（实际政府采购金额/政府采购预算数）×100%。政府采购预算：采购机关根据事业发展计划和行政任务编制的、并经过规定程序批准的年度政府采购计划。 </w:t>
            </w:r>
          </w:p>
        </w:tc>
        <w:tc>
          <w:tcPr>
            <w:tcW w:w="15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90%-110%:3分；每超过（降低）10%的波动扣0.5分，扣完为止</w:t>
            </w:r>
          </w:p>
        </w:tc>
        <w:tc>
          <w:tcPr>
            <w:tcW w:w="62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5"/>
                <w:szCs w:val="15"/>
              </w:rPr>
            </w:pPr>
            <w:r>
              <w:rPr>
                <w:rFonts w:hint="default" w:ascii="Times New Roman" w:hAnsi="Times New Roman"/>
                <w:color w:val="000000"/>
                <w:kern w:val="0"/>
                <w:sz w:val="15"/>
                <w:szCs w:val="15"/>
              </w:rPr>
              <w:t>　</w:t>
            </w:r>
            <w:r>
              <w:rPr>
                <w:rFonts w:ascii="Times New Roman" w:hAnsi="Times New Roman"/>
                <w:color w:val="000000"/>
                <w:kern w:val="0"/>
                <w:sz w:val="15"/>
                <w:szCs w:val="15"/>
              </w:rPr>
              <w:t>1</w:t>
            </w:r>
          </w:p>
        </w:tc>
      </w:tr>
      <w:tr>
        <w:tblPrEx>
          <w:tblCellMar>
            <w:top w:w="0" w:type="dxa"/>
            <w:left w:w="108" w:type="dxa"/>
            <w:bottom w:w="0" w:type="dxa"/>
            <w:right w:w="108" w:type="dxa"/>
          </w:tblCellMar>
        </w:tblPrEx>
        <w:trPr>
          <w:trHeight w:val="1928" w:hRule="exac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预算</w:t>
            </w:r>
          </w:p>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管理</w:t>
            </w:r>
          </w:p>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（18分）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管理制度健全性</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single" w:color="000000" w:sz="4" w:space="0"/>
              <w:left w:val="single" w:color="auto" w:sz="4" w:space="0"/>
              <w:bottom w:val="single" w:color="000000" w:sz="4" w:space="0"/>
              <w:right w:val="single" w:color="000000" w:sz="4" w:space="0"/>
            </w:tcBorders>
            <w:noWrap w:val="0"/>
            <w:vAlign w:val="top"/>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部门（单位）为加强预算管理、规范财务行为而制定的管理制度是否健全完整，用以反映和考核预算管理制度对完成主要职责或促进事业发展的保障情况。</w:t>
            </w:r>
          </w:p>
        </w:tc>
        <w:tc>
          <w:tcPr>
            <w:tcW w:w="2541" w:type="dxa"/>
            <w:tcBorders>
              <w:top w:val="single" w:color="000000" w:sz="4" w:space="0"/>
              <w:left w:val="single" w:color="auto" w:sz="4" w:space="0"/>
              <w:bottom w:val="single" w:color="000000" w:sz="4" w:space="0"/>
              <w:right w:val="single" w:color="000000" w:sz="4" w:space="0"/>
            </w:tcBorders>
            <w:noWrap w:val="0"/>
            <w:vAlign w:val="top"/>
          </w:tcPr>
          <w:p>
            <w:pPr>
              <w:spacing w:line="240" w:lineRule="exact"/>
              <w:rPr>
                <w:rFonts w:hint="default" w:ascii="Times New Roman" w:hAnsi="Times New Roman"/>
              </w:rPr>
            </w:pPr>
            <w:r>
              <w:rPr>
                <w:rFonts w:hint="default" w:ascii="Times New Roman" w:hAnsi="Times New Roman"/>
                <w:color w:val="000000"/>
                <w:kern w:val="0"/>
                <w:sz w:val="15"/>
                <w:szCs w:val="15"/>
              </w:rPr>
              <w:t>评价要点：</w:t>
            </w:r>
            <w:r>
              <w:rPr>
                <w:rFonts w:hint="default" w:ascii="Times New Roman" w:hAnsi="Times New Roman"/>
                <w:color w:val="000000"/>
                <w:kern w:val="0"/>
                <w:sz w:val="15"/>
                <w:szCs w:val="15"/>
              </w:rPr>
              <w:br w:type="textWrapping"/>
            </w:r>
            <w:r>
              <w:rPr>
                <w:rFonts w:hint="default" w:hAnsi="Times New Roman"/>
                <w:color w:val="000000"/>
                <w:kern w:val="0"/>
                <w:sz w:val="15"/>
                <w:szCs w:val="15"/>
              </w:rPr>
              <w:t>①</w:t>
            </w:r>
            <w:r>
              <w:rPr>
                <w:rFonts w:hint="default" w:ascii="Times New Roman" w:hAnsi="Times New Roman"/>
                <w:color w:val="000000"/>
                <w:kern w:val="0"/>
                <w:sz w:val="15"/>
                <w:szCs w:val="15"/>
              </w:rPr>
              <w:t>是否已制定或具有预算资金管理办法、内部财务管理制度、会计核算制度制度、资产管理制度、公务用车管理制度等管理制度；</w:t>
            </w:r>
            <w:r>
              <w:rPr>
                <w:rFonts w:hint="default" w:ascii="Times New Roman" w:hAnsi="Times New Roman"/>
                <w:color w:val="000000"/>
                <w:kern w:val="0"/>
                <w:sz w:val="15"/>
                <w:szCs w:val="15"/>
              </w:rPr>
              <w:br w:type="textWrapping"/>
            </w:r>
            <w:r>
              <w:rPr>
                <w:rFonts w:hint="default" w:hAnsi="Times New Roman"/>
                <w:color w:val="000000"/>
                <w:kern w:val="0"/>
                <w:sz w:val="15"/>
                <w:szCs w:val="15"/>
              </w:rPr>
              <w:t>②</w:t>
            </w:r>
            <w:r>
              <w:rPr>
                <w:rFonts w:hint="default" w:ascii="Times New Roman" w:hAnsi="Times New Roman"/>
                <w:color w:val="000000"/>
                <w:kern w:val="0"/>
                <w:sz w:val="15"/>
                <w:szCs w:val="15"/>
              </w:rPr>
              <w:t>相关管理制度是否合法、合规、完整；</w:t>
            </w:r>
            <w:r>
              <w:rPr>
                <w:rFonts w:hint="default" w:ascii="Times New Roman" w:hAnsi="Times New Roman"/>
                <w:color w:val="000000"/>
                <w:kern w:val="0"/>
                <w:sz w:val="15"/>
                <w:szCs w:val="15"/>
              </w:rPr>
              <w:br w:type="textWrapping"/>
            </w:r>
            <w:r>
              <w:rPr>
                <w:rFonts w:hint="default" w:hAnsi="Times New Roman"/>
                <w:color w:val="000000"/>
                <w:kern w:val="0"/>
                <w:sz w:val="15"/>
                <w:szCs w:val="15"/>
              </w:rPr>
              <w:t>③</w:t>
            </w:r>
            <w:r>
              <w:rPr>
                <w:rFonts w:hint="default" w:ascii="Times New Roman" w:hAnsi="Times New Roman"/>
                <w:color w:val="000000"/>
                <w:kern w:val="0"/>
                <w:sz w:val="15"/>
                <w:szCs w:val="15"/>
              </w:rPr>
              <w:t>相关管理制度是否得到有效执行。</w:t>
            </w:r>
          </w:p>
          <w:p>
            <w:pPr>
              <w:widowControl/>
              <w:jc w:val="left"/>
              <w:rPr>
                <w:rFonts w:hint="default" w:ascii="Times New Roman" w:hAnsi="Times New Roman"/>
                <w:color w:val="000000"/>
                <w:kern w:val="0"/>
                <w:sz w:val="15"/>
                <w:szCs w:val="15"/>
              </w:rPr>
            </w:pPr>
          </w:p>
        </w:tc>
        <w:tc>
          <w:tcPr>
            <w:tcW w:w="1553" w:type="dxa"/>
            <w:tcBorders>
              <w:top w:val="single" w:color="auto" w:sz="4" w:space="0"/>
              <w:left w:val="single" w:color="000000" w:sz="4" w:space="0"/>
              <w:bottom w:val="single" w:color="auto" w:sz="4" w:space="0"/>
              <w:right w:val="single" w:color="auto" w:sz="4" w:space="0"/>
            </w:tcBorders>
            <w:noWrap w:val="0"/>
            <w:vAlign w:val="center"/>
          </w:tcPr>
          <w:p>
            <w:pPr>
              <w:widowControl/>
              <w:rPr>
                <w:rFonts w:hint="default" w:ascii="Times New Roman" w:hAnsi="Times New Roman"/>
                <w:color w:val="000000"/>
                <w:kern w:val="0"/>
                <w:sz w:val="15"/>
                <w:szCs w:val="15"/>
              </w:rPr>
            </w:pPr>
            <w:r>
              <w:rPr>
                <w:rFonts w:hint="default" w:ascii="Times New Roman" w:hAnsi="Times New Roman"/>
                <w:color w:val="000000"/>
                <w:kern w:val="0"/>
                <w:sz w:val="15"/>
                <w:szCs w:val="15"/>
              </w:rPr>
              <w:t>健全：5分；比较健全：3分；不健全：0分</w:t>
            </w:r>
          </w:p>
        </w:tc>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5"/>
                <w:szCs w:val="15"/>
              </w:rPr>
            </w:pPr>
            <w:r>
              <w:rPr>
                <w:rFonts w:hint="default" w:ascii="Times New Roman" w:hAnsi="Times New Roman"/>
                <w:color w:val="000000"/>
                <w:kern w:val="0"/>
                <w:sz w:val="15"/>
                <w:szCs w:val="15"/>
              </w:rPr>
              <w:t>　</w:t>
            </w:r>
            <w:r>
              <w:rPr>
                <w:rFonts w:ascii="Times New Roman" w:hAnsi="Times New Roman"/>
                <w:color w:val="000000"/>
                <w:kern w:val="0"/>
                <w:sz w:val="15"/>
                <w:szCs w:val="15"/>
              </w:rPr>
              <w:t>5</w:t>
            </w:r>
          </w:p>
        </w:tc>
      </w:tr>
      <w:tr>
        <w:tblPrEx>
          <w:tblCellMar>
            <w:top w:w="0" w:type="dxa"/>
            <w:left w:w="108" w:type="dxa"/>
            <w:bottom w:w="0" w:type="dxa"/>
            <w:right w:w="108" w:type="dxa"/>
          </w:tblCellMar>
        </w:tblPrEx>
        <w:trPr>
          <w:trHeight w:val="2608" w:hRule="exac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7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07"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资金使用合规性</w:t>
            </w:r>
          </w:p>
        </w:tc>
        <w:tc>
          <w:tcPr>
            <w:tcW w:w="47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部门（单位）使用预算资金是否符合相关的预算财务管理制度的规定，用以反映和考核预算资金的规范运行情况。</w:t>
            </w:r>
          </w:p>
        </w:tc>
        <w:tc>
          <w:tcPr>
            <w:tcW w:w="2541" w:type="dxa"/>
            <w:tcBorders>
              <w:top w:val="nil"/>
              <w:left w:val="single" w:color="auto" w:sz="4" w:space="0"/>
              <w:bottom w:val="single" w:color="000000" w:sz="4" w:space="0"/>
              <w:right w:val="single" w:color="auto" w:sz="4" w:space="0"/>
            </w:tcBorders>
            <w:noWrap w:val="0"/>
            <w:vAlign w:val="top"/>
          </w:tcPr>
          <w:p>
            <w:pPr>
              <w:spacing w:line="240" w:lineRule="exact"/>
              <w:rPr>
                <w:rFonts w:hint="default" w:ascii="Times New Roman" w:hAnsi="Times New Roman"/>
              </w:rPr>
            </w:pPr>
            <w:r>
              <w:rPr>
                <w:rFonts w:hint="default" w:ascii="Times New Roman" w:hAnsi="Times New Roman"/>
                <w:color w:val="000000"/>
                <w:kern w:val="0"/>
                <w:sz w:val="15"/>
                <w:szCs w:val="15"/>
              </w:rPr>
              <w:t>评价要点：</w:t>
            </w:r>
            <w:r>
              <w:rPr>
                <w:rFonts w:hint="default" w:ascii="Times New Roman" w:hAnsi="Times New Roman"/>
                <w:color w:val="000000"/>
                <w:kern w:val="0"/>
                <w:sz w:val="15"/>
                <w:szCs w:val="15"/>
              </w:rPr>
              <w:br w:type="textWrapping"/>
            </w:r>
            <w:r>
              <w:rPr>
                <w:rFonts w:hint="default" w:hAnsi="Times New Roman"/>
                <w:color w:val="000000"/>
                <w:kern w:val="0"/>
                <w:sz w:val="15"/>
                <w:szCs w:val="15"/>
              </w:rPr>
              <w:t>①</w:t>
            </w:r>
            <w:r>
              <w:rPr>
                <w:rFonts w:hint="default" w:ascii="Times New Roman" w:hAnsi="Times New Roman"/>
                <w:color w:val="000000"/>
                <w:kern w:val="0"/>
                <w:sz w:val="15"/>
                <w:szCs w:val="15"/>
              </w:rPr>
              <w:t>是否符合国家财经法规和财务管理制度规定以及有关专项资金管理办法的规定；</w:t>
            </w:r>
            <w:r>
              <w:rPr>
                <w:rFonts w:hint="default" w:ascii="Times New Roman" w:hAnsi="Times New Roman"/>
                <w:color w:val="000000"/>
                <w:kern w:val="0"/>
                <w:sz w:val="15"/>
                <w:szCs w:val="15"/>
              </w:rPr>
              <w:br w:type="textWrapping"/>
            </w:r>
            <w:r>
              <w:rPr>
                <w:rFonts w:hint="default" w:hAnsi="Times New Roman"/>
                <w:color w:val="000000"/>
                <w:kern w:val="0"/>
                <w:sz w:val="15"/>
                <w:szCs w:val="15"/>
              </w:rPr>
              <w:t>②</w:t>
            </w:r>
            <w:r>
              <w:rPr>
                <w:rFonts w:hint="default" w:ascii="Times New Roman" w:hAnsi="Times New Roman"/>
                <w:color w:val="000000"/>
                <w:kern w:val="0"/>
                <w:sz w:val="15"/>
                <w:szCs w:val="15"/>
              </w:rPr>
              <w:t>资金的拨付是否有完整的审批程序和手续；</w:t>
            </w:r>
            <w:r>
              <w:rPr>
                <w:rFonts w:hint="default" w:ascii="Times New Roman" w:hAnsi="Times New Roman"/>
                <w:color w:val="000000"/>
                <w:kern w:val="0"/>
                <w:sz w:val="15"/>
                <w:szCs w:val="15"/>
              </w:rPr>
              <w:br w:type="textWrapping"/>
            </w:r>
            <w:r>
              <w:rPr>
                <w:rFonts w:hint="default" w:hAnsi="Times New Roman"/>
                <w:color w:val="000000"/>
                <w:kern w:val="0"/>
                <w:sz w:val="15"/>
                <w:szCs w:val="15"/>
              </w:rPr>
              <w:t>③</w:t>
            </w:r>
            <w:r>
              <w:rPr>
                <w:rFonts w:hint="default" w:ascii="Times New Roman" w:hAnsi="Times New Roman"/>
                <w:color w:val="000000"/>
                <w:kern w:val="0"/>
                <w:sz w:val="15"/>
                <w:szCs w:val="15"/>
              </w:rPr>
              <w:t>项目的重大开支是否经过评估论证；</w:t>
            </w:r>
            <w:r>
              <w:rPr>
                <w:rFonts w:hint="default" w:ascii="Times New Roman" w:hAnsi="Times New Roman"/>
                <w:color w:val="000000"/>
                <w:kern w:val="0"/>
                <w:sz w:val="15"/>
                <w:szCs w:val="15"/>
              </w:rPr>
              <w:br w:type="textWrapping"/>
            </w:r>
            <w:r>
              <w:rPr>
                <w:rFonts w:hint="default" w:hAnsi="Times New Roman"/>
                <w:color w:val="000000"/>
                <w:kern w:val="0"/>
                <w:sz w:val="15"/>
                <w:szCs w:val="15"/>
              </w:rPr>
              <w:t>④</w:t>
            </w:r>
            <w:r>
              <w:rPr>
                <w:rFonts w:hint="default" w:ascii="Times New Roman" w:hAnsi="Times New Roman"/>
                <w:color w:val="000000"/>
                <w:kern w:val="0"/>
                <w:sz w:val="15"/>
                <w:szCs w:val="15"/>
              </w:rPr>
              <w:t>是否符合部门预算批复的用途；</w:t>
            </w:r>
            <w:r>
              <w:rPr>
                <w:rFonts w:hint="default" w:ascii="Times New Roman" w:hAnsi="Times New Roman"/>
                <w:color w:val="000000"/>
                <w:kern w:val="0"/>
                <w:sz w:val="15"/>
                <w:szCs w:val="15"/>
              </w:rPr>
              <w:br w:type="textWrapping"/>
            </w:r>
            <w:r>
              <w:rPr>
                <w:rFonts w:hint="default" w:hAnsi="Times New Roman"/>
                <w:color w:val="000000"/>
                <w:kern w:val="0"/>
                <w:sz w:val="15"/>
                <w:szCs w:val="15"/>
              </w:rPr>
              <w:t>⑤</w:t>
            </w:r>
            <w:r>
              <w:rPr>
                <w:rFonts w:hint="default" w:ascii="Times New Roman" w:hAnsi="Times New Roman"/>
                <w:color w:val="000000"/>
                <w:kern w:val="0"/>
                <w:sz w:val="15"/>
                <w:szCs w:val="15"/>
              </w:rPr>
              <w:t>是否存在截留、挤占、挪用、虚列支出等情况。</w:t>
            </w:r>
          </w:p>
          <w:p>
            <w:pPr>
              <w:widowControl/>
              <w:jc w:val="left"/>
              <w:rPr>
                <w:rFonts w:hint="default" w:ascii="Times New Roman" w:hAnsi="Times New Roman"/>
                <w:color w:val="000000"/>
                <w:kern w:val="0"/>
                <w:sz w:val="15"/>
                <w:szCs w:val="15"/>
              </w:rPr>
            </w:pPr>
          </w:p>
        </w:tc>
        <w:tc>
          <w:tcPr>
            <w:tcW w:w="1553" w:type="dxa"/>
            <w:tcBorders>
              <w:top w:val="nil"/>
              <w:left w:val="single" w:color="auto" w:sz="4" w:space="0"/>
              <w:bottom w:val="single" w:color="auto" w:sz="4" w:space="0"/>
              <w:right w:val="single" w:color="auto" w:sz="4" w:space="0"/>
            </w:tcBorders>
            <w:noWrap w:val="0"/>
            <w:vAlign w:val="center"/>
          </w:tcPr>
          <w:p>
            <w:pPr>
              <w:widowControl/>
              <w:rPr>
                <w:rFonts w:hint="default" w:ascii="Times New Roman" w:hAnsi="Times New Roman"/>
                <w:color w:val="000000"/>
                <w:kern w:val="0"/>
                <w:sz w:val="15"/>
                <w:szCs w:val="15"/>
              </w:rPr>
            </w:pPr>
            <w:r>
              <w:rPr>
                <w:rFonts w:hint="default" w:ascii="Times New Roman" w:hAnsi="Times New Roman"/>
                <w:color w:val="000000"/>
                <w:kern w:val="0"/>
                <w:sz w:val="15"/>
                <w:szCs w:val="15"/>
              </w:rPr>
              <w:t>完全合规：5分；其它按照以上5个要点，有1点未达到扣1分，扣完为止</w:t>
            </w:r>
          </w:p>
        </w:tc>
        <w:tc>
          <w:tcPr>
            <w:tcW w:w="621"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5"/>
                <w:szCs w:val="15"/>
              </w:rPr>
            </w:pPr>
            <w:r>
              <w:rPr>
                <w:rFonts w:hint="default" w:ascii="Times New Roman" w:hAnsi="Times New Roman"/>
                <w:color w:val="000000"/>
                <w:kern w:val="0"/>
                <w:sz w:val="15"/>
                <w:szCs w:val="15"/>
              </w:rPr>
              <w:t>　</w:t>
            </w:r>
            <w:r>
              <w:rPr>
                <w:rFonts w:ascii="Times New Roman" w:hAnsi="Times New Roman"/>
                <w:color w:val="000000"/>
                <w:kern w:val="0"/>
                <w:sz w:val="15"/>
                <w:szCs w:val="15"/>
              </w:rPr>
              <w:t>5</w:t>
            </w:r>
          </w:p>
        </w:tc>
      </w:tr>
      <w:tr>
        <w:tblPrEx>
          <w:tblCellMar>
            <w:top w:w="0" w:type="dxa"/>
            <w:left w:w="108" w:type="dxa"/>
            <w:bottom w:w="0" w:type="dxa"/>
            <w:right w:w="108" w:type="dxa"/>
          </w:tblCellMar>
        </w:tblPrEx>
        <w:trPr>
          <w:trHeight w:val="2157" w:hRule="exac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7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07"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预决算信息公开及完整性</w:t>
            </w:r>
          </w:p>
        </w:tc>
        <w:tc>
          <w:tcPr>
            <w:tcW w:w="4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部门（单位）是否按照政府信息公开有关规定公开相关预决算信息，基础信息是否完善，用以反映和考核预决算管理的公开透明情况。</w:t>
            </w:r>
          </w:p>
        </w:tc>
        <w:tc>
          <w:tcPr>
            <w:tcW w:w="2541" w:type="dxa"/>
            <w:tcBorders>
              <w:top w:val="nil"/>
              <w:left w:val="nil"/>
              <w:bottom w:val="single" w:color="auto" w:sz="4" w:space="0"/>
              <w:right w:val="single" w:color="auto" w:sz="4" w:space="0"/>
            </w:tcBorders>
            <w:noWrap w:val="0"/>
            <w:vAlign w:val="center"/>
          </w:tcPr>
          <w:p>
            <w:pPr>
              <w:spacing w:line="240" w:lineRule="exact"/>
              <w:rPr>
                <w:rFonts w:hint="default" w:ascii="Times New Roman" w:hAnsi="Times New Roman"/>
              </w:rPr>
            </w:pPr>
            <w:r>
              <w:rPr>
                <w:rFonts w:hint="default" w:ascii="Times New Roman" w:hAnsi="Times New Roman"/>
                <w:color w:val="000000"/>
                <w:kern w:val="0"/>
                <w:sz w:val="15"/>
                <w:szCs w:val="15"/>
              </w:rPr>
              <w:t>评价要点：</w:t>
            </w:r>
            <w:r>
              <w:rPr>
                <w:rFonts w:hint="default" w:ascii="Times New Roman" w:hAnsi="Times New Roman"/>
                <w:color w:val="000000"/>
                <w:kern w:val="0"/>
                <w:sz w:val="15"/>
                <w:szCs w:val="15"/>
              </w:rPr>
              <w:br w:type="textWrapping"/>
            </w:r>
            <w:r>
              <w:rPr>
                <w:rFonts w:hint="default" w:hAnsi="Times New Roman"/>
                <w:color w:val="000000"/>
                <w:kern w:val="0"/>
                <w:sz w:val="15"/>
                <w:szCs w:val="15"/>
              </w:rPr>
              <w:t>①</w:t>
            </w:r>
            <w:r>
              <w:rPr>
                <w:rFonts w:hint="default" w:ascii="Times New Roman" w:hAnsi="Times New Roman"/>
                <w:color w:val="000000"/>
                <w:kern w:val="0"/>
                <w:sz w:val="15"/>
                <w:szCs w:val="15"/>
              </w:rPr>
              <w:t>是否按规定内容公开预决算信息；</w:t>
            </w:r>
            <w:r>
              <w:rPr>
                <w:rFonts w:hint="default" w:ascii="Times New Roman" w:hAnsi="Times New Roman"/>
                <w:color w:val="000000"/>
                <w:kern w:val="0"/>
                <w:sz w:val="15"/>
                <w:szCs w:val="15"/>
              </w:rPr>
              <w:br w:type="textWrapping"/>
            </w:r>
            <w:r>
              <w:rPr>
                <w:rFonts w:hint="default" w:hAnsi="Times New Roman"/>
                <w:color w:val="000000"/>
                <w:kern w:val="0"/>
                <w:sz w:val="15"/>
                <w:szCs w:val="15"/>
              </w:rPr>
              <w:t>②</w:t>
            </w:r>
            <w:r>
              <w:rPr>
                <w:rFonts w:hint="default" w:ascii="Times New Roman" w:hAnsi="Times New Roman"/>
                <w:color w:val="000000"/>
                <w:kern w:val="0"/>
                <w:sz w:val="15"/>
                <w:szCs w:val="15"/>
              </w:rPr>
              <w:t xml:space="preserve">是否按规定时限公开预决算信息。 </w:t>
            </w:r>
            <w:r>
              <w:rPr>
                <w:rFonts w:hint="default" w:hAnsi="Times New Roman"/>
                <w:color w:val="000000"/>
                <w:kern w:val="0"/>
                <w:sz w:val="15"/>
                <w:szCs w:val="15"/>
              </w:rPr>
              <w:t>③</w:t>
            </w:r>
            <w:r>
              <w:rPr>
                <w:rFonts w:hint="default" w:ascii="Times New Roman" w:hAnsi="Times New Roman"/>
                <w:color w:val="000000"/>
                <w:kern w:val="0"/>
                <w:sz w:val="15"/>
                <w:szCs w:val="15"/>
              </w:rPr>
              <w:t>基础数据信息和会计信息资料是否真实；</w:t>
            </w:r>
            <w:r>
              <w:rPr>
                <w:rFonts w:hint="default" w:ascii="Times New Roman" w:hAnsi="Times New Roman"/>
                <w:color w:val="000000"/>
                <w:kern w:val="0"/>
                <w:sz w:val="15"/>
                <w:szCs w:val="15"/>
              </w:rPr>
              <w:br w:type="textWrapping"/>
            </w:r>
            <w:r>
              <w:rPr>
                <w:rFonts w:hint="default" w:hAnsi="Times New Roman"/>
                <w:color w:val="000000"/>
                <w:kern w:val="0"/>
                <w:sz w:val="15"/>
                <w:szCs w:val="15"/>
              </w:rPr>
              <w:t>④</w:t>
            </w:r>
            <w:r>
              <w:rPr>
                <w:rFonts w:hint="default" w:ascii="Times New Roman" w:hAnsi="Times New Roman"/>
                <w:color w:val="000000"/>
                <w:kern w:val="0"/>
                <w:sz w:val="15"/>
                <w:szCs w:val="15"/>
              </w:rPr>
              <w:t>基础数据信息和会计信息资料是否完整；</w:t>
            </w:r>
            <w:r>
              <w:rPr>
                <w:rFonts w:hint="default" w:ascii="Times New Roman" w:hAnsi="Times New Roman"/>
                <w:color w:val="000000"/>
                <w:kern w:val="0"/>
                <w:sz w:val="15"/>
                <w:szCs w:val="15"/>
              </w:rPr>
              <w:br w:type="textWrapping"/>
            </w:r>
            <w:r>
              <w:rPr>
                <w:rFonts w:hint="default" w:hAnsi="Times New Roman"/>
                <w:color w:val="000000"/>
                <w:kern w:val="0"/>
                <w:sz w:val="15"/>
                <w:szCs w:val="15"/>
              </w:rPr>
              <w:t>⑤</w:t>
            </w:r>
            <w:r>
              <w:rPr>
                <w:rFonts w:hint="default" w:ascii="Times New Roman" w:hAnsi="Times New Roman"/>
                <w:color w:val="000000"/>
                <w:kern w:val="0"/>
                <w:sz w:val="15"/>
                <w:szCs w:val="15"/>
              </w:rPr>
              <w:t>基础数据信息和会计信息资料是否准确。</w:t>
            </w:r>
          </w:p>
        </w:tc>
        <w:tc>
          <w:tcPr>
            <w:tcW w:w="155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5个要点实现每实现1个得1分</w:t>
            </w:r>
          </w:p>
        </w:tc>
        <w:tc>
          <w:tcPr>
            <w:tcW w:w="621"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5"/>
                <w:szCs w:val="15"/>
              </w:rPr>
            </w:pPr>
            <w:r>
              <w:rPr>
                <w:rFonts w:hint="default" w:ascii="Times New Roman" w:hAnsi="Times New Roman"/>
                <w:color w:val="000000"/>
                <w:kern w:val="0"/>
                <w:sz w:val="15"/>
                <w:szCs w:val="15"/>
              </w:rPr>
              <w:t>　</w:t>
            </w:r>
            <w:r>
              <w:rPr>
                <w:rFonts w:ascii="Times New Roman" w:hAnsi="Times New Roman"/>
                <w:color w:val="000000"/>
                <w:kern w:val="0"/>
                <w:sz w:val="15"/>
                <w:szCs w:val="15"/>
              </w:rPr>
              <w:t>5</w:t>
            </w:r>
          </w:p>
        </w:tc>
      </w:tr>
      <w:tr>
        <w:tblPrEx>
          <w:tblCellMar>
            <w:top w:w="0" w:type="dxa"/>
            <w:left w:w="108" w:type="dxa"/>
            <w:bottom w:w="0" w:type="dxa"/>
            <w:right w:w="108" w:type="dxa"/>
          </w:tblCellMar>
        </w:tblPrEx>
        <w:trPr>
          <w:trHeight w:val="1287" w:hRule="exac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p>
        </w:tc>
        <w:tc>
          <w:tcPr>
            <w:tcW w:w="770" w:type="dxa"/>
            <w:vMerge w:val="continue"/>
            <w:tcBorders>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color w:val="000000"/>
                <w:kern w:val="0"/>
                <w:sz w:val="15"/>
                <w:szCs w:val="15"/>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kern w:val="0"/>
                <w:sz w:val="15"/>
                <w:szCs w:val="15"/>
              </w:rPr>
            </w:pPr>
            <w:r>
              <w:rPr>
                <w:rFonts w:hint="default" w:ascii="Times New Roman" w:hAnsi="Times New Roman"/>
                <w:kern w:val="0"/>
                <w:sz w:val="15"/>
                <w:szCs w:val="15"/>
              </w:rPr>
              <w:t>资产管理安全性</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firstLine="75" w:firstLineChars="50"/>
              <w:rPr>
                <w:rFonts w:hint="default" w:ascii="Times New Roman" w:hAnsi="Times New Roman"/>
                <w:color w:val="000000"/>
                <w:kern w:val="0"/>
                <w:sz w:val="15"/>
                <w:szCs w:val="15"/>
              </w:rPr>
            </w:pPr>
            <w:r>
              <w:rPr>
                <w:rFonts w:hint="default" w:ascii="Times New Roman" w:hAnsi="Times New Roman"/>
                <w:color w:val="000000"/>
                <w:kern w:val="0"/>
                <w:sz w:val="15"/>
                <w:szCs w:val="15"/>
              </w:rPr>
              <w:t>3</w:t>
            </w:r>
          </w:p>
        </w:tc>
        <w:tc>
          <w:tcPr>
            <w:tcW w:w="2207" w:type="dxa"/>
            <w:tcBorders>
              <w:top w:val="single" w:color="auto" w:sz="4" w:space="0"/>
              <w:left w:val="nil"/>
              <w:bottom w:val="single" w:color="auto" w:sz="4" w:space="0"/>
              <w:right w:val="single" w:color="auto" w:sz="4" w:space="0"/>
            </w:tcBorders>
            <w:noWrap w:val="0"/>
            <w:vAlign w:val="center"/>
          </w:tcPr>
          <w:p>
            <w:pPr>
              <w:spacing w:line="240" w:lineRule="exact"/>
              <w:rPr>
                <w:rFonts w:hint="default" w:ascii="Times New Roman" w:hAnsi="Times New Roman"/>
              </w:rPr>
            </w:pPr>
            <w:r>
              <w:rPr>
                <w:rFonts w:hint="default" w:ascii="Times New Roman" w:hAnsi="Times New Roman"/>
                <w:color w:val="000000"/>
                <w:kern w:val="0"/>
                <w:sz w:val="15"/>
                <w:szCs w:val="15"/>
              </w:rPr>
              <w:t>部门（单位）的资产是否保存完整、使用合规、配置合理、处置规范、收入及时足额上缴，用以反映和考核资产安全运行情况。</w:t>
            </w:r>
          </w:p>
          <w:p>
            <w:pPr>
              <w:widowControl/>
              <w:jc w:val="left"/>
              <w:rPr>
                <w:rFonts w:hint="default" w:ascii="Times New Roman" w:hAnsi="Times New Roman"/>
                <w:color w:val="000000"/>
                <w:kern w:val="0"/>
                <w:sz w:val="15"/>
                <w:szCs w:val="15"/>
              </w:rPr>
            </w:pPr>
          </w:p>
        </w:tc>
        <w:tc>
          <w:tcPr>
            <w:tcW w:w="2541"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评价要点：</w:t>
            </w:r>
            <w:r>
              <w:rPr>
                <w:rFonts w:hint="default" w:ascii="Times New Roman" w:hAnsi="Times New Roman"/>
                <w:color w:val="000000"/>
                <w:kern w:val="0"/>
                <w:sz w:val="15"/>
                <w:szCs w:val="15"/>
              </w:rPr>
              <w:br w:type="textWrapping"/>
            </w:r>
            <w:r>
              <w:rPr>
                <w:rFonts w:hint="default" w:hAnsi="Times New Roman"/>
                <w:color w:val="000000"/>
                <w:kern w:val="0"/>
                <w:sz w:val="15"/>
                <w:szCs w:val="15"/>
              </w:rPr>
              <w:t>①</w:t>
            </w:r>
            <w:r>
              <w:rPr>
                <w:rFonts w:hint="default" w:ascii="Times New Roman" w:hAnsi="Times New Roman"/>
                <w:color w:val="000000"/>
                <w:kern w:val="0"/>
                <w:sz w:val="15"/>
                <w:szCs w:val="15"/>
              </w:rPr>
              <w:t>资产保存是否完整；</w:t>
            </w:r>
            <w:r>
              <w:rPr>
                <w:rFonts w:hint="default" w:ascii="Times New Roman" w:hAnsi="Times New Roman"/>
                <w:color w:val="000000"/>
                <w:kern w:val="0"/>
                <w:sz w:val="15"/>
                <w:szCs w:val="15"/>
              </w:rPr>
              <w:br w:type="textWrapping"/>
            </w:r>
            <w:r>
              <w:rPr>
                <w:rFonts w:hint="default" w:hAnsi="Times New Roman"/>
                <w:color w:val="000000"/>
                <w:kern w:val="0"/>
                <w:sz w:val="15"/>
                <w:szCs w:val="15"/>
              </w:rPr>
              <w:t>②</w:t>
            </w:r>
            <w:r>
              <w:rPr>
                <w:rFonts w:hint="default" w:ascii="Times New Roman" w:hAnsi="Times New Roman"/>
                <w:color w:val="000000"/>
                <w:kern w:val="0"/>
                <w:sz w:val="15"/>
                <w:szCs w:val="15"/>
              </w:rPr>
              <w:t>资产配置是否合理；</w:t>
            </w:r>
            <w:r>
              <w:rPr>
                <w:rFonts w:hint="default" w:ascii="Times New Roman" w:hAnsi="Times New Roman"/>
                <w:color w:val="000000"/>
                <w:kern w:val="0"/>
                <w:sz w:val="15"/>
                <w:szCs w:val="15"/>
              </w:rPr>
              <w:br w:type="textWrapping"/>
            </w:r>
            <w:r>
              <w:rPr>
                <w:rFonts w:hint="default" w:hAnsi="Times New Roman"/>
                <w:color w:val="000000"/>
                <w:kern w:val="0"/>
                <w:sz w:val="15"/>
                <w:szCs w:val="15"/>
              </w:rPr>
              <w:t>③</w:t>
            </w:r>
            <w:r>
              <w:rPr>
                <w:rFonts w:hint="default" w:ascii="Times New Roman" w:hAnsi="Times New Roman"/>
                <w:color w:val="000000"/>
                <w:kern w:val="0"/>
                <w:sz w:val="15"/>
                <w:szCs w:val="15"/>
              </w:rPr>
              <w:t>资产处置是否规范；</w:t>
            </w:r>
            <w:r>
              <w:rPr>
                <w:rFonts w:hint="default" w:ascii="Times New Roman" w:hAnsi="Times New Roman"/>
                <w:color w:val="000000"/>
                <w:kern w:val="0"/>
                <w:sz w:val="15"/>
                <w:szCs w:val="15"/>
              </w:rPr>
              <w:br w:type="textWrapping"/>
            </w:r>
            <w:r>
              <w:rPr>
                <w:rFonts w:hint="default" w:hAnsi="Times New Roman"/>
                <w:color w:val="000000"/>
                <w:kern w:val="0"/>
                <w:sz w:val="15"/>
                <w:szCs w:val="15"/>
              </w:rPr>
              <w:t>④</w:t>
            </w:r>
            <w:r>
              <w:rPr>
                <w:rFonts w:hint="default" w:ascii="Times New Roman" w:hAnsi="Times New Roman"/>
                <w:color w:val="000000"/>
                <w:kern w:val="0"/>
                <w:sz w:val="15"/>
                <w:szCs w:val="15"/>
              </w:rPr>
              <w:t>资产账务管理是否合规，是否帐实相符；</w:t>
            </w:r>
            <w:r>
              <w:rPr>
                <w:rFonts w:hint="default" w:ascii="Times New Roman" w:hAnsi="Times New Roman"/>
                <w:color w:val="000000"/>
                <w:kern w:val="0"/>
                <w:sz w:val="15"/>
                <w:szCs w:val="15"/>
              </w:rPr>
              <w:br w:type="textWrapping"/>
            </w:r>
            <w:r>
              <w:rPr>
                <w:rFonts w:hint="default" w:hAnsi="Times New Roman"/>
                <w:color w:val="000000"/>
                <w:kern w:val="0"/>
                <w:sz w:val="15"/>
                <w:szCs w:val="15"/>
              </w:rPr>
              <w:t>⑤</w:t>
            </w:r>
            <w:r>
              <w:rPr>
                <w:rFonts w:hint="default" w:ascii="Times New Roman" w:hAnsi="Times New Roman"/>
                <w:color w:val="000000"/>
                <w:kern w:val="0"/>
                <w:sz w:val="15"/>
                <w:szCs w:val="15"/>
              </w:rPr>
              <w:t>资产是否有偿使用及处置收入及时足额上缴。</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5个要点均实现：3分；有1点未达到扣1分，扣完为止</w:t>
            </w:r>
          </w:p>
        </w:tc>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5"/>
                <w:szCs w:val="15"/>
              </w:rPr>
            </w:pPr>
            <w:r>
              <w:rPr>
                <w:rFonts w:ascii="Times New Roman" w:hAnsi="Times New Roman"/>
                <w:color w:val="000000"/>
                <w:kern w:val="0"/>
                <w:sz w:val="15"/>
                <w:szCs w:val="15"/>
              </w:rPr>
              <w:t xml:space="preserve"> 3</w:t>
            </w:r>
          </w:p>
        </w:tc>
      </w:tr>
      <w:tr>
        <w:tblPrEx>
          <w:tblCellMar>
            <w:top w:w="0" w:type="dxa"/>
            <w:left w:w="108" w:type="dxa"/>
            <w:bottom w:w="0" w:type="dxa"/>
            <w:right w:w="108" w:type="dxa"/>
          </w:tblCellMar>
        </w:tblPrEx>
        <w:trPr>
          <w:trHeight w:val="2202" w:hRule="exact"/>
          <w:jc w:val="center"/>
        </w:trPr>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产出</w:t>
            </w:r>
          </w:p>
          <w:p>
            <w:pPr>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（10分）</w:t>
            </w:r>
          </w:p>
        </w:tc>
        <w:tc>
          <w:tcPr>
            <w:tcW w:w="770" w:type="dxa"/>
            <w:vMerge w:val="restart"/>
            <w:tcBorders>
              <w:top w:val="single" w:color="auto" w:sz="4" w:space="0"/>
              <w:left w:val="nil"/>
              <w:right w:val="nil"/>
            </w:tcBorders>
            <w:noWrap w:val="0"/>
            <w:vAlign w:val="center"/>
          </w:tcPr>
          <w:p>
            <w:pPr>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职责</w:t>
            </w:r>
          </w:p>
          <w:p>
            <w:pPr>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履行</w:t>
            </w:r>
          </w:p>
          <w:p>
            <w:pPr>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（10分）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kern w:val="0"/>
                <w:sz w:val="15"/>
                <w:szCs w:val="15"/>
              </w:rPr>
            </w:pPr>
            <w:r>
              <w:rPr>
                <w:rFonts w:hint="default" w:ascii="Times New Roman" w:hAnsi="Times New Roman"/>
                <w:kern w:val="0"/>
                <w:sz w:val="15"/>
                <w:szCs w:val="15"/>
              </w:rPr>
              <w:t>工作实际完成率</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single" w:color="auto" w:sz="4" w:space="0"/>
              <w:left w:val="nil"/>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部门（单位）履行职责而实际完成工作数与计划工作数的比率，用以反映和考核履职工作任务目标的实现程度。</w:t>
            </w:r>
          </w:p>
        </w:tc>
        <w:tc>
          <w:tcPr>
            <w:tcW w:w="2541" w:type="dxa"/>
            <w:tcBorders>
              <w:top w:val="single" w:color="auto" w:sz="4" w:space="0"/>
              <w:left w:val="nil"/>
              <w:right w:val="single" w:color="auto" w:sz="4" w:space="0"/>
            </w:tcBorders>
            <w:noWrap w:val="0"/>
            <w:vAlign w:val="center"/>
          </w:tcPr>
          <w:p>
            <w:pPr>
              <w:spacing w:line="240" w:lineRule="exact"/>
              <w:rPr>
                <w:rFonts w:hint="default" w:ascii="Times New Roman" w:hAnsi="Times New Roman"/>
              </w:rPr>
            </w:pPr>
            <w:r>
              <w:rPr>
                <w:rFonts w:hint="default" w:ascii="Times New Roman" w:hAnsi="Times New Roman"/>
                <w:color w:val="000000"/>
                <w:kern w:val="0"/>
                <w:sz w:val="15"/>
                <w:szCs w:val="15"/>
              </w:rPr>
              <w:t>实际完成率=（实际完成工作数/计划工作数）×100%。</w:t>
            </w:r>
            <w:r>
              <w:rPr>
                <w:rFonts w:hint="default" w:ascii="Times New Roman" w:hAnsi="Times New Roman"/>
                <w:color w:val="000000"/>
                <w:kern w:val="0"/>
                <w:sz w:val="15"/>
                <w:szCs w:val="15"/>
              </w:rPr>
              <w:br w:type="textWrapping"/>
            </w:r>
            <w:r>
              <w:rPr>
                <w:rFonts w:hint="default" w:ascii="Times New Roman" w:hAnsi="Times New Roman"/>
                <w:color w:val="000000"/>
                <w:kern w:val="0"/>
                <w:sz w:val="15"/>
                <w:szCs w:val="15"/>
              </w:rPr>
              <w:t>实际完成工作数：一定时期（年度或规划期）内部门（单位）实际完成工作任务的数量。计划工作数：部门（单位）整体绩效目标确定的一定时期（年度或规划期）内预计完成工作任务的数量。</w:t>
            </w:r>
          </w:p>
          <w:p>
            <w:pPr>
              <w:widowControl/>
              <w:rPr>
                <w:rFonts w:hint="default" w:ascii="Times New Roman" w:hAnsi="Times New Roman"/>
                <w:color w:val="000000"/>
                <w:kern w:val="0"/>
                <w:sz w:val="15"/>
                <w:szCs w:val="15"/>
              </w:rPr>
            </w:pPr>
            <w:r>
              <w:rPr>
                <w:rFonts w:hint="default" w:ascii="Times New Roman" w:hAnsi="Times New Roman"/>
                <w:color w:val="000000"/>
                <w:kern w:val="0"/>
                <w:sz w:val="15"/>
                <w:szCs w:val="15"/>
              </w:rPr>
              <w:br w:type="textWrapping"/>
            </w: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kern w:val="0"/>
                <w:sz w:val="15"/>
                <w:szCs w:val="15"/>
              </w:rPr>
            </w:pPr>
            <w:r>
              <w:rPr>
                <w:rFonts w:hint="default" w:ascii="Times New Roman" w:hAnsi="Times New Roman"/>
                <w:kern w:val="0"/>
                <w:sz w:val="15"/>
                <w:szCs w:val="15"/>
              </w:rPr>
              <w:t>全部完成年度目标得5分，按年度目标的未完成任务百分比酌情扣分，扣完为止</w:t>
            </w:r>
          </w:p>
        </w:tc>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5"/>
                <w:szCs w:val="15"/>
              </w:rPr>
            </w:pPr>
            <w:r>
              <w:rPr>
                <w:rFonts w:ascii="Times New Roman" w:hAnsi="Times New Roman"/>
                <w:color w:val="000000"/>
                <w:kern w:val="0"/>
                <w:sz w:val="15"/>
                <w:szCs w:val="15"/>
              </w:rPr>
              <w:t xml:space="preserve"> 5</w:t>
            </w:r>
          </w:p>
        </w:tc>
      </w:tr>
      <w:tr>
        <w:tblPrEx>
          <w:tblCellMar>
            <w:top w:w="0" w:type="dxa"/>
            <w:left w:w="108" w:type="dxa"/>
            <w:bottom w:w="0" w:type="dxa"/>
            <w:right w:w="108" w:type="dxa"/>
          </w:tblCellMar>
        </w:tblPrEx>
        <w:trPr>
          <w:trHeight w:val="1232" w:hRule="exac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p>
        </w:tc>
        <w:tc>
          <w:tcPr>
            <w:tcW w:w="770" w:type="dxa"/>
            <w:vMerge w:val="continue"/>
            <w:tcBorders>
              <w:left w:val="nil"/>
              <w:bottom w:val="nil"/>
              <w:right w:val="nil"/>
            </w:tcBorders>
            <w:noWrap w:val="0"/>
            <w:vAlign w:val="center"/>
          </w:tcPr>
          <w:p>
            <w:pPr>
              <w:widowControl/>
              <w:spacing w:line="200" w:lineRule="exact"/>
              <w:jc w:val="center"/>
              <w:rPr>
                <w:rFonts w:hint="default" w:ascii="Times New Roman" w:hAnsi="Times New Roman"/>
                <w:color w:val="000000"/>
                <w:kern w:val="0"/>
                <w:sz w:val="15"/>
                <w:szCs w:val="15"/>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kern w:val="0"/>
                <w:sz w:val="15"/>
                <w:szCs w:val="15"/>
              </w:rPr>
            </w:pPr>
            <w:r>
              <w:rPr>
                <w:rFonts w:hint="default" w:ascii="Times New Roman" w:hAnsi="Times New Roman"/>
                <w:kern w:val="0"/>
                <w:sz w:val="15"/>
                <w:szCs w:val="15"/>
              </w:rPr>
              <w:t>重点工作实际完成率</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single" w:color="auto" w:sz="4" w:space="0"/>
              <w:left w:val="nil"/>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部门（单位）年度重点工作实际完成数与交办或下达数的比率，用以反映对重点工作的办理落实程度。</w:t>
            </w:r>
          </w:p>
        </w:tc>
        <w:tc>
          <w:tcPr>
            <w:tcW w:w="2541" w:type="dxa"/>
            <w:tcBorders>
              <w:top w:val="single" w:color="auto" w:sz="4" w:space="0"/>
              <w:left w:val="nil"/>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重点工作实际完成率=（重点工作实际完成数/交办或下达数）×100%。</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kern w:val="0"/>
                <w:sz w:val="15"/>
                <w:szCs w:val="15"/>
              </w:rPr>
            </w:pPr>
            <w:r>
              <w:rPr>
                <w:rFonts w:hint="default" w:ascii="Times New Roman" w:hAnsi="Times New Roman"/>
                <w:kern w:val="0"/>
                <w:sz w:val="15"/>
                <w:szCs w:val="15"/>
              </w:rPr>
              <w:t>根据绩效办对各部门为民办实事和部门重点工程与重点工作考核分数折算。</w:t>
            </w:r>
          </w:p>
        </w:tc>
        <w:tc>
          <w:tcPr>
            <w:tcW w:w="6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5"/>
                <w:szCs w:val="15"/>
              </w:rPr>
            </w:pPr>
            <w:r>
              <w:rPr>
                <w:rFonts w:hint="default" w:ascii="Times New Roman" w:hAnsi="Times New Roman"/>
                <w:color w:val="000000"/>
                <w:kern w:val="0"/>
                <w:sz w:val="15"/>
                <w:szCs w:val="15"/>
              </w:rPr>
              <w:t>　</w:t>
            </w:r>
            <w:r>
              <w:rPr>
                <w:rFonts w:ascii="Times New Roman" w:hAnsi="Times New Roman"/>
                <w:color w:val="000000"/>
                <w:kern w:val="0"/>
                <w:sz w:val="15"/>
                <w:szCs w:val="15"/>
              </w:rPr>
              <w:t>5</w:t>
            </w:r>
          </w:p>
        </w:tc>
      </w:tr>
      <w:tr>
        <w:tblPrEx>
          <w:tblCellMar>
            <w:top w:w="0" w:type="dxa"/>
            <w:left w:w="108" w:type="dxa"/>
            <w:bottom w:w="0" w:type="dxa"/>
            <w:right w:w="108" w:type="dxa"/>
          </w:tblCellMar>
        </w:tblPrEx>
        <w:trPr>
          <w:trHeight w:val="375" w:hRule="atLeast"/>
          <w:jc w:val="center"/>
        </w:trPr>
        <w:tc>
          <w:tcPr>
            <w:tcW w:w="77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效率</w:t>
            </w:r>
          </w:p>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（30分）</w:t>
            </w:r>
          </w:p>
        </w:tc>
        <w:tc>
          <w:tcPr>
            <w:tcW w:w="77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履职</w:t>
            </w:r>
          </w:p>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效益</w:t>
            </w:r>
          </w:p>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（30分）</w:t>
            </w:r>
          </w:p>
        </w:tc>
        <w:tc>
          <w:tcPr>
            <w:tcW w:w="707"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经济</w:t>
            </w:r>
          </w:p>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效益</w:t>
            </w:r>
          </w:p>
        </w:tc>
        <w:tc>
          <w:tcPr>
            <w:tcW w:w="477" w:type="dxa"/>
            <w:vMerge w:val="restart"/>
            <w:tcBorders>
              <w:top w:val="nil"/>
              <w:left w:val="single" w:color="auto" w:sz="4" w:space="0"/>
              <w:right w:val="single" w:color="auto" w:sz="4" w:space="0"/>
            </w:tcBorders>
            <w:noWrap w:val="0"/>
            <w:vAlign w:val="center"/>
          </w:tcPr>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20</w:t>
            </w:r>
          </w:p>
        </w:tc>
        <w:tc>
          <w:tcPr>
            <w:tcW w:w="2207"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此三项指标为设置部门整体支出绩效评价指标时必须考虑的共性要素，可根据部门实际情况有选择的进行设置，并将其细化为相应的个性化指标。</w:t>
            </w:r>
          </w:p>
        </w:tc>
        <w:tc>
          <w:tcPr>
            <w:tcW w:w="4094" w:type="dxa"/>
            <w:gridSpan w:val="2"/>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此项单位若没有产生“经济效益”和“生态效益”，社会效益从以下方面评价：</w:t>
            </w:r>
            <w:r>
              <w:rPr>
                <w:rFonts w:hint="default" w:hAnsi="Times New Roman"/>
                <w:color w:val="000000"/>
                <w:kern w:val="0"/>
                <w:sz w:val="15"/>
                <w:szCs w:val="15"/>
              </w:rPr>
              <w:t>①</w:t>
            </w:r>
            <w:r>
              <w:rPr>
                <w:rFonts w:hint="default" w:ascii="Times New Roman" w:hAnsi="Times New Roman"/>
                <w:color w:val="000000"/>
                <w:kern w:val="0"/>
                <w:sz w:val="15"/>
                <w:szCs w:val="15"/>
              </w:rPr>
              <w:t>在中央、省政府考核中评为良以上；</w:t>
            </w:r>
            <w:r>
              <w:rPr>
                <w:rFonts w:hint="default" w:hAnsi="Times New Roman"/>
                <w:color w:val="000000"/>
                <w:kern w:val="0"/>
                <w:sz w:val="15"/>
                <w:szCs w:val="15"/>
              </w:rPr>
              <w:t>②</w:t>
            </w:r>
            <w:r>
              <w:rPr>
                <w:rFonts w:hint="default" w:ascii="Times New Roman" w:hAnsi="Times New Roman"/>
                <w:color w:val="000000"/>
                <w:kern w:val="0"/>
                <w:sz w:val="15"/>
                <w:szCs w:val="15"/>
              </w:rPr>
              <w:t>在部门考核中被评为良以上；</w:t>
            </w:r>
            <w:r>
              <w:rPr>
                <w:rFonts w:hint="default" w:hAnsi="Times New Roman"/>
                <w:color w:val="000000"/>
                <w:kern w:val="0"/>
                <w:sz w:val="15"/>
                <w:szCs w:val="15"/>
              </w:rPr>
              <w:t>③</w:t>
            </w:r>
            <w:r>
              <w:rPr>
                <w:rFonts w:hint="default" w:ascii="Times New Roman" w:hAnsi="Times New Roman"/>
                <w:color w:val="000000"/>
                <w:kern w:val="0"/>
                <w:sz w:val="15"/>
                <w:szCs w:val="15"/>
              </w:rPr>
              <w:t>在市政府绩效评估考核中为优秀的；</w:t>
            </w:r>
            <w:r>
              <w:rPr>
                <w:rFonts w:hint="default" w:hAnsi="Times New Roman"/>
                <w:color w:val="000000"/>
                <w:kern w:val="0"/>
                <w:sz w:val="15"/>
                <w:szCs w:val="15"/>
              </w:rPr>
              <w:t>④</w:t>
            </w:r>
            <w:r>
              <w:rPr>
                <w:rFonts w:hint="default" w:ascii="Times New Roman" w:hAnsi="Times New Roman"/>
                <w:color w:val="000000"/>
                <w:kern w:val="0"/>
                <w:sz w:val="15"/>
                <w:szCs w:val="15"/>
              </w:rPr>
              <w:t>获市级文明奖、综治奖优秀单位的；</w:t>
            </w:r>
            <w:r>
              <w:rPr>
                <w:rFonts w:hint="default" w:hAnsi="Times New Roman"/>
                <w:color w:val="000000"/>
                <w:kern w:val="0"/>
                <w:sz w:val="15"/>
                <w:szCs w:val="15"/>
              </w:rPr>
              <w:t>⑤</w:t>
            </w:r>
            <w:r>
              <w:rPr>
                <w:rFonts w:hint="default" w:ascii="Times New Roman" w:hAnsi="Times New Roman"/>
                <w:color w:val="000000"/>
                <w:kern w:val="0"/>
                <w:sz w:val="15"/>
                <w:szCs w:val="15"/>
              </w:rPr>
              <w:t>全年无违反党的“八项规定”的；</w:t>
            </w:r>
            <w:r>
              <w:rPr>
                <w:rFonts w:hint="default" w:hAnsi="Times New Roman"/>
                <w:color w:val="000000"/>
                <w:kern w:val="0"/>
                <w:sz w:val="15"/>
                <w:szCs w:val="15"/>
              </w:rPr>
              <w:t>⑥</w:t>
            </w:r>
            <w:r>
              <w:rPr>
                <w:rFonts w:hint="default" w:ascii="Times New Roman" w:hAnsi="Times New Roman"/>
                <w:color w:val="000000"/>
                <w:kern w:val="0"/>
                <w:sz w:val="15"/>
                <w:szCs w:val="15"/>
              </w:rPr>
              <w:t>无违反财政法规等行为的。</w:t>
            </w:r>
          </w:p>
        </w:tc>
        <w:tc>
          <w:tcPr>
            <w:tcW w:w="621" w:type="dxa"/>
            <w:tcBorders>
              <w:top w:val="nil"/>
              <w:left w:val="nil"/>
              <w:bottom w:val="nil"/>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　</w:t>
            </w:r>
          </w:p>
        </w:tc>
      </w:tr>
      <w:tr>
        <w:tblPrEx>
          <w:tblCellMar>
            <w:top w:w="0" w:type="dxa"/>
            <w:left w:w="108" w:type="dxa"/>
            <w:bottom w:w="0" w:type="dxa"/>
            <w:right w:w="108" w:type="dxa"/>
          </w:tblCellMar>
        </w:tblPrEx>
        <w:trPr>
          <w:trHeight w:val="634" w:hRule="atLeast"/>
          <w:jc w:val="center"/>
        </w:trPr>
        <w:tc>
          <w:tcPr>
            <w:tcW w:w="77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07"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社会</w:t>
            </w:r>
          </w:p>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效益</w:t>
            </w:r>
          </w:p>
        </w:tc>
        <w:tc>
          <w:tcPr>
            <w:tcW w:w="477" w:type="dxa"/>
            <w:vMerge w:val="continue"/>
            <w:tcBorders>
              <w:left w:val="single" w:color="auto" w:sz="4" w:space="0"/>
              <w:right w:val="single" w:color="auto" w:sz="4" w:space="0"/>
            </w:tcBorders>
            <w:noWrap w:val="0"/>
            <w:vAlign w:val="center"/>
          </w:tcPr>
          <w:p>
            <w:pPr>
              <w:widowControl/>
              <w:spacing w:line="200" w:lineRule="exact"/>
              <w:jc w:val="left"/>
              <w:rPr>
                <w:rFonts w:hint="default" w:ascii="Times New Roman" w:hAnsi="Times New Roman"/>
                <w:color w:val="000000"/>
                <w:kern w:val="0"/>
                <w:sz w:val="15"/>
                <w:szCs w:val="15"/>
              </w:rPr>
            </w:pPr>
          </w:p>
        </w:tc>
        <w:tc>
          <w:tcPr>
            <w:tcW w:w="2207" w:type="dxa"/>
            <w:vMerge w:val="continue"/>
            <w:tcBorders>
              <w:left w:val="single" w:color="auto" w:sz="4" w:space="0"/>
              <w:right w:val="single" w:color="auto" w:sz="4" w:space="0"/>
            </w:tcBorders>
            <w:noWrap w:val="0"/>
            <w:vAlign w:val="center"/>
          </w:tcPr>
          <w:p>
            <w:pPr>
              <w:widowControl/>
              <w:spacing w:line="200" w:lineRule="exact"/>
              <w:jc w:val="left"/>
              <w:rPr>
                <w:rFonts w:hint="default" w:ascii="Times New Roman" w:hAnsi="Times New Roman"/>
                <w:color w:val="000000"/>
                <w:kern w:val="0"/>
                <w:sz w:val="15"/>
                <w:szCs w:val="15"/>
              </w:rPr>
            </w:pPr>
          </w:p>
        </w:tc>
        <w:tc>
          <w:tcPr>
            <w:tcW w:w="4094" w:type="dxa"/>
            <w:gridSpan w:val="2"/>
            <w:vMerge w:val="continue"/>
            <w:tcBorders>
              <w:left w:val="single" w:color="auto" w:sz="4" w:space="0"/>
              <w:right w:val="single" w:color="auto" w:sz="4" w:space="0"/>
            </w:tcBorders>
            <w:noWrap w:val="0"/>
            <w:vAlign w:val="center"/>
          </w:tcPr>
          <w:p>
            <w:pPr>
              <w:widowControl/>
              <w:spacing w:line="200" w:lineRule="exact"/>
              <w:jc w:val="left"/>
              <w:rPr>
                <w:rFonts w:hint="default" w:ascii="Times New Roman" w:hAnsi="Times New Roman"/>
                <w:color w:val="000000"/>
                <w:kern w:val="0"/>
                <w:sz w:val="15"/>
                <w:szCs w:val="15"/>
              </w:rPr>
            </w:pPr>
          </w:p>
        </w:tc>
        <w:tc>
          <w:tcPr>
            <w:tcW w:w="621" w:type="dxa"/>
            <w:vMerge w:val="restart"/>
            <w:tcBorders>
              <w:top w:val="nil"/>
              <w:left w:val="nil"/>
              <w:right w:val="single" w:color="auto" w:sz="4" w:space="0"/>
            </w:tcBorders>
            <w:noWrap w:val="0"/>
            <w:vAlign w:val="center"/>
          </w:tcPr>
          <w:p>
            <w:pPr>
              <w:widowControl/>
              <w:jc w:val="left"/>
              <w:rPr>
                <w:rFonts w:ascii="Times New Roman" w:hAnsi="Times New Roman"/>
                <w:color w:val="000000"/>
                <w:kern w:val="0"/>
                <w:sz w:val="15"/>
                <w:szCs w:val="15"/>
              </w:rPr>
            </w:pPr>
            <w:r>
              <w:rPr>
                <w:rFonts w:hint="default" w:ascii="Times New Roman" w:hAnsi="Times New Roman"/>
                <w:color w:val="000000"/>
                <w:kern w:val="0"/>
                <w:sz w:val="15"/>
                <w:szCs w:val="15"/>
              </w:rPr>
              <w:t>　</w:t>
            </w:r>
            <w:r>
              <w:rPr>
                <w:rFonts w:ascii="Times New Roman" w:hAnsi="Times New Roman"/>
                <w:color w:val="000000"/>
                <w:kern w:val="0"/>
                <w:sz w:val="15"/>
                <w:szCs w:val="15"/>
              </w:rPr>
              <w:t>20</w:t>
            </w:r>
          </w:p>
        </w:tc>
      </w:tr>
      <w:tr>
        <w:tblPrEx>
          <w:tblCellMar>
            <w:top w:w="0" w:type="dxa"/>
            <w:left w:w="108" w:type="dxa"/>
            <w:bottom w:w="0" w:type="dxa"/>
            <w:right w:w="108" w:type="dxa"/>
          </w:tblCellMar>
        </w:tblPrEx>
        <w:trPr>
          <w:trHeight w:val="634" w:hRule="atLeast"/>
          <w:jc w:val="center"/>
        </w:trPr>
        <w:tc>
          <w:tcPr>
            <w:tcW w:w="77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07"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生态</w:t>
            </w:r>
          </w:p>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效益</w:t>
            </w:r>
          </w:p>
        </w:tc>
        <w:tc>
          <w:tcPr>
            <w:tcW w:w="477" w:type="dxa"/>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olor w:val="000000"/>
                <w:kern w:val="0"/>
                <w:sz w:val="15"/>
                <w:szCs w:val="15"/>
              </w:rPr>
            </w:pPr>
          </w:p>
        </w:tc>
        <w:tc>
          <w:tcPr>
            <w:tcW w:w="2207" w:type="dxa"/>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olor w:val="000000"/>
                <w:kern w:val="0"/>
                <w:sz w:val="15"/>
                <w:szCs w:val="15"/>
              </w:rPr>
            </w:pPr>
          </w:p>
        </w:tc>
        <w:tc>
          <w:tcPr>
            <w:tcW w:w="4094" w:type="dxa"/>
            <w:gridSpan w:val="2"/>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olor w:val="000000"/>
                <w:kern w:val="0"/>
                <w:sz w:val="15"/>
                <w:szCs w:val="15"/>
              </w:rPr>
            </w:pPr>
          </w:p>
        </w:tc>
        <w:tc>
          <w:tcPr>
            <w:tcW w:w="621" w:type="dxa"/>
            <w:vMerge w:val="continue"/>
            <w:tcBorders>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r>
      <w:tr>
        <w:tblPrEx>
          <w:tblCellMar>
            <w:top w:w="0" w:type="dxa"/>
            <w:left w:w="108" w:type="dxa"/>
            <w:bottom w:w="0" w:type="dxa"/>
            <w:right w:w="108" w:type="dxa"/>
          </w:tblCellMar>
        </w:tblPrEx>
        <w:trPr>
          <w:trHeight w:val="1232" w:hRule="atLeast"/>
          <w:jc w:val="center"/>
        </w:trPr>
        <w:tc>
          <w:tcPr>
            <w:tcW w:w="77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7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07"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行政</w:t>
            </w:r>
          </w:p>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效能</w:t>
            </w:r>
          </w:p>
        </w:tc>
        <w:tc>
          <w:tcPr>
            <w:tcW w:w="4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部门（单位）促进部门改进文风会风，加强经费及资产管理，推动网上办事，提高行政效率，降低行政成本效果情况。</w:t>
            </w:r>
          </w:p>
        </w:tc>
        <w:tc>
          <w:tcPr>
            <w:tcW w:w="254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根据部门自评材料评定</w:t>
            </w:r>
          </w:p>
        </w:tc>
        <w:tc>
          <w:tcPr>
            <w:tcW w:w="15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较好的计5分；一般3分；无效果或者效果不明显0分。</w:t>
            </w:r>
          </w:p>
        </w:tc>
        <w:tc>
          <w:tcPr>
            <w:tcW w:w="62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ascii="Times New Roman" w:hAnsi="Times New Roman"/>
                <w:color w:val="000000"/>
                <w:kern w:val="0"/>
                <w:sz w:val="15"/>
                <w:szCs w:val="15"/>
              </w:rPr>
              <w:t xml:space="preserve">  5</w:t>
            </w:r>
            <w:r>
              <w:rPr>
                <w:rFonts w:hint="default" w:ascii="Times New Roman" w:hAnsi="Times New Roman"/>
                <w:color w:val="000000"/>
                <w:kern w:val="0"/>
                <w:sz w:val="15"/>
                <w:szCs w:val="15"/>
              </w:rPr>
              <w:t>　</w:t>
            </w:r>
          </w:p>
        </w:tc>
      </w:tr>
      <w:tr>
        <w:tblPrEx>
          <w:tblCellMar>
            <w:top w:w="0" w:type="dxa"/>
            <w:left w:w="108" w:type="dxa"/>
            <w:bottom w:w="0" w:type="dxa"/>
            <w:right w:w="108" w:type="dxa"/>
          </w:tblCellMar>
        </w:tblPrEx>
        <w:trPr>
          <w:trHeight w:val="1296" w:hRule="atLeast"/>
          <w:jc w:val="center"/>
        </w:trPr>
        <w:tc>
          <w:tcPr>
            <w:tcW w:w="775"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7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p>
        </w:tc>
        <w:tc>
          <w:tcPr>
            <w:tcW w:w="707"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社会公众或服务对象满意度</w:t>
            </w:r>
          </w:p>
        </w:tc>
        <w:tc>
          <w:tcPr>
            <w:tcW w:w="47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5</w:t>
            </w:r>
          </w:p>
        </w:tc>
        <w:tc>
          <w:tcPr>
            <w:tcW w:w="2207"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社会公众或部门（单位）的服务对象对部门履职效果的满意程度。</w:t>
            </w:r>
          </w:p>
        </w:tc>
        <w:tc>
          <w:tcPr>
            <w:tcW w:w="2541"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社会公众或服务对象是指部门（单位）履行职责而影响到的部门、群体或个人，一般采取社会调查的方式。</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color w:val="000000"/>
                <w:kern w:val="0"/>
                <w:sz w:val="15"/>
                <w:szCs w:val="15"/>
              </w:rPr>
            </w:pPr>
            <w:r>
              <w:rPr>
                <w:rFonts w:hint="default" w:ascii="Times New Roman" w:hAnsi="Times New Roman"/>
                <w:color w:val="000000"/>
                <w:kern w:val="0"/>
                <w:sz w:val="15"/>
                <w:szCs w:val="15"/>
              </w:rPr>
              <w:t>90%（含）以上计5分；</w:t>
            </w:r>
            <w:r>
              <w:rPr>
                <w:rFonts w:hint="default" w:ascii="Times New Roman" w:hAnsi="Times New Roman"/>
                <w:color w:val="000000"/>
                <w:kern w:val="0"/>
                <w:sz w:val="15"/>
                <w:szCs w:val="15"/>
              </w:rPr>
              <w:br w:type="textWrapping"/>
            </w:r>
            <w:r>
              <w:rPr>
                <w:rFonts w:hint="default" w:ascii="Times New Roman" w:hAnsi="Times New Roman"/>
                <w:color w:val="000000"/>
                <w:kern w:val="0"/>
                <w:sz w:val="15"/>
                <w:szCs w:val="15"/>
              </w:rPr>
              <w:t>80%（含）-90%，计4分；</w:t>
            </w:r>
            <w:r>
              <w:rPr>
                <w:rFonts w:hint="default" w:ascii="Times New Roman" w:hAnsi="Times New Roman"/>
                <w:color w:val="000000"/>
                <w:kern w:val="0"/>
                <w:sz w:val="15"/>
                <w:szCs w:val="15"/>
              </w:rPr>
              <w:br w:type="textWrapping"/>
            </w:r>
            <w:r>
              <w:rPr>
                <w:rFonts w:hint="default" w:ascii="Times New Roman" w:hAnsi="Times New Roman"/>
                <w:color w:val="000000"/>
                <w:kern w:val="0"/>
                <w:sz w:val="15"/>
                <w:szCs w:val="15"/>
              </w:rPr>
              <w:t>70%（含）-80%，计3分；</w:t>
            </w:r>
            <w:r>
              <w:rPr>
                <w:rFonts w:hint="default" w:ascii="Times New Roman" w:hAnsi="Times New Roman"/>
                <w:color w:val="000000"/>
                <w:kern w:val="0"/>
                <w:sz w:val="15"/>
                <w:szCs w:val="15"/>
              </w:rPr>
              <w:br w:type="textWrapping"/>
            </w:r>
            <w:r>
              <w:rPr>
                <w:rFonts w:hint="default" w:ascii="Times New Roman" w:hAnsi="Times New Roman"/>
                <w:color w:val="000000"/>
                <w:kern w:val="0"/>
                <w:sz w:val="15"/>
                <w:szCs w:val="15"/>
              </w:rPr>
              <w:t>低于70%计0分。</w:t>
            </w:r>
          </w:p>
        </w:tc>
        <w:tc>
          <w:tcPr>
            <w:tcW w:w="621"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5"/>
                <w:szCs w:val="15"/>
              </w:rPr>
            </w:pPr>
            <w:r>
              <w:rPr>
                <w:rFonts w:hint="default" w:ascii="Times New Roman" w:hAnsi="Times New Roman"/>
                <w:color w:val="000000"/>
                <w:kern w:val="0"/>
                <w:sz w:val="15"/>
                <w:szCs w:val="15"/>
              </w:rPr>
              <w:t>　</w:t>
            </w:r>
            <w:r>
              <w:rPr>
                <w:rFonts w:ascii="Times New Roman" w:hAnsi="Times New Roman"/>
                <w:color w:val="000000"/>
                <w:kern w:val="0"/>
                <w:sz w:val="15"/>
                <w:szCs w:val="15"/>
              </w:rPr>
              <w:t>5</w:t>
            </w:r>
          </w:p>
        </w:tc>
      </w:tr>
      <w:tr>
        <w:tblPrEx>
          <w:tblCellMar>
            <w:top w:w="0" w:type="dxa"/>
            <w:left w:w="108" w:type="dxa"/>
            <w:bottom w:w="0" w:type="dxa"/>
            <w:right w:w="108" w:type="dxa"/>
          </w:tblCellMar>
        </w:tblPrEx>
        <w:trPr>
          <w:trHeight w:val="526"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15"/>
                <w:szCs w:val="15"/>
              </w:rPr>
            </w:pPr>
            <w:r>
              <w:rPr>
                <w:rFonts w:hint="default" w:ascii="Times New Roman" w:hAnsi="Times New Roman"/>
                <w:color w:val="000000"/>
                <w:kern w:val="0"/>
                <w:sz w:val="15"/>
                <w:szCs w:val="15"/>
              </w:rPr>
              <w:t>总分</w:t>
            </w:r>
          </w:p>
        </w:tc>
        <w:tc>
          <w:tcPr>
            <w:tcW w:w="195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olor w:val="000000"/>
                <w:kern w:val="0"/>
                <w:sz w:val="15"/>
                <w:szCs w:val="15"/>
              </w:rPr>
            </w:pPr>
            <w:r>
              <w:rPr>
                <w:rFonts w:hint="default" w:ascii="Times New Roman" w:hAnsi="Times New Roman"/>
                <w:color w:val="000000"/>
                <w:kern w:val="0"/>
                <w:sz w:val="15"/>
                <w:szCs w:val="15"/>
              </w:rPr>
              <w:t>100</w:t>
            </w:r>
          </w:p>
        </w:tc>
        <w:tc>
          <w:tcPr>
            <w:tcW w:w="6922"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5"/>
                <w:szCs w:val="15"/>
              </w:rPr>
            </w:pPr>
            <w:r>
              <w:rPr>
                <w:rFonts w:ascii="Times New Roman" w:hAnsi="Times New Roman"/>
                <w:color w:val="000000"/>
                <w:kern w:val="0"/>
                <w:sz w:val="15"/>
                <w:szCs w:val="15"/>
              </w:rPr>
              <w:t xml:space="preserve">                                                                                     93</w:t>
            </w:r>
          </w:p>
        </w:tc>
      </w:tr>
    </w:tbl>
    <w:p>
      <w:pPr>
        <w:rPr>
          <w:rFonts w:hint="default" w:ascii="Times New Roman" w:hAnsi="Times New Roman"/>
        </w:rPr>
      </w:pPr>
      <w:r>
        <w:rPr>
          <w:rFonts w:hint="default" w:ascii="Times New Roman" w:hAnsi="Times New Roman"/>
        </w:rPr>
        <w:t xml:space="preserve"> </w:t>
      </w:r>
    </w:p>
    <w:p>
      <w:pPr>
        <w:ind w:left="-991" w:leftChars="-472" w:firstLine="560" w:firstLineChars="200"/>
        <w:rPr>
          <w:rFonts w:hint="default" w:ascii="Times New Roman" w:hAnsi="Times New Roman" w:eastAsia="黑体"/>
          <w:color w:val="000000"/>
          <w:kern w:val="0"/>
          <w:sz w:val="32"/>
          <w:szCs w:val="32"/>
        </w:rPr>
      </w:pPr>
      <w:r>
        <w:rPr>
          <w:rFonts w:hint="default" w:ascii="Times New Roman" w:hAnsi="Times New Roman" w:eastAsia="仿宋_GB2312"/>
          <w:spacing w:val="-20"/>
          <w:sz w:val="32"/>
          <w:szCs w:val="32"/>
        </w:rPr>
        <w:br w:type="page"/>
      </w:r>
    </w:p>
    <w:p>
      <w:pPr>
        <w:jc w:val="center"/>
        <w:rPr>
          <w:rFonts w:hint="default" w:ascii="Times New Roman" w:hAnsi="Times New Roman" w:eastAsia="方正小标宋简体"/>
          <w:color w:val="000000"/>
          <w:kern w:val="0"/>
          <w:sz w:val="44"/>
          <w:szCs w:val="44"/>
        </w:rPr>
      </w:pPr>
      <w:r>
        <w:rPr>
          <w:rFonts w:hint="default" w:ascii="Times New Roman" w:hAnsi="Times New Roman" w:eastAsia="方正小标宋简体"/>
          <w:color w:val="000000"/>
          <w:kern w:val="0"/>
          <w:sz w:val="44"/>
          <w:szCs w:val="44"/>
        </w:rPr>
        <w:t>部门整体支出绩效评价基础数据表</w:t>
      </w:r>
    </w:p>
    <w:p>
      <w:pPr>
        <w:ind w:left="-991" w:leftChars="-472" w:firstLine="840" w:firstLineChars="350"/>
        <w:rPr>
          <w:rFonts w:ascii="Times New Roman" w:hAnsi="Times New Roman"/>
        </w:rPr>
      </w:pPr>
      <w:r>
        <w:rPr>
          <w:rFonts w:hint="default" w:ascii="Times New Roman" w:hAnsi="Times New Roman" w:eastAsia="仿宋_GB2312"/>
          <w:color w:val="000000"/>
          <w:kern w:val="0"/>
          <w:sz w:val="24"/>
          <w:szCs w:val="24"/>
        </w:rPr>
        <w:t>填报单位：</w:t>
      </w:r>
      <w:r>
        <w:rPr>
          <w:rFonts w:ascii="Times New Roman" w:hAnsi="Times New Roman" w:eastAsia="仿宋_GB2312"/>
          <w:color w:val="000000"/>
          <w:kern w:val="0"/>
          <w:sz w:val="24"/>
          <w:szCs w:val="24"/>
        </w:rPr>
        <w:t>武陵源区纪委监委</w:t>
      </w:r>
    </w:p>
    <w:tbl>
      <w:tblPr>
        <w:tblStyle w:val="6"/>
        <w:tblW w:w="0" w:type="auto"/>
        <w:jc w:val="center"/>
        <w:tblLayout w:type="fixed"/>
        <w:tblCellMar>
          <w:top w:w="0" w:type="dxa"/>
          <w:left w:w="108" w:type="dxa"/>
          <w:bottom w:w="0" w:type="dxa"/>
          <w:right w:w="108" w:type="dxa"/>
        </w:tblCellMar>
      </w:tblPr>
      <w:tblGrid>
        <w:gridCol w:w="3067"/>
        <w:gridCol w:w="979"/>
        <w:gridCol w:w="927"/>
        <w:gridCol w:w="932"/>
        <w:gridCol w:w="1208"/>
        <w:gridCol w:w="1238"/>
        <w:gridCol w:w="1226"/>
      </w:tblGrid>
      <w:tr>
        <w:tblPrEx>
          <w:tblCellMar>
            <w:top w:w="0" w:type="dxa"/>
            <w:left w:w="108" w:type="dxa"/>
            <w:bottom w:w="0" w:type="dxa"/>
            <w:right w:w="108" w:type="dxa"/>
          </w:tblCellMar>
        </w:tblPrEx>
        <w:trPr>
          <w:trHeight w:val="658" w:hRule="atLeast"/>
          <w:jc w:val="center"/>
        </w:trPr>
        <w:tc>
          <w:tcPr>
            <w:tcW w:w="30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财政供养人员情况</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编制数</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2020年实际</w:t>
            </w:r>
          </w:p>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在职人数</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控制率</w:t>
            </w:r>
          </w:p>
        </w:tc>
      </w:tr>
      <w:tr>
        <w:tblPrEx>
          <w:tblCellMar>
            <w:top w:w="0" w:type="dxa"/>
            <w:left w:w="108" w:type="dxa"/>
            <w:bottom w:w="0" w:type="dxa"/>
            <w:right w:w="108" w:type="dxa"/>
          </w:tblCellMar>
        </w:tblPrEx>
        <w:trPr>
          <w:trHeight w:val="334" w:hRule="atLeast"/>
          <w:jc w:val="center"/>
        </w:trPr>
        <w:tc>
          <w:tcPr>
            <w:tcW w:w="3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51</w:t>
            </w:r>
            <w:r>
              <w:rPr>
                <w:rFonts w:hint="default" w:ascii="Times New Roman" w:hAnsi="Times New Roman" w:eastAsia="仿宋_GB2312"/>
                <w:color w:val="000000"/>
                <w:kern w:val="0"/>
                <w:sz w:val="24"/>
                <w:szCs w:val="24"/>
              </w:rPr>
              <w:t>　</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r>
              <w:rPr>
                <w:rFonts w:ascii="Times New Roman" w:hAnsi="Times New Roman" w:eastAsia="仿宋_GB2312"/>
                <w:color w:val="000000"/>
                <w:kern w:val="0"/>
                <w:sz w:val="24"/>
                <w:szCs w:val="24"/>
              </w:rPr>
              <w:t>48</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100%</w:t>
            </w: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58"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ind w:firstLine="600" w:firstLineChars="250"/>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经费控制情况</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2019年</w:t>
            </w:r>
          </w:p>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决算数</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2020年</w:t>
            </w:r>
          </w:p>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预算数</w:t>
            </w:r>
          </w:p>
        </w:tc>
        <w:tc>
          <w:tcPr>
            <w:tcW w:w="2464" w:type="dxa"/>
            <w:gridSpan w:val="2"/>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2020年</w:t>
            </w:r>
          </w:p>
          <w:p>
            <w:pPr>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决算数</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三公经费</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12.43</w:t>
            </w:r>
            <w:r>
              <w:rPr>
                <w:rFonts w:hint="default" w:ascii="Times New Roman" w:hAnsi="Times New Roman" w:eastAsia="仿宋_GB2312"/>
                <w:color w:val="000000"/>
                <w:kern w:val="0"/>
                <w:sz w:val="24"/>
                <w:szCs w:val="24"/>
              </w:rPr>
              <w:t>　</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5</w:t>
            </w:r>
            <w:r>
              <w:rPr>
                <w:rFonts w:hint="default" w:ascii="Times New Roman" w:hAnsi="Times New Roman" w:eastAsia="仿宋_GB2312"/>
                <w:color w:val="000000"/>
                <w:kern w:val="0"/>
                <w:sz w:val="24"/>
                <w:szCs w:val="24"/>
              </w:rPr>
              <w:t>　</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r>
              <w:rPr>
                <w:rFonts w:ascii="Times New Roman" w:hAnsi="Times New Roman" w:eastAsia="仿宋_GB2312"/>
                <w:color w:val="000000"/>
                <w:kern w:val="0"/>
                <w:sz w:val="24"/>
                <w:szCs w:val="24"/>
              </w:rPr>
              <w:t>5.25</w:t>
            </w:r>
          </w:p>
        </w:tc>
      </w:tr>
      <w:tr>
        <w:tblPrEx>
          <w:tblCellMar>
            <w:top w:w="0" w:type="dxa"/>
            <w:left w:w="108" w:type="dxa"/>
            <w:bottom w:w="0" w:type="dxa"/>
            <w:right w:w="108" w:type="dxa"/>
          </w:tblCellMar>
        </w:tblPrEx>
        <w:trPr>
          <w:trHeight w:val="658"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ind w:left="585"/>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1.公务用车购置和维护经费</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     其中：公车购置</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           公车运行维护</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3.77</w:t>
            </w:r>
            <w:r>
              <w:rPr>
                <w:rFonts w:hint="default" w:ascii="Times New Roman" w:hAnsi="Times New Roman" w:eastAsia="仿宋_GB2312"/>
                <w:color w:val="000000"/>
                <w:kern w:val="0"/>
                <w:sz w:val="24"/>
                <w:szCs w:val="24"/>
              </w:rPr>
              <w:t>　</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2.45</w:t>
            </w: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     2.因公出国</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     3.公务接待</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8.66</w:t>
            </w:r>
            <w:r>
              <w:rPr>
                <w:rFonts w:hint="default" w:ascii="Times New Roman" w:hAnsi="Times New Roman" w:eastAsia="仿宋_GB2312"/>
                <w:color w:val="000000"/>
                <w:kern w:val="0"/>
                <w:sz w:val="24"/>
                <w:szCs w:val="24"/>
              </w:rPr>
              <w:t>　</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5</w:t>
            </w:r>
            <w:r>
              <w:rPr>
                <w:rFonts w:hint="default" w:ascii="Times New Roman" w:hAnsi="Times New Roman" w:eastAsia="仿宋_GB2312"/>
                <w:color w:val="000000"/>
                <w:kern w:val="0"/>
                <w:sz w:val="24"/>
                <w:szCs w:val="24"/>
              </w:rPr>
              <w:t>　</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2.80</w:t>
            </w: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项目支出</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255.64</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190</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314.23</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ind w:firstLine="120" w:firstLineChars="50"/>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1.业务工作专项</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255.64</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190</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314.23</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ind w:firstLine="120" w:firstLineChars="50"/>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2.运行维护专项</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ind w:firstLine="120" w:firstLineChars="50"/>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     </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ind w:right="-138" w:rightChars="-66"/>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公用经费 </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ind w:firstLine="120" w:firstLineChars="50"/>
              <w:jc w:val="left"/>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    </w:t>
            </w:r>
            <w:r>
              <w:rPr>
                <w:rFonts w:ascii="Times New Roman" w:hAnsi="Times New Roman" w:eastAsia="仿宋_GB2312"/>
                <w:color w:val="000000"/>
                <w:kern w:val="0"/>
                <w:sz w:val="24"/>
                <w:szCs w:val="24"/>
              </w:rPr>
              <w:t>80.43.</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155.69</w:t>
            </w:r>
            <w:r>
              <w:rPr>
                <w:rFonts w:hint="default" w:ascii="Times New Roman" w:hAnsi="Times New Roman" w:eastAsia="仿宋_GB2312"/>
                <w:color w:val="000000"/>
                <w:kern w:val="0"/>
                <w:sz w:val="24"/>
                <w:szCs w:val="24"/>
              </w:rPr>
              <w:t>　</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78.17</w:t>
            </w: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其中：办公经费 </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ind w:firstLine="120" w:firstLineChars="50"/>
              <w:jc w:val="left"/>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     </w:t>
            </w:r>
            <w:r>
              <w:rPr>
                <w:rFonts w:ascii="Times New Roman" w:hAnsi="Times New Roman" w:eastAsia="仿宋_GB2312"/>
                <w:color w:val="000000"/>
                <w:kern w:val="0"/>
                <w:sz w:val="24"/>
                <w:szCs w:val="24"/>
              </w:rPr>
              <w:t>29.32</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ind w:firstLine="720" w:firstLineChars="3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38.80</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7.72</w:t>
            </w: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ind w:firstLine="120" w:firstLineChars="50"/>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     水费、电费、差旅费</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ind w:firstLine="120" w:firstLineChars="50"/>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     </w:t>
            </w:r>
            <w:r>
              <w:rPr>
                <w:rFonts w:ascii="Times New Roman" w:hAnsi="Times New Roman" w:eastAsia="仿宋_GB2312"/>
                <w:color w:val="000000"/>
                <w:kern w:val="0"/>
                <w:sz w:val="24"/>
                <w:szCs w:val="24"/>
              </w:rPr>
              <w:t>49.60</w:t>
            </w:r>
            <w:r>
              <w:rPr>
                <w:rFonts w:hint="default" w:ascii="Times New Roman" w:hAnsi="Times New Roman" w:eastAsia="仿宋_GB2312"/>
                <w:color w:val="000000"/>
                <w:kern w:val="0"/>
                <w:sz w:val="24"/>
                <w:szCs w:val="24"/>
              </w:rPr>
              <w:t xml:space="preserve"> </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20</w:t>
            </w:r>
            <w:r>
              <w:rPr>
                <w:rFonts w:hint="default" w:ascii="Times New Roman" w:hAnsi="Times New Roman" w:eastAsia="仿宋_GB2312"/>
                <w:color w:val="000000"/>
                <w:kern w:val="0"/>
                <w:sz w:val="24"/>
                <w:szCs w:val="24"/>
              </w:rPr>
              <w:t>　</w:t>
            </w:r>
          </w:p>
        </w:tc>
        <w:tc>
          <w:tcPr>
            <w:tcW w:w="2464" w:type="dxa"/>
            <w:gridSpan w:val="2"/>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19.99</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ind w:firstLine="120" w:firstLineChars="50"/>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     会议费、培训费</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1.51</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5.54</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政府采购金额</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60</w:t>
            </w:r>
            <w:r>
              <w:rPr>
                <w:rFonts w:hint="default" w:ascii="Times New Roman" w:hAnsi="Times New Roman" w:eastAsia="仿宋_GB2312"/>
                <w:color w:val="000000"/>
                <w:kern w:val="0"/>
                <w:sz w:val="24"/>
                <w:szCs w:val="24"/>
              </w:rPr>
              <w:t>　</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2.29</w:t>
            </w: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部门整体支出</w:t>
            </w:r>
          </w:p>
        </w:tc>
        <w:tc>
          <w:tcPr>
            <w:tcW w:w="1906" w:type="dxa"/>
            <w:gridSpan w:val="2"/>
            <w:tcBorders>
              <w:top w:val="single" w:color="auto" w:sz="4" w:space="0"/>
              <w:left w:val="nil"/>
              <w:bottom w:val="single" w:color="000000"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r>
              <w:rPr>
                <w:rFonts w:ascii="Times New Roman" w:hAnsi="Times New Roman" w:eastAsia="仿宋_GB2312"/>
                <w:color w:val="000000"/>
                <w:kern w:val="0"/>
                <w:sz w:val="24"/>
                <w:szCs w:val="24"/>
              </w:rPr>
              <w:t>1360.55</w:t>
            </w:r>
          </w:p>
        </w:tc>
        <w:tc>
          <w:tcPr>
            <w:tcW w:w="246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1246.24</w:t>
            </w: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983" w:hRule="atLeast"/>
          <w:jc w:val="center"/>
        </w:trPr>
        <w:tc>
          <w:tcPr>
            <w:tcW w:w="3067" w:type="dxa"/>
            <w:tcBorders>
              <w:top w:val="nil"/>
              <w:left w:val="single" w:color="auto" w:sz="4" w:space="0"/>
              <w:right w:val="nil"/>
            </w:tcBorders>
            <w:noWrap w:val="0"/>
            <w:vAlign w:val="center"/>
          </w:tcPr>
          <w:p>
            <w:pPr>
              <w:widowControl/>
              <w:ind w:firstLine="240" w:firstLineChars="100"/>
              <w:rPr>
                <w:rFonts w:hint="default" w:ascii="Times New Roman" w:hAnsi="Times New Roman" w:eastAsia="仿宋_GB2312"/>
                <w:color w:val="000000"/>
                <w:kern w:val="0"/>
                <w:sz w:val="24"/>
                <w:szCs w:val="24"/>
              </w:rPr>
            </w:pPr>
          </w:p>
          <w:p>
            <w:pPr>
              <w:widowControl/>
              <w:ind w:firstLine="600" w:firstLineChars="250"/>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楼堂馆所控制情况</w:t>
            </w:r>
          </w:p>
          <w:p>
            <w:pPr>
              <w:ind w:firstLine="360" w:firstLineChars="150"/>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（2020年完工项目）</w:t>
            </w:r>
          </w:p>
        </w:tc>
        <w:tc>
          <w:tcPr>
            <w:tcW w:w="979" w:type="dxa"/>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批复规模(</w:t>
            </w:r>
            <w:r>
              <w:rPr>
                <w:rFonts w:hint="default" w:ascii="Times New Roman" w:hAnsi="Times New Roman"/>
                <w:color w:val="000000"/>
                <w:kern w:val="0"/>
                <w:sz w:val="24"/>
                <w:szCs w:val="24"/>
              </w:rPr>
              <w:t>㎡</w:t>
            </w:r>
            <w:r>
              <w:rPr>
                <w:rFonts w:hint="default" w:ascii="Times New Roman" w:hAnsi="Times New Roman" w:eastAsia="仿宋_GB2312"/>
                <w:color w:val="000000"/>
                <w:kern w:val="0"/>
                <w:sz w:val="24"/>
                <w:szCs w:val="24"/>
              </w:rPr>
              <w:t>)</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实际规模（</w:t>
            </w:r>
            <w:r>
              <w:rPr>
                <w:rFonts w:hint="default" w:ascii="Times New Roman" w:hAnsi="Times New Roman"/>
                <w:color w:val="000000"/>
                <w:kern w:val="0"/>
                <w:sz w:val="24"/>
                <w:szCs w:val="24"/>
              </w:rPr>
              <w:t>㎡</w:t>
            </w:r>
            <w:r>
              <w:rPr>
                <w:rFonts w:hint="default" w:ascii="Times New Roman" w:hAnsi="Times New Roman" w:eastAsia="仿宋_GB2312"/>
                <w:color w:val="000000"/>
                <w:kern w:val="0"/>
                <w:sz w:val="24"/>
                <w:szCs w:val="24"/>
              </w:rPr>
              <w:t>）</w:t>
            </w:r>
          </w:p>
        </w:tc>
        <w:tc>
          <w:tcPr>
            <w:tcW w:w="93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规模控制率</w:t>
            </w:r>
          </w:p>
        </w:tc>
        <w:tc>
          <w:tcPr>
            <w:tcW w:w="120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预算投资（万元）</w:t>
            </w:r>
          </w:p>
        </w:tc>
        <w:tc>
          <w:tcPr>
            <w:tcW w:w="12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实际投资</w:t>
            </w:r>
          </w:p>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（万元）</w:t>
            </w:r>
          </w:p>
        </w:tc>
        <w:tc>
          <w:tcPr>
            <w:tcW w:w="1226" w:type="dxa"/>
            <w:tcBorders>
              <w:top w:val="nil"/>
              <w:left w:val="single" w:color="auto" w:sz="4" w:space="0"/>
              <w:bottom w:val="single" w:color="auto" w:sz="4" w:space="0"/>
              <w:right w:val="single" w:color="auto" w:sz="4" w:space="0"/>
            </w:tcBorders>
            <w:noWrap w:val="0"/>
            <w:vAlign w:val="center"/>
          </w:tcPr>
          <w:p>
            <w:pPr>
              <w:widowControl/>
              <w:ind w:left="-66" w:leftChars="-99" w:hanging="141" w:hangingChars="59"/>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xml:space="preserve"> 投资概算</w:t>
            </w:r>
          </w:p>
          <w:p>
            <w:pPr>
              <w:widowControl/>
              <w:ind w:left="-66" w:leftChars="-99" w:hanging="141" w:hangingChars="59"/>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控制率</w:t>
            </w:r>
          </w:p>
        </w:tc>
      </w:tr>
      <w:tr>
        <w:tblPrEx>
          <w:tblCellMar>
            <w:top w:w="0" w:type="dxa"/>
            <w:left w:w="108" w:type="dxa"/>
            <w:bottom w:w="0" w:type="dxa"/>
            <w:right w:w="108" w:type="dxa"/>
          </w:tblCellMar>
        </w:tblPrEx>
        <w:trPr>
          <w:trHeight w:val="334"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000000"/>
                <w:kern w:val="0"/>
                <w:sz w:val="22"/>
                <w:szCs w:val="22"/>
              </w:rPr>
            </w:pPr>
            <w:r>
              <w:rPr>
                <w:rFonts w:hint="default" w:ascii="Times New Roman" w:hAnsi="Times New Roman"/>
                <w:color w:val="000000"/>
                <w:kern w:val="0"/>
                <w:sz w:val="22"/>
                <w:szCs w:val="22"/>
              </w:rPr>
              <w:t>　</w:t>
            </w:r>
          </w:p>
        </w:tc>
        <w:tc>
          <w:tcPr>
            <w:tcW w:w="9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9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9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12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123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c>
          <w:tcPr>
            <w:tcW w:w="122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720" w:hRule="atLeast"/>
          <w:jc w:val="center"/>
        </w:trPr>
        <w:tc>
          <w:tcPr>
            <w:tcW w:w="306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厉行节约保障措施</w:t>
            </w:r>
          </w:p>
        </w:tc>
        <w:tc>
          <w:tcPr>
            <w:tcW w:w="651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334" w:hRule="atLeast"/>
          <w:jc w:val="center"/>
        </w:trPr>
        <w:tc>
          <w:tcPr>
            <w:tcW w:w="9577" w:type="dxa"/>
            <w:gridSpan w:val="7"/>
            <w:tcBorders>
              <w:top w:val="single" w:color="auto" w:sz="4" w:space="0"/>
              <w:left w:val="nil"/>
              <w:bottom w:val="nil"/>
              <w:right w:val="nil"/>
            </w:tcBorders>
            <w:noWrap w:val="0"/>
            <w:vAlign w:val="center"/>
          </w:tcPr>
          <w:p>
            <w:pPr>
              <w:widowControl/>
              <w:jc w:val="left"/>
              <w:rPr>
                <w:rFonts w:hint="default" w:ascii="Times New Roman" w:hAnsi="Times New Roman" w:eastAsia="仿宋_GB2312"/>
                <w:color w:val="000000"/>
                <w:kern w:val="0"/>
                <w:sz w:val="22"/>
                <w:szCs w:val="22"/>
              </w:rPr>
            </w:pPr>
            <w:r>
              <w:rPr>
                <w:rFonts w:hint="default" w:ascii="Times New Roman" w:hAnsi="Times New Roman" w:eastAsia="仿宋_GB2312"/>
                <w:color w:val="000000"/>
                <w:kern w:val="0"/>
                <w:sz w:val="22"/>
                <w:szCs w:val="22"/>
              </w:rPr>
              <w:t>说明：“项目支出”需要填报除专项资金和基本支出以外的所有项目情况；公用经费填报基本支出中的一般商品和服务支出。</w:t>
            </w:r>
          </w:p>
        </w:tc>
      </w:tr>
    </w:tbl>
    <w:p>
      <w:pPr>
        <w:ind w:firstLine="640" w:firstLineChars="200"/>
        <w:jc w:val="left"/>
        <w:rPr>
          <w:rFonts w:ascii="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6F9"/>
    <w:rsid w:val="0002229B"/>
    <w:rsid w:val="000273BD"/>
    <w:rsid w:val="000415B7"/>
    <w:rsid w:val="00041E3F"/>
    <w:rsid w:val="0004313E"/>
    <w:rsid w:val="00055DAA"/>
    <w:rsid w:val="00061F7B"/>
    <w:rsid w:val="000658A3"/>
    <w:rsid w:val="000726A8"/>
    <w:rsid w:val="00074155"/>
    <w:rsid w:val="000A3F69"/>
    <w:rsid w:val="000B100C"/>
    <w:rsid w:val="000F5BA0"/>
    <w:rsid w:val="00103957"/>
    <w:rsid w:val="00152C6D"/>
    <w:rsid w:val="00162D39"/>
    <w:rsid w:val="001678BD"/>
    <w:rsid w:val="00180055"/>
    <w:rsid w:val="001A67DB"/>
    <w:rsid w:val="001C3C29"/>
    <w:rsid w:val="001D51E5"/>
    <w:rsid w:val="001E080D"/>
    <w:rsid w:val="001E45DB"/>
    <w:rsid w:val="001E53D0"/>
    <w:rsid w:val="001F0C3B"/>
    <w:rsid w:val="00202C82"/>
    <w:rsid w:val="00214427"/>
    <w:rsid w:val="00226CB7"/>
    <w:rsid w:val="00264552"/>
    <w:rsid w:val="00264EF9"/>
    <w:rsid w:val="00265724"/>
    <w:rsid w:val="0027426B"/>
    <w:rsid w:val="002756DD"/>
    <w:rsid w:val="002E0A30"/>
    <w:rsid w:val="002F33A7"/>
    <w:rsid w:val="003029F6"/>
    <w:rsid w:val="003130C4"/>
    <w:rsid w:val="00316C4B"/>
    <w:rsid w:val="0032192B"/>
    <w:rsid w:val="0032630B"/>
    <w:rsid w:val="003479BD"/>
    <w:rsid w:val="0037197D"/>
    <w:rsid w:val="003768D5"/>
    <w:rsid w:val="003825CF"/>
    <w:rsid w:val="003C47E6"/>
    <w:rsid w:val="003C4FC2"/>
    <w:rsid w:val="003D5EF3"/>
    <w:rsid w:val="00416E61"/>
    <w:rsid w:val="0042790C"/>
    <w:rsid w:val="004458B2"/>
    <w:rsid w:val="004506F9"/>
    <w:rsid w:val="004717A2"/>
    <w:rsid w:val="00473DF3"/>
    <w:rsid w:val="00487911"/>
    <w:rsid w:val="00491741"/>
    <w:rsid w:val="004B79CF"/>
    <w:rsid w:val="00500E5F"/>
    <w:rsid w:val="005122EF"/>
    <w:rsid w:val="0051441A"/>
    <w:rsid w:val="00517C33"/>
    <w:rsid w:val="0052004A"/>
    <w:rsid w:val="00523644"/>
    <w:rsid w:val="0054069E"/>
    <w:rsid w:val="00544866"/>
    <w:rsid w:val="00557803"/>
    <w:rsid w:val="0056079D"/>
    <w:rsid w:val="005767CC"/>
    <w:rsid w:val="00576CD9"/>
    <w:rsid w:val="00584DE7"/>
    <w:rsid w:val="00590D9F"/>
    <w:rsid w:val="00595D26"/>
    <w:rsid w:val="005A5179"/>
    <w:rsid w:val="005A74E6"/>
    <w:rsid w:val="005B404E"/>
    <w:rsid w:val="005D4D55"/>
    <w:rsid w:val="005D56C8"/>
    <w:rsid w:val="005E2CFB"/>
    <w:rsid w:val="005E790E"/>
    <w:rsid w:val="005F3D1C"/>
    <w:rsid w:val="006132A4"/>
    <w:rsid w:val="0062378F"/>
    <w:rsid w:val="00641842"/>
    <w:rsid w:val="00642BD4"/>
    <w:rsid w:val="00651EEC"/>
    <w:rsid w:val="00691E8C"/>
    <w:rsid w:val="006A22C4"/>
    <w:rsid w:val="006A351B"/>
    <w:rsid w:val="006B0422"/>
    <w:rsid w:val="006B25A8"/>
    <w:rsid w:val="006C1B53"/>
    <w:rsid w:val="006D7730"/>
    <w:rsid w:val="006E5284"/>
    <w:rsid w:val="006F3EB5"/>
    <w:rsid w:val="006F566D"/>
    <w:rsid w:val="00702E34"/>
    <w:rsid w:val="00704395"/>
    <w:rsid w:val="00711721"/>
    <w:rsid w:val="00716BD8"/>
    <w:rsid w:val="00717621"/>
    <w:rsid w:val="00720FF1"/>
    <w:rsid w:val="00721769"/>
    <w:rsid w:val="007265A4"/>
    <w:rsid w:val="00727A53"/>
    <w:rsid w:val="00742D13"/>
    <w:rsid w:val="00787B42"/>
    <w:rsid w:val="007C4539"/>
    <w:rsid w:val="007D3B39"/>
    <w:rsid w:val="007D50F2"/>
    <w:rsid w:val="007F3657"/>
    <w:rsid w:val="00812ED5"/>
    <w:rsid w:val="008277D9"/>
    <w:rsid w:val="0084478C"/>
    <w:rsid w:val="0086638C"/>
    <w:rsid w:val="008A3E8D"/>
    <w:rsid w:val="009071DB"/>
    <w:rsid w:val="009237C4"/>
    <w:rsid w:val="00927318"/>
    <w:rsid w:val="00944C48"/>
    <w:rsid w:val="00950252"/>
    <w:rsid w:val="00950C7F"/>
    <w:rsid w:val="00967F5D"/>
    <w:rsid w:val="009A0F95"/>
    <w:rsid w:val="009A56FA"/>
    <w:rsid w:val="009B3ADF"/>
    <w:rsid w:val="009C3B52"/>
    <w:rsid w:val="009D431F"/>
    <w:rsid w:val="009E6817"/>
    <w:rsid w:val="009E6E9A"/>
    <w:rsid w:val="00A01D2B"/>
    <w:rsid w:val="00A1795D"/>
    <w:rsid w:val="00A42218"/>
    <w:rsid w:val="00A56716"/>
    <w:rsid w:val="00A70249"/>
    <w:rsid w:val="00A70B02"/>
    <w:rsid w:val="00A71D9F"/>
    <w:rsid w:val="00A75B7D"/>
    <w:rsid w:val="00A8734D"/>
    <w:rsid w:val="00A92E9F"/>
    <w:rsid w:val="00B12608"/>
    <w:rsid w:val="00B223B8"/>
    <w:rsid w:val="00B33BEA"/>
    <w:rsid w:val="00B57C9F"/>
    <w:rsid w:val="00B63572"/>
    <w:rsid w:val="00B77F4C"/>
    <w:rsid w:val="00B80127"/>
    <w:rsid w:val="00B845B3"/>
    <w:rsid w:val="00B85678"/>
    <w:rsid w:val="00B85D8B"/>
    <w:rsid w:val="00B87193"/>
    <w:rsid w:val="00BB4A40"/>
    <w:rsid w:val="00BD6C3E"/>
    <w:rsid w:val="00BE3674"/>
    <w:rsid w:val="00BE5D27"/>
    <w:rsid w:val="00BF4716"/>
    <w:rsid w:val="00C10681"/>
    <w:rsid w:val="00C16806"/>
    <w:rsid w:val="00C3049A"/>
    <w:rsid w:val="00C31B1E"/>
    <w:rsid w:val="00C77645"/>
    <w:rsid w:val="00C913FE"/>
    <w:rsid w:val="00CA24B5"/>
    <w:rsid w:val="00CC6CD9"/>
    <w:rsid w:val="00CE04C3"/>
    <w:rsid w:val="00CE76A0"/>
    <w:rsid w:val="00D148C6"/>
    <w:rsid w:val="00D17A8A"/>
    <w:rsid w:val="00D415BA"/>
    <w:rsid w:val="00D644EE"/>
    <w:rsid w:val="00D92D0D"/>
    <w:rsid w:val="00DD06FF"/>
    <w:rsid w:val="00DD356C"/>
    <w:rsid w:val="00DD5FE9"/>
    <w:rsid w:val="00DE4659"/>
    <w:rsid w:val="00E00C7A"/>
    <w:rsid w:val="00E37D6C"/>
    <w:rsid w:val="00E46F7E"/>
    <w:rsid w:val="00E518CA"/>
    <w:rsid w:val="00E55B68"/>
    <w:rsid w:val="00E67BE6"/>
    <w:rsid w:val="00E70C58"/>
    <w:rsid w:val="00E8683C"/>
    <w:rsid w:val="00EA2B72"/>
    <w:rsid w:val="00EF73AE"/>
    <w:rsid w:val="00F03206"/>
    <w:rsid w:val="00F23238"/>
    <w:rsid w:val="00F415F7"/>
    <w:rsid w:val="00F63CEE"/>
    <w:rsid w:val="00F74360"/>
    <w:rsid w:val="00FB462F"/>
    <w:rsid w:val="00FC0CE6"/>
    <w:rsid w:val="00FE16FA"/>
    <w:rsid w:val="00FE328A"/>
    <w:rsid w:val="00FE4C57"/>
    <w:rsid w:val="00FE6269"/>
    <w:rsid w:val="099033CD"/>
    <w:rsid w:val="0B042167"/>
    <w:rsid w:val="0C522B24"/>
    <w:rsid w:val="104A4EBF"/>
    <w:rsid w:val="19535D77"/>
    <w:rsid w:val="1BEF7F27"/>
    <w:rsid w:val="1CE319D4"/>
    <w:rsid w:val="1D087DED"/>
    <w:rsid w:val="249E1ED5"/>
    <w:rsid w:val="24C76166"/>
    <w:rsid w:val="25394C5C"/>
    <w:rsid w:val="261C60F7"/>
    <w:rsid w:val="26945672"/>
    <w:rsid w:val="26E4117B"/>
    <w:rsid w:val="31CB293B"/>
    <w:rsid w:val="32160067"/>
    <w:rsid w:val="39CA6614"/>
    <w:rsid w:val="3A9A2F8C"/>
    <w:rsid w:val="3D873330"/>
    <w:rsid w:val="42066B45"/>
    <w:rsid w:val="52136EA4"/>
    <w:rsid w:val="5FD12ABE"/>
    <w:rsid w:val="63E275C1"/>
    <w:rsid w:val="6D840EF3"/>
    <w:rsid w:val="6D8F63C8"/>
    <w:rsid w:val="6F680BA2"/>
    <w:rsid w:val="743E26E6"/>
    <w:rsid w:val="786A39D6"/>
    <w:rsid w:val="78B03ECF"/>
    <w:rsid w:val="7B804185"/>
    <w:rsid w:val="7DB642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Balloon Text Char"/>
    <w:basedOn w:val="7"/>
    <w:link w:val="2"/>
    <w:semiHidden/>
    <w:qFormat/>
    <w:locked/>
    <w:uiPriority w:val="99"/>
    <w:rPr>
      <w:rFonts w:cs="Times New Roman"/>
      <w:sz w:val="18"/>
      <w:szCs w:val="18"/>
    </w:rPr>
  </w:style>
  <w:style w:type="character" w:customStyle="1" w:styleId="9">
    <w:name w:val="Footer Char"/>
    <w:basedOn w:val="7"/>
    <w:link w:val="3"/>
    <w:qFormat/>
    <w:locked/>
    <w:uiPriority w:val="99"/>
    <w:rPr>
      <w:rFonts w:cs="Times New Roman"/>
      <w:sz w:val="18"/>
      <w:szCs w:val="18"/>
    </w:rPr>
  </w:style>
  <w:style w:type="character" w:customStyle="1" w:styleId="10">
    <w:name w:val="Header Char"/>
    <w:basedOn w:val="7"/>
    <w:link w:val="4"/>
    <w:qFormat/>
    <w:locked/>
    <w:uiPriority w:val="99"/>
    <w:rPr>
      <w:rFonts w:cs="Times New Roman"/>
      <w:sz w:val="18"/>
      <w:szCs w:val="18"/>
    </w:rPr>
  </w:style>
  <w:style w:type="paragraph" w:customStyle="1" w:styleId="11">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24</Pages>
  <Words>1506</Words>
  <Characters>8590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2021-09-22T05:19:00Z</dcterms:created>
  <dc:creator>李航 null</dc:creator>
  <cp:lastModifiedBy>海微绿心微蓝</cp:lastModifiedBy>
  <cp:lastPrinted>2021-07-28T00:12:00Z</cp:lastPrinted>
  <dcterms:modified xsi:type="dcterms:W3CDTF">2021-09-23T05:22:52Z</dcterms:modified>
  <dc:title>2020年度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A60FBDD0EB2F46AAB1FE3D03DC97CE6F</vt:lpwstr>
  </property>
</Properties>
</file>