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84"/>
          <w:szCs w:val="84"/>
        </w:rPr>
      </w:pPr>
    </w:p>
    <w:p>
      <w:pPr>
        <w:pStyle w:val="11"/>
        <w:jc w:val="center"/>
        <w:rPr>
          <w:rFonts w:hint="default" w:ascii="Times New Roman" w:hAnsi="Times New Roman" w:cs="Times New Roman"/>
          <w:sz w:val="84"/>
          <w:szCs w:val="84"/>
        </w:rPr>
      </w:pP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2020年度</w:t>
      </w:r>
    </w:p>
    <w:p>
      <w:pPr>
        <w:pStyle w:val="11"/>
        <w:jc w:val="center"/>
        <w:rPr>
          <w:rFonts w:hint="default" w:ascii="Times New Roman" w:hAnsi="Times New Roman" w:cs="Times New Roman"/>
          <w:sz w:val="84"/>
          <w:szCs w:val="84"/>
        </w:rPr>
      </w:pPr>
      <w:r>
        <w:rPr>
          <w:rFonts w:hint="default" w:ascii="Times New Roman" w:hAnsi="Times New Roman" w:cs="Times New Roman"/>
          <w:sz w:val="84"/>
          <w:szCs w:val="84"/>
        </w:rPr>
        <w:t>湖南省长株潭两型社会建设服务中心部门决算</w:t>
      </w: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jc w:val="center"/>
        <w:rPr>
          <w:rFonts w:hint="default" w:ascii="Times New Roman" w:hAnsi="Times New Roman" w:cs="Times New Roman"/>
          <w:sz w:val="56"/>
          <w:szCs w:val="56"/>
        </w:rPr>
      </w:pPr>
    </w:p>
    <w:p>
      <w:pPr>
        <w:pStyle w:val="11"/>
        <w:spacing w:line="500" w:lineRule="exact"/>
        <w:jc w:val="both"/>
        <w:rPr>
          <w:rFonts w:hint="default" w:ascii="Times New Roman" w:hAnsi="Times New Roman" w:cs="Times New Roman"/>
          <w:b/>
          <w:sz w:val="36"/>
          <w:szCs w:val="28"/>
        </w:rPr>
      </w:pPr>
    </w:p>
    <w:p>
      <w:pPr>
        <w:pStyle w:val="11"/>
        <w:spacing w:line="500" w:lineRule="exact"/>
        <w:jc w:val="center"/>
        <w:rPr>
          <w:rFonts w:hint="default" w:ascii="Times New Roman" w:hAnsi="Times New Roman" w:cs="Times New Roman"/>
          <w:b/>
          <w:sz w:val="36"/>
          <w:szCs w:val="28"/>
        </w:rPr>
      </w:pPr>
      <w:bookmarkStart w:id="3" w:name="_GoBack"/>
      <w:r>
        <w:rPr>
          <w:rFonts w:hint="default" w:ascii="Times New Roman" w:hAnsi="Times New Roman" w:cs="Times New Roman"/>
          <w:b/>
          <w:sz w:val="36"/>
          <w:szCs w:val="28"/>
        </w:rPr>
        <w:t>目录</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第一部分</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单位概况</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一、部门职责</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二、机构设置</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第二部分</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2020年度部门决算表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二、收入决算表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三、支出决算表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四、财政拨款收入支出决算总表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五、一般公共预算财政拨款支出决算表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六、一般公共预算财政拨款基本支出决算表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七、一般公共预算财政拨款“三公”经费支出决算表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八、政府性基金预算财政拨款收入支出决算表</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九、国有资本经营预算财政拨款支出决算表</w:t>
      </w:r>
    </w:p>
    <w:p>
      <w:pPr>
        <w:pStyle w:val="11"/>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第三部分</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2020年度部门决算情况说明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一、收入支出决算总体情况说明</w:t>
      </w:r>
    </w:p>
    <w:p>
      <w:pPr>
        <w:spacing w:line="500" w:lineRule="exact"/>
        <w:ind w:firstLine="700" w:firstLineChars="250"/>
        <w:jc w:val="left"/>
        <w:rPr>
          <w:rFonts w:hint="default" w:ascii="Times New Roman" w:hAnsi="Times New Roman" w:cs="Times New Roman"/>
          <w:sz w:val="28"/>
          <w:szCs w:val="28"/>
        </w:rPr>
      </w:pPr>
      <w:r>
        <w:rPr>
          <w:rFonts w:hint="default" w:ascii="Times New Roman" w:hAnsi="Times New Roman" w:cs="Times New Roman"/>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十、一般性支出情况</w:t>
      </w:r>
    </w:p>
    <w:p>
      <w:pPr>
        <w:autoSpaceDE w:val="0"/>
        <w:autoSpaceDN w:val="0"/>
        <w:adjustRightInd w:val="0"/>
        <w:spacing w:line="500" w:lineRule="exact"/>
        <w:ind w:firstLine="700" w:firstLineChars="25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十一、关于政府采购支出说明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十二、关于国有资产占用情况说明</w:t>
      </w:r>
    </w:p>
    <w:p>
      <w:pPr>
        <w:pStyle w:val="11"/>
        <w:spacing w:line="500" w:lineRule="exact"/>
        <w:ind w:firstLine="700" w:firstLineChars="25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十三、关于2020年度预算绩效情况的说明</w:t>
      </w:r>
    </w:p>
    <w:p>
      <w:pPr>
        <w:autoSpaceDE w:val="0"/>
        <w:autoSpaceDN w:val="0"/>
        <w:adjustRightInd w:val="0"/>
        <w:spacing w:line="500" w:lineRule="exact"/>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第四部分</w:t>
      </w:r>
      <w:r>
        <w:rPr>
          <w:rFonts w:hint="default" w:ascii="Times New Roman" w:hAnsi="Times New Roman" w:eastAsia="黑体" w:cs="Times New Roman"/>
          <w:b/>
          <w:color w:val="000000"/>
          <w:kern w:val="0"/>
          <w:sz w:val="28"/>
          <w:szCs w:val="28"/>
          <w:lang w:val="en-US" w:eastAsia="zh-CN"/>
        </w:rPr>
        <w:t xml:space="preserve"> </w:t>
      </w:r>
      <w:r>
        <w:rPr>
          <w:rFonts w:hint="default" w:ascii="Times New Roman" w:hAnsi="Times New Roman" w:eastAsia="黑体" w:cs="Times New Roman"/>
          <w:b/>
          <w:color w:val="000000"/>
          <w:kern w:val="0"/>
          <w:sz w:val="28"/>
          <w:szCs w:val="28"/>
        </w:rPr>
        <w:t>名词解释</w:t>
      </w:r>
    </w:p>
    <w:p>
      <w:pPr>
        <w:autoSpaceDE w:val="0"/>
        <w:autoSpaceDN w:val="0"/>
        <w:adjustRightInd w:val="0"/>
        <w:spacing w:line="500" w:lineRule="exact"/>
        <w:jc w:val="left"/>
        <w:rPr>
          <w:rFonts w:hint="default" w:ascii="Times New Roman" w:hAnsi="Times New Roman" w:eastAsia="黑体" w:cs="Times New Roman"/>
          <w:b/>
          <w:color w:val="000000"/>
          <w:kern w:val="0"/>
          <w:sz w:val="28"/>
          <w:szCs w:val="28"/>
        </w:rPr>
      </w:pPr>
      <w:r>
        <w:rPr>
          <w:rFonts w:hint="default" w:ascii="Times New Roman" w:hAnsi="Times New Roman" w:eastAsia="黑体" w:cs="Times New Roman"/>
          <w:b/>
          <w:color w:val="000000"/>
          <w:kern w:val="0"/>
          <w:sz w:val="28"/>
          <w:szCs w:val="28"/>
        </w:rPr>
        <w:t>第五部分</w:t>
      </w:r>
      <w:r>
        <w:rPr>
          <w:rFonts w:hint="default" w:ascii="Times New Roman" w:hAnsi="Times New Roman" w:eastAsia="黑体" w:cs="Times New Roman"/>
          <w:b/>
          <w:color w:val="000000"/>
          <w:kern w:val="0"/>
          <w:sz w:val="28"/>
          <w:szCs w:val="28"/>
          <w:lang w:val="en-US" w:eastAsia="zh-CN"/>
        </w:rPr>
        <w:t xml:space="preserve"> </w:t>
      </w:r>
      <w:r>
        <w:rPr>
          <w:rFonts w:hint="default" w:ascii="Times New Roman" w:hAnsi="Times New Roman" w:eastAsia="黑体" w:cs="Times New Roman"/>
          <w:b/>
          <w:color w:val="000000"/>
          <w:kern w:val="0"/>
          <w:sz w:val="28"/>
          <w:szCs w:val="28"/>
        </w:rPr>
        <w:t>附件</w:t>
      </w:r>
    </w:p>
    <w:p>
      <w:pPr>
        <w:jc w:val="center"/>
        <w:rPr>
          <w:rFonts w:hint="default" w:ascii="Times New Roman" w:hAnsi="Times New Roman" w:cs="Times New Roman"/>
          <w:sz w:val="72"/>
          <w:szCs w:val="72"/>
        </w:rPr>
        <w:sectPr>
          <w:pgSz w:w="11906" w:h="16838"/>
          <w:pgMar w:top="1440" w:right="1800" w:bottom="1440" w:left="1800" w:header="851" w:footer="992" w:gutter="0"/>
          <w:cols w:space="425" w:num="1"/>
          <w:docGrid w:type="lines" w:linePitch="312" w:charSpace="0"/>
        </w:sectPr>
      </w:pPr>
    </w:p>
    <w:bookmarkEnd w:id="3"/>
    <w:p>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lang w:val="en-US" w:eastAsia="zh-CN"/>
        </w:rPr>
      </w:pPr>
    </w:p>
    <w:p>
      <w:pPr>
        <w:pStyle w:val="14"/>
        <w:keepNext w:val="0"/>
        <w:keepLines w:val="0"/>
        <w:widowControl w:val="0"/>
        <w:numPr>
          <w:ilvl w:val="0"/>
          <w:numId w:val="1"/>
        </w:numPr>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lang w:val="en-US" w:eastAsia="zh-CN"/>
        </w:rPr>
      </w:pPr>
      <w:r>
        <w:rPr>
          <w:rFonts w:hint="default" w:ascii="Times New Roman" w:hAnsi="Times New Roman" w:eastAsia="方正小标宋简体" w:cs="Times New Roman"/>
          <w:kern w:val="0"/>
          <w:sz w:val="42"/>
          <w:szCs w:val="42"/>
          <w:shd w:val="clear" w:fill="FFFFFF"/>
          <w:lang w:val="en-US" w:eastAsia="zh-CN"/>
        </w:rPr>
        <w:t xml:space="preserve">   单位概况</w:t>
      </w:r>
    </w:p>
    <w:p>
      <w:pPr>
        <w:pStyle w:val="14"/>
        <w:keepNext w:val="0"/>
        <w:keepLines w:val="0"/>
        <w:widowControl w:val="0"/>
        <w:numPr>
          <w:ilvl w:val="0"/>
          <w:numId w:val="0"/>
        </w:numPr>
        <w:suppressLineNumbers w:val="0"/>
        <w:overflowPunct w:val="0"/>
        <w:spacing w:before="0" w:beforeAutospacing="0" w:after="0" w:afterAutospacing="0" w:line="596" w:lineRule="exact"/>
        <w:ind w:right="0" w:rightChars="0"/>
        <w:jc w:val="both"/>
        <w:rPr>
          <w:rFonts w:hint="default" w:ascii="Times New Roman" w:hAnsi="Times New Roman" w:eastAsia="方正小标宋简体" w:cs="Times New Roman"/>
          <w:kern w:val="0"/>
          <w:sz w:val="42"/>
          <w:szCs w:val="42"/>
          <w:shd w:val="clear" w:fill="FFFFFF"/>
          <w:lang w:val="en-US" w:eastAsia="zh-CN"/>
        </w:rPr>
      </w:pP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rPr>
      </w:pPr>
      <w:r>
        <w:rPr>
          <w:rStyle w:val="15"/>
          <w:rFonts w:hint="default" w:ascii="Times New Roman" w:hAnsi="Times New Roman" w:eastAsia="黑体" w:cs="Times New Roman"/>
          <w:b w:val="0"/>
          <w:sz w:val="32"/>
          <w:szCs w:val="32"/>
          <w:shd w:val="clear" w:fill="FFFFFF"/>
          <w:lang w:eastAsia="zh-CN"/>
        </w:rPr>
        <w:t>一、</w:t>
      </w:r>
      <w:r>
        <w:rPr>
          <w:rStyle w:val="15"/>
          <w:rFonts w:hint="default" w:ascii="Times New Roman" w:hAnsi="Times New Roman" w:eastAsia="黑体" w:cs="Times New Roman"/>
          <w:b w:val="0"/>
          <w:sz w:val="32"/>
          <w:szCs w:val="32"/>
          <w:shd w:val="clear" w:fill="FFFFFF"/>
        </w:rPr>
        <w:t>部门职责</w:t>
      </w:r>
    </w:p>
    <w:p>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rPr>
        <w:t>（一）</w:t>
      </w:r>
      <w:r>
        <w:rPr>
          <w:rStyle w:val="15"/>
          <w:rFonts w:hint="default" w:ascii="Times New Roman" w:hAnsi="Times New Roman" w:eastAsia="楷体_GB2312" w:cs="Times New Roman"/>
          <w:b/>
          <w:sz w:val="32"/>
          <w:szCs w:val="32"/>
          <w:shd w:val="clear" w:fill="FFFFFF"/>
          <w:lang w:eastAsia="zh-CN"/>
        </w:rPr>
        <w:t>基本情况。</w:t>
      </w:r>
    </w:p>
    <w:p>
      <w:pPr>
        <w:adjustRightInd w:val="0"/>
        <w:snapToGrid w:val="0"/>
        <w:spacing w:line="596"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湖南省长株潭两型社会建设服务中心为省政府专门协调和服务于长株潭城市群两型社会试验区改革建设工作的机构，并加挂有湖南省两型社会研究院牌子。</w:t>
      </w:r>
    </w:p>
    <w:p>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rPr>
        <w:t>（二）</w:t>
      </w:r>
      <w:r>
        <w:rPr>
          <w:rStyle w:val="15"/>
          <w:rFonts w:hint="default" w:ascii="Times New Roman" w:hAnsi="Times New Roman" w:eastAsia="楷体_GB2312" w:cs="Times New Roman"/>
          <w:b/>
          <w:sz w:val="32"/>
          <w:szCs w:val="32"/>
          <w:shd w:val="clear" w:fill="FFFFFF"/>
          <w:lang w:eastAsia="zh-CN"/>
        </w:rPr>
        <w:t>主要职能。</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承担长株潭两型社会建设试验区综合配套改革的相关事务性、服务性工作。</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承担加快长株潭城市群发展、推进长株潭一体化的相关事务性、服务性工作。</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承担长株潭城市群区域规划编制、实施和监督管理的相关事务性、服务性工作。</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承担长株潭城市群生态绿心地区保护的相关事务性、服务性工作。</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承担长株潭城市群重大建设项目和利用外资贷款项目的相关事务性、服务性工作。</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承担长株潭城市群两型社会系列创建活动。开展两型认证，建立两型标准体系和技术规范体系，推动两型技术、产品和模式等的开发、推广。</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开展长株潭城市群改革发展和两型社会建设重大问题的决策咨询和理论研究。</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承担对外合作交流和宣传推介，促进社会参与，开展教育培训。</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承担省发展和改革委员会交办的其他工作。</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rPr>
      </w:pPr>
      <w:r>
        <w:rPr>
          <w:rStyle w:val="15"/>
          <w:rFonts w:hint="default" w:ascii="Times New Roman" w:hAnsi="Times New Roman" w:eastAsia="黑体" w:cs="Times New Roman"/>
          <w:b w:val="0"/>
          <w:sz w:val="32"/>
          <w:szCs w:val="32"/>
          <w:shd w:val="clear" w:fill="FFFFFF"/>
        </w:rPr>
        <w:t>二、机构设置</w:t>
      </w:r>
    </w:p>
    <w:p>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lang w:eastAsia="zh-CN"/>
        </w:rPr>
        <w:t>（一）内设机构设置。</w:t>
      </w:r>
    </w:p>
    <w:p>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湖南省长株潭两型社会建设服务中心</w:t>
      </w:r>
      <w:r>
        <w:rPr>
          <w:rFonts w:hint="default" w:ascii="Times New Roman" w:hAnsi="Times New Roman" w:eastAsia="仿宋_GB2312" w:cs="Times New Roman"/>
          <w:sz w:val="32"/>
          <w:szCs w:val="32"/>
        </w:rPr>
        <w:t>内设机构包括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综合部、规划服务部、改革服务部、外贷项目部、宣教推广部、机关党委6个职能部室和1个下属事业单位。下属事业单位湖南省两型社会规划展示中心财务尚未独立核算。</w:t>
      </w:r>
    </w:p>
    <w:p>
      <w:pPr>
        <w:pStyle w:val="14"/>
        <w:keepNext w:val="0"/>
        <w:keepLines w:val="0"/>
        <w:widowControl w:val="0"/>
        <w:suppressLineNumbers w:val="0"/>
        <w:overflowPunct w:val="0"/>
        <w:spacing w:before="0" w:beforeAutospacing="0" w:after="0" w:afterAutospacing="0" w:line="596" w:lineRule="exact"/>
        <w:ind w:left="0" w:right="0" w:firstLine="643" w:firstLineChars="200"/>
        <w:jc w:val="both"/>
        <w:rPr>
          <w:rStyle w:val="15"/>
          <w:rFonts w:hint="default" w:ascii="Times New Roman" w:hAnsi="Times New Roman" w:eastAsia="楷体_GB2312" w:cs="Times New Roman"/>
          <w:b/>
          <w:sz w:val="32"/>
          <w:szCs w:val="32"/>
          <w:shd w:val="clear" w:fill="FFFFFF"/>
          <w:lang w:eastAsia="zh-CN"/>
        </w:rPr>
      </w:pPr>
      <w:r>
        <w:rPr>
          <w:rStyle w:val="15"/>
          <w:rFonts w:hint="default" w:ascii="Times New Roman" w:hAnsi="Times New Roman" w:eastAsia="楷体_GB2312" w:cs="Times New Roman"/>
          <w:b/>
          <w:sz w:val="32"/>
          <w:szCs w:val="32"/>
          <w:shd w:val="clear" w:fill="FFFFFF"/>
          <w:lang w:eastAsia="zh-CN"/>
        </w:rPr>
        <w:t>（二）决算单位构成。</w:t>
      </w:r>
    </w:p>
    <w:p>
      <w:pPr>
        <w:adjustRightInd w:val="0"/>
        <w:snapToGrid w:val="0"/>
        <w:spacing w:line="596" w:lineRule="exact"/>
        <w:ind w:firstLine="64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年湖南省长株潭两型社会建设服务中心部门决算包含湖南省长株潭两型社会建设服务中心和湖南省长株潭两型规划展示中心决算。</w:t>
      </w:r>
    </w:p>
    <w:p>
      <w:pPr>
        <w:jc w:val="center"/>
        <w:rPr>
          <w:rFonts w:hint="default" w:ascii="Times New Roman" w:hAnsi="Times New Roman" w:cs="Times New Roman"/>
          <w:sz w:val="72"/>
          <w:szCs w:val="72"/>
        </w:rPr>
      </w:pPr>
    </w:p>
    <w:p>
      <w:pPr>
        <w:jc w:val="left"/>
        <w:rPr>
          <w:rFonts w:hint="default" w:ascii="Times New Roman" w:hAnsi="Times New Roman" w:cs="Times New Roman"/>
          <w:sz w:val="32"/>
          <w:szCs w:val="32"/>
        </w:rPr>
      </w:pPr>
    </w:p>
    <w:p>
      <w:pPr>
        <w:jc w:val="left"/>
        <w:rPr>
          <w:rFonts w:hint="default" w:ascii="Times New Roman" w:hAnsi="Times New Roman" w:cs="Times New Roman"/>
          <w:sz w:val="32"/>
          <w:szCs w:val="32"/>
        </w:rPr>
        <w:sectPr>
          <w:pgSz w:w="11906" w:h="16838"/>
          <w:pgMar w:top="1440" w:right="1800" w:bottom="1440" w:left="1800" w:header="851" w:footer="992" w:gutter="0"/>
          <w:cols w:space="425" w:num="1"/>
          <w:docGrid w:type="lines" w:linePitch="312" w:charSpace="0"/>
        </w:sectPr>
      </w:pPr>
    </w:p>
    <w:tbl>
      <w:tblPr>
        <w:tblStyle w:val="8"/>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Layout w:type="fixed"/>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黑体" w:cs="Times New Roman"/>
                <w:sz w:val="36"/>
                <w:szCs w:val="32"/>
              </w:rPr>
            </w:pPr>
            <w:r>
              <w:rPr>
                <w:rFonts w:hint="default" w:ascii="Times New Roman" w:hAnsi="Times New Roman" w:eastAsia="方正小标宋简体" w:cs="Times New Roman"/>
                <w:kern w:val="0"/>
                <w:sz w:val="42"/>
                <w:szCs w:val="42"/>
                <w:shd w:val="clear" w:fill="FFFFFF"/>
              </w:rPr>
              <w:t>第</w:t>
            </w:r>
            <w:r>
              <w:rPr>
                <w:rFonts w:hint="default" w:ascii="Times New Roman" w:hAnsi="Times New Roman" w:eastAsia="方正小标宋简体" w:cs="Times New Roman"/>
                <w:kern w:val="0"/>
                <w:sz w:val="42"/>
                <w:szCs w:val="42"/>
                <w:shd w:val="clear" w:fill="FFFFFF"/>
                <w:lang w:eastAsia="zh-CN"/>
              </w:rPr>
              <w:t>二</w:t>
            </w:r>
            <w:r>
              <w:rPr>
                <w:rFonts w:hint="default" w:ascii="Times New Roman" w:hAnsi="Times New Roman" w:eastAsia="方正小标宋简体" w:cs="Times New Roman"/>
                <w:kern w:val="0"/>
                <w:sz w:val="42"/>
                <w:szCs w:val="42"/>
                <w:shd w:val="clear" w:fill="FFFFFF"/>
              </w:rPr>
              <w:t xml:space="preserve">部分    </w:t>
            </w:r>
            <w:r>
              <w:rPr>
                <w:rFonts w:hint="default" w:ascii="Times New Roman" w:hAnsi="Times New Roman" w:eastAsia="方正小标宋简体" w:cs="Times New Roman"/>
                <w:kern w:val="0"/>
                <w:sz w:val="42"/>
                <w:szCs w:val="42"/>
                <w:shd w:val="clear" w:fill="FFFFFF"/>
                <w:lang w:val="en-US" w:eastAsia="zh-CN"/>
              </w:rPr>
              <w:t>2020年度</w:t>
            </w:r>
            <w:r>
              <w:rPr>
                <w:rFonts w:hint="default" w:ascii="Times New Roman" w:hAnsi="Times New Roman" w:eastAsia="方正小标宋简体" w:cs="Times New Roman"/>
                <w:kern w:val="0"/>
                <w:sz w:val="42"/>
                <w:szCs w:val="42"/>
                <w:shd w:val="clear" w:fill="FFFFFF"/>
              </w:rPr>
              <w:t>部门决算表</w:t>
            </w:r>
          </w:p>
          <w:p>
            <w:pPr>
              <w:widowControl/>
              <w:jc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sz w:val="36"/>
                <w:szCs w:val="32"/>
              </w:rPr>
              <w:t>收入支出决算总表</w:t>
            </w:r>
          </w:p>
        </w:tc>
      </w:tr>
      <w:tr>
        <w:tblPrEx>
          <w:tblLayout w:type="fixed"/>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9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57"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公开01表</w:t>
            </w:r>
          </w:p>
        </w:tc>
      </w:tr>
      <w:tr>
        <w:tblPrEx>
          <w:tblLayout w:type="fixed"/>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Times New Roman" w:hAnsi="Times New Roman" w:eastAsia="仿宋_GB2312" w:cs="Times New Roman"/>
                <w:i w:val="0"/>
                <w:iCs w:val="0"/>
                <w:color w:val="000000"/>
                <w:kern w:val="0"/>
                <w:sz w:val="21"/>
                <w:szCs w:val="21"/>
                <w:lang w:eastAsia="zh-CN"/>
              </w:rPr>
            </w:pPr>
            <w:r>
              <w:rPr>
                <w:rFonts w:hint="default" w:ascii="Times New Roman" w:hAnsi="Times New Roman" w:eastAsia="仿宋_GB2312" w:cs="Times New Roman"/>
                <w:i w:val="0"/>
                <w:iCs w:val="0"/>
                <w:color w:val="000000"/>
                <w:kern w:val="0"/>
                <w:sz w:val="21"/>
                <w:szCs w:val="21"/>
              </w:rPr>
              <w:t>部门：</w:t>
            </w:r>
            <w:r>
              <w:rPr>
                <w:rFonts w:hint="default" w:ascii="Times New Roman" w:hAnsi="Times New Roman" w:eastAsia="仿宋_GB2312" w:cs="Times New Roman"/>
                <w:i w:val="0"/>
                <w:iCs w:val="0"/>
                <w:color w:val="000000"/>
                <w:kern w:val="0"/>
                <w:sz w:val="21"/>
                <w:szCs w:val="21"/>
                <w:lang w:eastAsia="zh-CN"/>
              </w:rPr>
              <w:t>湖南省长株潭两型社会建设服务中心</w:t>
            </w:r>
          </w:p>
        </w:tc>
        <w:tc>
          <w:tcPr>
            <w:tcW w:w="697"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232"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577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657"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单位：万元</w:t>
            </w:r>
          </w:p>
        </w:tc>
      </w:tr>
      <w:tr>
        <w:tblPrEx>
          <w:tblLayout w:type="fixed"/>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支出</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决算数</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1971.92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1415.68</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60.00</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611.74</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十四、资源勘探</w:t>
            </w:r>
            <w:r>
              <w:rPr>
                <w:rFonts w:hint="default" w:ascii="Times New Roman" w:hAnsi="Times New Roman" w:eastAsia="仿宋_GB2312" w:cs="Times New Roman"/>
                <w:i w:val="0"/>
                <w:iCs w:val="0"/>
                <w:kern w:val="0"/>
                <w:sz w:val="21"/>
                <w:szCs w:val="21"/>
                <w:lang w:eastAsia="zh-CN"/>
              </w:rPr>
              <w:t>工业</w:t>
            </w:r>
            <w:r>
              <w:rPr>
                <w:rFonts w:hint="default" w:ascii="Times New Roman" w:hAnsi="Times New Roman" w:eastAsia="仿宋_GB2312" w:cs="Times New Roman"/>
                <w:i w:val="0"/>
                <w:iCs w:val="0"/>
                <w:kern w:val="0"/>
                <w:sz w:val="21"/>
                <w:szCs w:val="21"/>
              </w:rPr>
              <w:t>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76.00</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二十一、</w:t>
            </w:r>
            <w:r>
              <w:rPr>
                <w:rFonts w:hint="default" w:ascii="Times New Roman" w:hAnsi="Times New Roman" w:eastAsia="仿宋_GB2312" w:cs="Times New Roman"/>
                <w:i w:val="0"/>
                <w:iCs w:val="0"/>
                <w:kern w:val="0"/>
                <w:sz w:val="21"/>
                <w:szCs w:val="21"/>
                <w:lang w:eastAsia="zh-CN"/>
              </w:rPr>
              <w:t>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三、</w:t>
            </w:r>
            <w:r>
              <w:rPr>
                <w:rFonts w:hint="default" w:ascii="Times New Roman" w:hAnsi="Times New Roman" w:eastAsia="仿宋_GB2312" w:cs="Times New Roman"/>
                <w:i w:val="0"/>
                <w:iCs w:val="0"/>
                <w:kern w:val="0"/>
                <w:sz w:val="21"/>
                <w:szCs w:val="21"/>
              </w:rPr>
              <w:t>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eastAsia="zh-CN"/>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1971.92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2163.42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638.43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446.93</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2610.35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2610.35</w:t>
            </w:r>
          </w:p>
        </w:tc>
      </w:tr>
      <w:tr>
        <w:tblPrEx>
          <w:tblLayout w:type="fixed"/>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注：1.本表反映部门本年度的总收支和年末结转结余情况。</w:t>
            </w:r>
            <w:r>
              <w:rPr>
                <w:rFonts w:hint="default" w:ascii="Times New Roman" w:hAnsi="Times New Roman" w:eastAsia="仿宋_GB2312" w:cs="Times New Roman"/>
                <w:i w:val="0"/>
                <w:iCs w:val="0"/>
                <w:kern w:val="0"/>
                <w:sz w:val="21"/>
                <w:szCs w:val="21"/>
              </w:rPr>
              <w:br w:type="textWrapping"/>
            </w:r>
            <w:r>
              <w:rPr>
                <w:rFonts w:hint="default" w:ascii="Times New Roman" w:hAnsi="Times New Roman" w:eastAsia="仿宋_GB2312" w:cs="Times New Roman"/>
                <w:i w:val="0"/>
                <w:iCs w:val="0"/>
                <w:kern w:val="0"/>
                <w:sz w:val="21"/>
                <w:szCs w:val="21"/>
              </w:rPr>
              <w:t xml:space="preserve"> 2.本套报表金额单位转换时可能存在尾数误差。</w:t>
            </w:r>
          </w:p>
        </w:tc>
      </w:tr>
    </w:tbl>
    <w:p>
      <w:pPr>
        <w:jc w:val="center"/>
        <w:rPr>
          <w:rFonts w:hint="default" w:ascii="Times New Roman" w:hAnsi="Times New Roman"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Layout w:type="fixed"/>
        <w:tblCellMar>
          <w:top w:w="0" w:type="dxa"/>
          <w:left w:w="0" w:type="dxa"/>
          <w:bottom w:w="0" w:type="dxa"/>
          <w:right w:w="0" w:type="dxa"/>
        </w:tblCellMar>
      </w:tblPr>
      <w:tblGrid>
        <w:gridCol w:w="42"/>
        <w:gridCol w:w="761"/>
        <w:gridCol w:w="3766"/>
        <w:gridCol w:w="1704"/>
        <w:gridCol w:w="1748"/>
        <w:gridCol w:w="1485"/>
        <w:gridCol w:w="1151"/>
        <w:gridCol w:w="1034"/>
        <w:gridCol w:w="1937"/>
        <w:gridCol w:w="1800"/>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color w:val="000000"/>
                <w:sz w:val="21"/>
                <w:szCs w:val="21"/>
              </w:rPr>
            </w:pPr>
            <w:r>
              <w:rPr>
                <w:rFonts w:hint="default" w:ascii="Times New Roman" w:hAnsi="Times New Roman" w:eastAsia="方正小标宋_GBK" w:cs="Times New Roman"/>
                <w:color w:val="000000"/>
                <w:kern w:val="0"/>
                <w:sz w:val="36"/>
                <w:szCs w:val="36"/>
              </w:rPr>
              <w:t>收入决算表</w:t>
            </w:r>
          </w:p>
        </w:tc>
      </w:tr>
      <w:tr>
        <w:tblPrEx>
          <w:tblLayout w:type="fixed"/>
          <w:tblCellMar>
            <w:top w:w="0" w:type="dxa"/>
            <w:left w:w="0" w:type="dxa"/>
            <w:bottom w:w="0" w:type="dxa"/>
            <w:right w:w="0" w:type="dxa"/>
          </w:tblCellMar>
        </w:tblPrEx>
        <w:trPr>
          <w:trHeight w:val="285" w:hRule="atLeast"/>
        </w:trPr>
        <w:tc>
          <w:tcPr>
            <w:tcW w:w="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7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37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公开02表</w:t>
            </w:r>
          </w:p>
        </w:tc>
      </w:tr>
      <w:tr>
        <w:tblPrEx>
          <w:tblLayout w:type="fixed"/>
          <w:tblCellMar>
            <w:top w:w="0" w:type="dxa"/>
            <w:left w:w="0" w:type="dxa"/>
            <w:bottom w:w="0" w:type="dxa"/>
            <w:right w:w="0" w:type="dxa"/>
          </w:tblCellMar>
        </w:tblPrEx>
        <w:trPr>
          <w:trHeight w:val="285" w:hRule="atLeast"/>
        </w:trPr>
        <w:tc>
          <w:tcPr>
            <w:tcW w:w="80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i w:val="0"/>
                <w:iCs w:val="0"/>
                <w:color w:val="000000"/>
                <w:sz w:val="21"/>
                <w:szCs w:val="21"/>
                <w:lang w:eastAsia="zh-CN"/>
              </w:rPr>
            </w:pPr>
            <w:r>
              <w:rPr>
                <w:rFonts w:hint="default" w:ascii="Times New Roman" w:hAnsi="Times New Roman" w:eastAsia="仿宋_GB2312" w:cs="Times New Roman"/>
                <w:i w:val="0"/>
                <w:iCs w:val="0"/>
                <w:color w:val="000000"/>
                <w:sz w:val="21"/>
                <w:szCs w:val="21"/>
              </w:rPr>
              <w:t>部门：</w:t>
            </w:r>
          </w:p>
        </w:tc>
        <w:tc>
          <w:tcPr>
            <w:tcW w:w="3766"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仿宋_GB2312" w:cs="Times New Roman"/>
                <w:i w:val="0"/>
                <w:iCs w:val="0"/>
                <w:sz w:val="21"/>
                <w:szCs w:val="21"/>
                <w:lang w:eastAsia="zh-CN"/>
              </w:rPr>
            </w:pPr>
            <w:r>
              <w:rPr>
                <w:rFonts w:hint="default" w:ascii="Times New Roman" w:hAnsi="Times New Roman" w:eastAsia="仿宋_GB2312" w:cs="Times New Roman"/>
                <w:i w:val="0"/>
                <w:iCs w:val="0"/>
                <w:sz w:val="21"/>
                <w:szCs w:val="21"/>
                <w:lang w:eastAsia="zh-CN"/>
              </w:rPr>
              <w:t>湖南省长株潭两型社会建设服务中心</w:t>
            </w:r>
          </w:p>
        </w:tc>
        <w:tc>
          <w:tcPr>
            <w:tcW w:w="17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7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color w:val="000000"/>
                <w:sz w:val="21"/>
                <w:szCs w:val="21"/>
              </w:rPr>
            </w:pPr>
            <w:r>
              <w:rPr>
                <w:rFonts w:hint="default" w:ascii="Times New Roman" w:hAnsi="Times New Roman" w:eastAsia="仿宋_GB2312" w:cs="Times New Roman"/>
                <w:i w:val="0"/>
                <w:iCs w:val="0"/>
                <w:color w:val="000000"/>
                <w:sz w:val="21"/>
                <w:szCs w:val="21"/>
              </w:rPr>
              <w:t>单位：万元</w:t>
            </w:r>
          </w:p>
        </w:tc>
      </w:tr>
      <w:tr>
        <w:tblPrEx>
          <w:tblLayout w:type="fixed"/>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项    目</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本年收入合计</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上级补助收入</w:t>
            </w:r>
          </w:p>
        </w:tc>
        <w:tc>
          <w:tcPr>
            <w:tcW w:w="11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事业收入</w:t>
            </w:r>
          </w:p>
        </w:tc>
        <w:tc>
          <w:tcPr>
            <w:tcW w:w="10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经营收入</w:t>
            </w:r>
          </w:p>
        </w:tc>
        <w:tc>
          <w:tcPr>
            <w:tcW w:w="19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附属单位上缴收入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其他收入</w:t>
            </w:r>
          </w:p>
        </w:tc>
      </w:tr>
      <w:tr>
        <w:tblPrEx>
          <w:tblLayout w:type="fixed"/>
          <w:tblCellMar>
            <w:top w:w="0" w:type="dxa"/>
            <w:left w:w="0" w:type="dxa"/>
            <w:bottom w:w="0" w:type="dxa"/>
            <w:right w:w="0" w:type="dxa"/>
          </w:tblCellMar>
        </w:tblPrEx>
        <w:trPr>
          <w:trHeight w:val="450" w:hRule="atLeast"/>
        </w:trPr>
        <w:tc>
          <w:tcPr>
            <w:tcW w:w="8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功能分类科目编码</w:t>
            </w:r>
          </w:p>
        </w:tc>
        <w:tc>
          <w:tcPr>
            <w:tcW w:w="37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科目名称</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3766"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栏次</w:t>
            </w:r>
          </w:p>
        </w:tc>
        <w:tc>
          <w:tcPr>
            <w:tcW w:w="17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1</w:t>
            </w:r>
          </w:p>
        </w:tc>
        <w:tc>
          <w:tcPr>
            <w:tcW w:w="17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3</w:t>
            </w:r>
          </w:p>
        </w:tc>
        <w:tc>
          <w:tcPr>
            <w:tcW w:w="11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4</w:t>
            </w:r>
          </w:p>
        </w:tc>
        <w:tc>
          <w:tcPr>
            <w:tcW w:w="10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5</w:t>
            </w:r>
          </w:p>
        </w:tc>
        <w:tc>
          <w:tcPr>
            <w:tcW w:w="19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6</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7</w:t>
            </w:r>
          </w:p>
        </w:tc>
      </w:tr>
      <w:tr>
        <w:tblPrEx>
          <w:tblLayout w:type="fixed"/>
          <w:tblCellMar>
            <w:top w:w="0" w:type="dxa"/>
            <w:left w:w="0" w:type="dxa"/>
            <w:bottom w:w="0" w:type="dxa"/>
            <w:right w:w="0" w:type="dxa"/>
          </w:tblCellMar>
        </w:tblPrEx>
        <w:trPr>
          <w:trHeight w:val="450" w:hRule="atLeast"/>
        </w:trPr>
        <w:tc>
          <w:tcPr>
            <w:tcW w:w="45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合计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lang w:val="en-US" w:eastAsia="zh-CN"/>
              </w:rPr>
              <w:t>1971.92</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1971.92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一般公共服务支出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1404.62</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lang w:val="en-US" w:eastAsia="zh-CN"/>
              </w:rPr>
              <w:t>1404.62</w:t>
            </w:r>
            <w:r>
              <w:rPr>
                <w:rFonts w:hint="default" w:ascii="Times New Roman" w:hAnsi="Times New Roman" w:eastAsia="仿宋_GB2312" w:cs="Times New Roman"/>
                <w:i w:val="0"/>
                <w:iCs w:val="0"/>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发展与改革事务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1374.62</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1374.62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行政运行</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1015.79</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1015.79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其他发展与改革事务支出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358.83</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358.83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20106</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财政事务</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2010699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其他财政事务支出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　</w:t>
            </w: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206</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科学技术支出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20606</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社会科学</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2060699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 xml:space="preserve">  其他社会科学支出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3.20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社会保障和就业支出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行政事业单位</w:t>
            </w:r>
            <w:r>
              <w:rPr>
                <w:rFonts w:hint="default" w:ascii="Times New Roman" w:hAnsi="Times New Roman" w:eastAsia="仿宋_GB2312" w:cs="Times New Roman"/>
                <w:kern w:val="0"/>
                <w:szCs w:val="21"/>
                <w:lang w:eastAsia="zh-CN"/>
              </w:rPr>
              <w:t>养老支出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2080505</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机关事业单位基本养老保险缴费支出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60.00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rPr>
              <w:t>节能环保支出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21199</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其他节能环保支出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2119901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其他节能环保支出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428.10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住房保障支出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住房改革支出</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450" w:hRule="atLeast"/>
        </w:trPr>
        <w:tc>
          <w:tcPr>
            <w:tcW w:w="80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2210201</w:t>
            </w:r>
          </w:p>
        </w:tc>
        <w:tc>
          <w:tcPr>
            <w:tcW w:w="37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xml:space="preserve">  住房公积金</w:t>
            </w:r>
          </w:p>
        </w:tc>
        <w:tc>
          <w:tcPr>
            <w:tcW w:w="17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7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kern w:val="2"/>
                <w:sz w:val="21"/>
                <w:szCs w:val="21"/>
                <w:lang w:val="en-US" w:eastAsia="zh-CN" w:bidi="ar-SA"/>
              </w:rPr>
            </w:pPr>
            <w:r>
              <w:rPr>
                <w:rFonts w:hint="default" w:ascii="Times New Roman" w:hAnsi="Times New Roman" w:eastAsia="仿宋_GB2312" w:cs="Times New Roman"/>
                <w:i w:val="0"/>
                <w:iCs w:val="0"/>
                <w:sz w:val="21"/>
                <w:szCs w:val="21"/>
                <w:lang w:val="en-US" w:eastAsia="zh-CN"/>
              </w:rPr>
              <w:t>76.00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0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9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i w:val="0"/>
                <w:iCs w:val="0"/>
                <w:sz w:val="21"/>
                <w:szCs w:val="21"/>
              </w:rPr>
            </w:pP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eastAsia="仿宋_GB2312" w:cs="Times New Roman"/>
                <w:i w:val="0"/>
                <w:iCs w:val="0"/>
                <w:sz w:val="21"/>
                <w:szCs w:val="21"/>
              </w:rPr>
            </w:pPr>
            <w:r>
              <w:rPr>
                <w:rFonts w:hint="default" w:ascii="Times New Roman" w:hAnsi="Times New Roman" w:eastAsia="仿宋_GB2312" w:cs="Times New Roman"/>
                <w:i w:val="0"/>
                <w:iCs w:val="0"/>
                <w:sz w:val="21"/>
                <w:szCs w:val="21"/>
              </w:rPr>
              <w:t>注：本表反映部门本年度取得的各项收入情况。</w:t>
            </w:r>
          </w:p>
        </w:tc>
      </w:tr>
    </w:tbl>
    <w:p>
      <w:pPr>
        <w:widowControl/>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eastAsia="黑体" w:cs="Times New Roman"/>
          <w:bCs/>
          <w:kern w:val="0"/>
          <w:sz w:val="32"/>
          <w:szCs w:val="32"/>
        </w:rPr>
        <w:br w:type="page"/>
      </w:r>
    </w:p>
    <w:p>
      <w:pPr>
        <w:widowControl/>
        <w:rPr>
          <w:rFonts w:hint="default" w:ascii="Times New Roman" w:hAnsi="Times New Roman" w:eastAsia="方正小标宋_GBK" w:cs="Times New Roman"/>
          <w:color w:val="000000"/>
          <w:kern w:val="0"/>
          <w:sz w:val="36"/>
          <w:szCs w:val="36"/>
        </w:rPr>
      </w:pPr>
    </w:p>
    <w:tbl>
      <w:tblPr>
        <w:tblStyle w:val="8"/>
        <w:tblW w:w="15273" w:type="dxa"/>
        <w:tblInd w:w="93" w:type="dxa"/>
        <w:tblLayout w:type="fixed"/>
        <w:tblCellMar>
          <w:top w:w="0" w:type="dxa"/>
          <w:left w:w="108" w:type="dxa"/>
          <w:bottom w:w="0" w:type="dxa"/>
          <w:right w:w="108" w:type="dxa"/>
        </w:tblCellMar>
      </w:tblPr>
      <w:tblGrid>
        <w:gridCol w:w="1042"/>
        <w:gridCol w:w="240"/>
        <w:gridCol w:w="2516"/>
        <w:gridCol w:w="1631"/>
        <w:gridCol w:w="1441"/>
        <w:gridCol w:w="1457"/>
        <w:gridCol w:w="1485"/>
        <w:gridCol w:w="1238"/>
        <w:gridCol w:w="4223"/>
      </w:tblGrid>
      <w:tr>
        <w:tblPrEx>
          <w:tblLayout w:type="fixed"/>
          <w:tblCellMar>
            <w:top w:w="0" w:type="dxa"/>
            <w:left w:w="108" w:type="dxa"/>
            <w:bottom w:w="0" w:type="dxa"/>
            <w:right w:w="108" w:type="dxa"/>
          </w:tblCellMar>
        </w:tblPrEx>
        <w:trPr>
          <w:trHeight w:val="435" w:hRule="atLeast"/>
        </w:trPr>
        <w:tc>
          <w:tcPr>
            <w:tcW w:w="15273" w:type="dxa"/>
            <w:gridSpan w:val="9"/>
            <w:tcBorders>
              <w:top w:val="nil"/>
              <w:left w:val="nil"/>
              <w:bottom w:val="nil"/>
              <w:right w:val="nil"/>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方正小标宋_GBK" w:cs="Times New Roman"/>
                <w:color w:val="000000"/>
                <w:kern w:val="0"/>
                <w:sz w:val="36"/>
                <w:szCs w:val="36"/>
              </w:rPr>
              <w:t>支出决算表</w:t>
            </w:r>
          </w:p>
        </w:tc>
      </w:tr>
      <w:tr>
        <w:tblPrEx>
          <w:tblLayout w:type="fixed"/>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40"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516"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631"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41"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85"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公开03表</w:t>
            </w:r>
          </w:p>
        </w:tc>
      </w:tr>
      <w:tr>
        <w:tblPrEx>
          <w:tblLayout w:type="fixed"/>
          <w:tblCellMar>
            <w:top w:w="0" w:type="dxa"/>
            <w:left w:w="108" w:type="dxa"/>
            <w:bottom w:w="0" w:type="dxa"/>
            <w:right w:w="108" w:type="dxa"/>
          </w:tblCellMar>
        </w:tblPrEx>
        <w:trPr>
          <w:trHeight w:val="285" w:hRule="atLeast"/>
        </w:trPr>
        <w:tc>
          <w:tcPr>
            <w:tcW w:w="5429" w:type="dxa"/>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color w:val="000000"/>
                <w:kern w:val="0"/>
                <w:sz w:val="21"/>
                <w:szCs w:val="21"/>
              </w:rPr>
              <w:t>部门：</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1441"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nil"/>
              <w:right w:val="nil"/>
            </w:tcBorders>
            <w:shd w:val="clear" w:color="000000" w:fill="FFFFFF"/>
            <w:noWrap/>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485"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单位：万元</w:t>
            </w:r>
          </w:p>
        </w:tc>
      </w:tr>
      <w:tr>
        <w:tblPrEx>
          <w:tblLayout w:type="fixed"/>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    目</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本年支出合计</w:t>
            </w:r>
          </w:p>
        </w:tc>
        <w:tc>
          <w:tcPr>
            <w:tcW w:w="14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基本支出</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项目支出</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上缴上级支出</w:t>
            </w:r>
          </w:p>
        </w:tc>
        <w:tc>
          <w:tcPr>
            <w:tcW w:w="12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经营支出</w:t>
            </w:r>
          </w:p>
        </w:tc>
        <w:tc>
          <w:tcPr>
            <w:tcW w:w="42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对附属单位补助支出</w:t>
            </w:r>
          </w:p>
        </w:tc>
      </w:tr>
      <w:tr>
        <w:tblPrEx>
          <w:tblLayout w:type="fixed"/>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功能分类科目编码</w:t>
            </w:r>
          </w:p>
        </w:tc>
        <w:tc>
          <w:tcPr>
            <w:tcW w:w="2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科目名称</w:t>
            </w: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4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25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4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栏次</w:t>
            </w:r>
          </w:p>
        </w:tc>
        <w:tc>
          <w:tcPr>
            <w:tcW w:w="163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44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457"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48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1238"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422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r>
      <w:tr>
        <w:tblPrEx>
          <w:tblLayout w:type="fixed"/>
          <w:tblCellMar>
            <w:top w:w="0" w:type="dxa"/>
            <w:left w:w="108" w:type="dxa"/>
            <w:bottom w:w="0" w:type="dxa"/>
            <w:right w:w="108" w:type="dxa"/>
          </w:tblCellMar>
        </w:tblPrEx>
        <w:trPr>
          <w:trHeight w:val="450" w:hRule="atLeast"/>
        </w:trPr>
        <w:tc>
          <w:tcPr>
            <w:tcW w:w="37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2163.42</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1113.69</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1049.72</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一般公共服务支出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1415.68</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977.69</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437.99</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发展与改革事务</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1307.95</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977.69</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330.25</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2010401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行政运行</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977.69</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977.69</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2010499</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其他发展与改革事务支出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330.25</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330.25</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财政事务</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107.73</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2010699</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其他财政事务支出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107.73</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社会保障和就业支出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60.00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行政事业</w:t>
            </w:r>
            <w:r>
              <w:rPr>
                <w:rFonts w:hint="default" w:ascii="Times New Roman" w:hAnsi="Times New Roman" w:eastAsia="仿宋_GB2312" w:cs="Times New Roman"/>
                <w:i w:val="0"/>
                <w:iCs w:val="0"/>
                <w:kern w:val="0"/>
                <w:sz w:val="21"/>
                <w:szCs w:val="21"/>
                <w:lang w:eastAsia="zh-CN"/>
              </w:rPr>
              <w:t>单位养老支出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60.00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2080505</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机关事业单位基本养老保险缴费支出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60.00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sz w:val="21"/>
                <w:szCs w:val="21"/>
              </w:rPr>
              <w:t>节能环保支出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611.74</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其他节能环保支出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611.74</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2119901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其他节能环保支出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611.74</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住房保障支出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76.00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住房改革支出</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76.00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2210201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住房公积金</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76.00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145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630" w:hRule="atLeast"/>
        </w:trPr>
        <w:tc>
          <w:tcPr>
            <w:tcW w:w="15273" w:type="dxa"/>
            <w:gridSpan w:val="9"/>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注：本表反映部门本年度各项支出情况。</w:t>
            </w:r>
          </w:p>
        </w:tc>
      </w:tr>
    </w:tbl>
    <w:p>
      <w:pPr>
        <w:rPr>
          <w:rFonts w:hint="default" w:ascii="Times New Roman" w:hAnsi="Times New Roman" w:eastAsia="方正小标宋_GBK" w:cs="Times New Roman"/>
          <w:color w:val="000000"/>
          <w:kern w:val="0"/>
          <w:sz w:val="36"/>
          <w:szCs w:val="21"/>
        </w:rPr>
      </w:pPr>
      <w:r>
        <w:rPr>
          <w:rFonts w:hint="default" w:ascii="Times New Roman" w:hAnsi="Times New Roman" w:eastAsia="方正小标宋_GBK" w:cs="Times New Roman"/>
          <w:color w:val="000000"/>
          <w:kern w:val="0"/>
          <w:sz w:val="36"/>
          <w:szCs w:val="21"/>
        </w:rPr>
        <w:br w:type="page"/>
      </w:r>
    </w:p>
    <w:tbl>
      <w:tblPr>
        <w:tblStyle w:val="8"/>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1574"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3547"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435"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1573"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1394"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1394"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c>
          <w:tcPr>
            <w:tcW w:w="1573" w:type="dxa"/>
            <w:tcBorders>
              <w:top w:val="nil"/>
              <w:left w:val="nil"/>
              <w:bottom w:val="nil"/>
              <w:right w:val="nil"/>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方正小标宋_GBK" w:cs="Times New Roman"/>
                <w:color w:val="000000"/>
                <w:kern w:val="0"/>
                <w:sz w:val="36"/>
                <w:szCs w:val="21"/>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78"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04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公开04表</w:t>
            </w:r>
          </w:p>
        </w:tc>
      </w:tr>
      <w:tr>
        <w:tblPrEx>
          <w:tblLayout w:type="fixed"/>
          <w:tblCellMar>
            <w:top w:w="0" w:type="dxa"/>
            <w:left w:w="108" w:type="dxa"/>
            <w:bottom w:w="0" w:type="dxa"/>
            <w:right w:w="108" w:type="dxa"/>
          </w:tblCellMar>
        </w:tblPrEx>
        <w:trPr>
          <w:trHeight w:val="300" w:hRule="atLeast"/>
        </w:trPr>
        <w:tc>
          <w:tcPr>
            <w:tcW w:w="5109" w:type="dxa"/>
            <w:gridSpan w:val="3"/>
            <w:tcBorders>
              <w:top w:val="nil"/>
              <w:left w:val="nil"/>
              <w:bottom w:val="nil"/>
              <w:right w:val="nil"/>
            </w:tcBorders>
            <w:shd w:val="clear" w:color="000000" w:fill="FFFFFF"/>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color w:val="000000"/>
                <w:kern w:val="0"/>
                <w:sz w:val="21"/>
                <w:szCs w:val="21"/>
              </w:rPr>
              <w:t>部门：</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4043" w:type="dxa"/>
            <w:gridSpan w:val="3"/>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1971.92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1415.68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1415.68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611.74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611.74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十四、资源勘探</w:t>
            </w:r>
            <w:r>
              <w:rPr>
                <w:rFonts w:hint="default" w:ascii="Times New Roman" w:hAnsi="Times New Roman" w:eastAsia="仿宋_GB2312" w:cs="Times New Roman"/>
                <w:i w:val="0"/>
                <w:iCs w:val="0"/>
                <w:kern w:val="0"/>
                <w:sz w:val="21"/>
                <w:szCs w:val="21"/>
                <w:lang w:eastAsia="zh-CN"/>
              </w:rPr>
              <w:t>工业</w:t>
            </w:r>
            <w:r>
              <w:rPr>
                <w:rFonts w:hint="default" w:ascii="Times New Roman" w:hAnsi="Times New Roman" w:eastAsia="仿宋_GB2312" w:cs="Times New Roman"/>
                <w:i w:val="0"/>
                <w:iCs w:val="0"/>
                <w:kern w:val="0"/>
                <w:sz w:val="21"/>
                <w:szCs w:val="21"/>
              </w:rPr>
              <w:t>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76.00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76.00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二十一、</w:t>
            </w:r>
            <w:r>
              <w:rPr>
                <w:rFonts w:hint="default" w:ascii="Times New Roman" w:hAnsi="Times New Roman" w:eastAsia="仿宋_GB2312" w:cs="Times New Roman"/>
                <w:i w:val="0"/>
                <w:iCs w:val="0"/>
                <w:kern w:val="0"/>
                <w:sz w:val="21"/>
                <w:szCs w:val="21"/>
                <w:lang w:eastAsia="zh-CN"/>
              </w:rPr>
              <w:t>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三、</w:t>
            </w:r>
            <w:r>
              <w:rPr>
                <w:rFonts w:hint="default" w:ascii="Times New Roman" w:hAnsi="Times New Roman" w:eastAsia="仿宋_GB2312" w:cs="Times New Roman"/>
                <w:i w:val="0"/>
                <w:iCs w:val="0"/>
                <w:kern w:val="0"/>
                <w:sz w:val="21"/>
                <w:szCs w:val="21"/>
              </w:rPr>
              <w:t>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二十</w:t>
            </w:r>
            <w:r>
              <w:rPr>
                <w:rFonts w:hint="default" w:ascii="Times New Roman" w:hAnsi="Times New Roman" w:eastAsia="仿宋_GB2312" w:cs="Times New Roman"/>
                <w:i w:val="0"/>
                <w:iCs w:val="0"/>
                <w:kern w:val="0"/>
                <w:sz w:val="21"/>
                <w:szCs w:val="21"/>
                <w:lang w:eastAsia="zh-CN"/>
              </w:rPr>
              <w:t>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1971.92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2163.42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2163.42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638.43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446.93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446.93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638.43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2610.35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2610.35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2610.35</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i w:val="0"/>
                <w:iCs w:val="0"/>
                <w:kern w:val="0"/>
                <w:sz w:val="21"/>
                <w:szCs w:val="21"/>
              </w:rPr>
            </w:pPr>
            <w:r>
              <w:rPr>
                <w:rFonts w:hint="default" w:ascii="Times New Roman" w:hAnsi="Times New Roman" w:eastAsia="仿宋_GB2312" w:cs="Times New Roman"/>
                <w:b/>
                <w:bCs/>
                <w:i w:val="0"/>
                <w:iCs w:val="0"/>
                <w:kern w:val="0"/>
                <w:sz w:val="21"/>
                <w:szCs w:val="21"/>
              </w:rPr>
              <w:t>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i w:val="0"/>
                <w:iCs w:val="0"/>
                <w:kern w:val="0"/>
                <w:sz w:val="21"/>
                <w:szCs w:val="21"/>
              </w:rPr>
            </w:pPr>
            <w:r>
              <w:rPr>
                <w:rFonts w:hint="default" w:ascii="Times New Roman" w:hAnsi="Times New Roman" w:eastAsia="仿宋_GB2312" w:cs="Times New Roman"/>
                <w:i w:val="0"/>
                <w:iCs w:val="0"/>
                <w:kern w:val="0"/>
                <w:sz w:val="21"/>
                <w:szCs w:val="21"/>
              </w:rPr>
              <w:t>注：本表反映部门本年度一般公共预算财政拨款、政府性基金预算财政拨款和国有资本经营预算财政拨款的总收支和年末结转结余情况。</w:t>
            </w:r>
          </w:p>
        </w:tc>
      </w:tr>
    </w:tbl>
    <w:p>
      <w:pP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br w:type="page"/>
      </w: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部门：</w:t>
      </w:r>
      <w:r>
        <w:rPr>
          <w:rFonts w:hint="default" w:ascii="Times New Roman" w:hAnsi="Times New Roman" w:eastAsia="仿宋_GB2312" w:cs="Times New Roman"/>
          <w:color w:val="000000"/>
          <w:kern w:val="0"/>
          <w:sz w:val="21"/>
          <w:szCs w:val="21"/>
          <w:lang w:eastAsia="zh-CN"/>
        </w:rPr>
        <w:t>湖南省长株潭两型社会建设服务中心</w:t>
      </w:r>
      <w:r>
        <w:rPr>
          <w:rFonts w:hint="default" w:ascii="Times New Roman" w:hAnsi="Times New Roman" w:eastAsia="仿宋_GB2312" w:cs="Times New Roman"/>
          <w:color w:val="000000"/>
          <w:kern w:val="0"/>
          <w:szCs w:val="21"/>
        </w:rPr>
        <w:t xml:space="preserve">                                                                                       公开05表</w:t>
      </w:r>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Cs w:val="21"/>
        </w:rPr>
        <w:t xml:space="preserve">                                                                                                                                  单位：万元</w:t>
      </w:r>
    </w:p>
    <w:tbl>
      <w:tblPr>
        <w:tblStyle w:val="8"/>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2163.42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1113.69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1049.72</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1415.68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977.69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437.99</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1307.95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977.69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330.25</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977.69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977.69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330.25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330.25</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财政事务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2010699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其他财政事务支出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107.73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行政事业</w:t>
            </w:r>
            <w:r>
              <w:rPr>
                <w:rFonts w:hint="default" w:ascii="Times New Roman" w:hAnsi="Times New Roman" w:eastAsia="仿宋_GB2312" w:cs="Times New Roman"/>
                <w:i w:val="0"/>
                <w:iCs w:val="0"/>
                <w:kern w:val="0"/>
                <w:sz w:val="21"/>
                <w:szCs w:val="21"/>
                <w:lang w:eastAsia="zh-CN"/>
              </w:rPr>
              <w:t>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60.00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sz w:val="21"/>
                <w:szCs w:val="21"/>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其他节能环保支出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2119901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其他节能环保支出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611.74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76.00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hint="default" w:ascii="Times New Roman" w:hAnsi="Times New Roman" w:eastAsia="仿宋_GB2312" w:cs="Times New Roman"/>
          <w:bCs/>
          <w:kern w:val="0"/>
          <w:szCs w:val="21"/>
        </w:rPr>
      </w:pPr>
    </w:p>
    <w:p>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tbl>
      <w:tblPr>
        <w:tblStyle w:val="8"/>
        <w:tblW w:w="15614" w:type="dxa"/>
        <w:tblInd w:w="0" w:type="dxa"/>
        <w:tblLayout w:type="fixed"/>
        <w:tblCellMar>
          <w:top w:w="0" w:type="dxa"/>
          <w:left w:w="108" w:type="dxa"/>
          <w:bottom w:w="0" w:type="dxa"/>
          <w:right w:w="108" w:type="dxa"/>
        </w:tblCellMar>
      </w:tblPr>
      <w:tblGrid>
        <w:gridCol w:w="1338"/>
        <w:gridCol w:w="3366"/>
        <w:gridCol w:w="846"/>
        <w:gridCol w:w="933"/>
        <w:gridCol w:w="2316"/>
        <w:gridCol w:w="846"/>
        <w:gridCol w:w="917"/>
        <w:gridCol w:w="4206"/>
        <w:gridCol w:w="846"/>
      </w:tblGrid>
      <w:tr>
        <w:tblPrEx>
          <w:tblLayout w:type="fixed"/>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rPr>
            </w:pPr>
            <w:bookmarkStart w:id="2" w:name="RANGE!A1:I34"/>
            <w:r>
              <w:rPr>
                <w:rFonts w:hint="default" w:ascii="Times New Roman" w:hAnsi="Times New Roman" w:eastAsia="方正小标宋简体" w:cs="Times New Roman"/>
                <w:color w:val="000000"/>
                <w:kern w:val="0"/>
                <w:sz w:val="24"/>
                <w:szCs w:val="24"/>
              </w:rPr>
              <w:t>一般公共预算财政拨款基本支出决算表</w:t>
            </w:r>
            <w:bookmarkEnd w:id="2"/>
          </w:p>
          <w:p>
            <w:pPr>
              <w:widowControl/>
              <w:wordWrap w:val="0"/>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部门：</w:t>
            </w:r>
            <w:r>
              <w:rPr>
                <w:rFonts w:hint="default" w:ascii="Times New Roman" w:hAnsi="Times New Roman" w:eastAsia="仿宋_GB2312" w:cs="Times New Roman"/>
                <w:color w:val="000000"/>
                <w:kern w:val="0"/>
                <w:sz w:val="21"/>
                <w:szCs w:val="21"/>
                <w:lang w:eastAsia="zh-CN"/>
              </w:rPr>
              <w:t>湖南省长株潭两型社会建设服务中心</w:t>
            </w:r>
            <w:r>
              <w:rPr>
                <w:rFonts w:hint="default" w:ascii="Times New Roman" w:hAnsi="Times New Roman" w:eastAsia="仿宋_GB2312" w:cs="Times New Roman"/>
                <w:color w:val="000000"/>
                <w:kern w:val="0"/>
                <w:sz w:val="21"/>
                <w:szCs w:val="21"/>
              </w:rPr>
              <w:t xml:space="preserve">                                                                                                 公开06表</w:t>
            </w:r>
          </w:p>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单位：万元</w:t>
            </w:r>
          </w:p>
        </w:tc>
      </w:tr>
      <w:tr>
        <w:tblPrEx>
          <w:tblLayout w:type="fixed"/>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决算数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决算数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决算数</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工资福利支出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966.35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商品和服务支出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137.38</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债务利息及费用支出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基本工资</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212.86</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办公费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10.06</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国内债务付息</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津贴补贴</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173.83</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印刷费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国外债务付息</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奖金</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213.34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咨询费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资本性支出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伙食补助费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37.17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手续费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房屋建筑物购建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绩效工资</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0.92</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办公设备购置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机关事业单位基本养老保险缴费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57.04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电费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专用设备购置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职业年金缴费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邮电费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基础设施建设</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职工基本医疗保险缴费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37.75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取暖费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2.80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大型修缮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公务员医疗补助缴费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38.15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物业管理费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信息网络及软件购置更新</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其他社会保障缴费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差旅费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0.01</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物资储备</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住房公积金</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76.01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因公出国（境）费用</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土地补偿</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医疗费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2.34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维修（护）费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安置补助</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其他工资福利支出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117.85</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租赁费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地上附着物和青苗补偿</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对个人和家庭的补助</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9.96</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会议费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拆迁补偿</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离休费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培训费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公务用车购置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退休费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0.22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公务接待费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1.07</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其他交通工具购置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退职（役）费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专用材料费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文物和陈列品购置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抚恤金</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被装购置费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无形资产购置</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生活补助</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专用燃料费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其他资本性支出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救济费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1.7</w:t>
            </w:r>
            <w:r>
              <w:rPr>
                <w:rFonts w:hint="default" w:ascii="Times New Roman" w:hAnsi="Times New Roman" w:eastAsia="仿宋_GB2312" w:cs="Times New Roman"/>
                <w:color w:val="000000"/>
                <w:kern w:val="0"/>
                <w:sz w:val="21"/>
                <w:szCs w:val="21"/>
                <w:lang w:val="en-US" w:eastAsia="zh-CN"/>
              </w:rPr>
              <w:t>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劳务费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19.45</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其他支出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医疗费补助</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委托业务费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赠与</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助学金</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工会经费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29.00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国家赔偿费用支出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奖励金</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8.04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福利费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2.92</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对民间非营利组织和群众性自治组织补贴</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个人农业生产补贴</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公务用车运行维护费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代缴社会保险费</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其他交通费用</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32.54</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其他对个人和家庭的补助</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税金及附加费用</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其他商品和服务支出</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13.61</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Layout w:type="fixed"/>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人员经费合计</w:t>
            </w:r>
          </w:p>
        </w:tc>
        <w:tc>
          <w:tcPr>
            <w:tcW w:w="84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976.31</w:t>
            </w:r>
          </w:p>
        </w:tc>
        <w:tc>
          <w:tcPr>
            <w:tcW w:w="921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公用经费合计</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137.38</w:t>
            </w:r>
          </w:p>
        </w:tc>
      </w:tr>
      <w:tr>
        <w:tblPrEx>
          <w:tblLayout w:type="fixed"/>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注：本表反映部门本年度一般公共预算财政拨款基本支出明细情况。</w:t>
            </w:r>
          </w:p>
        </w:tc>
      </w:tr>
    </w:tbl>
    <w:p>
      <w:pPr>
        <w:widowControl/>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一般公共预算财政拨款“三公”经费支出决算表</w:t>
      </w:r>
    </w:p>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w:t>
      </w:r>
      <w:r>
        <w:rPr>
          <w:rFonts w:hint="default" w:ascii="Times New Roman" w:hAnsi="Times New Roman" w:eastAsia="仿宋_GB2312" w:cs="Times New Roman"/>
          <w:color w:val="000000"/>
          <w:kern w:val="0"/>
          <w:sz w:val="21"/>
          <w:szCs w:val="21"/>
          <w:lang w:eastAsia="zh-CN"/>
        </w:rPr>
        <w:t>湖南省长株潭两型社会建设服务中心</w:t>
      </w:r>
      <w:r>
        <w:rPr>
          <w:rFonts w:hint="default" w:ascii="Times New Roman" w:hAnsi="Times New Roman" w:eastAsia="仿宋_GB2312" w:cs="Times New Roman"/>
          <w:color w:val="000000"/>
          <w:kern w:val="0"/>
          <w:szCs w:val="21"/>
        </w:rPr>
        <w:t xml:space="preserve">                                                                                               公开07表</w:t>
      </w:r>
    </w:p>
    <w:p>
      <w:pPr>
        <w:widowControl/>
        <w:ind w:right="420"/>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单位：万元</w:t>
      </w:r>
    </w:p>
    <w:tbl>
      <w:tblPr>
        <w:tblStyle w:val="8"/>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w:t>
            </w:r>
          </w:p>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w:t>
            </w:r>
          </w:p>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公务用车</w:t>
            </w:r>
            <w:r>
              <w:rPr>
                <w:rFonts w:hint="default" w:ascii="Times New Roman" w:hAnsi="Times New Roman" w:eastAsia="仿宋_GB2312" w:cs="Times New Roman"/>
                <w:kern w:val="0"/>
                <w:sz w:val="21"/>
                <w:szCs w:val="21"/>
              </w:rPr>
              <w:br w:type="textWrapping"/>
            </w:r>
            <w:r>
              <w:rPr>
                <w:rFonts w:hint="default" w:ascii="Times New Roman" w:hAnsi="Times New Roman" w:eastAsia="仿宋_GB2312" w:cs="Times New Roman"/>
                <w:kern w:val="0"/>
                <w:sz w:val="21"/>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70.00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31.00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29.93</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20" w:type="dxa"/>
            <w:tcBorders>
              <w:top w:val="nil"/>
              <w:left w:val="nil"/>
              <w:bottom w:val="single" w:color="auto" w:sz="8" w:space="0"/>
              <w:right w:val="nil"/>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29.93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1.07</w:t>
            </w:r>
          </w:p>
        </w:tc>
      </w:tr>
    </w:tbl>
    <w:p>
      <w:pPr>
        <w:widowControl/>
        <w:jc w:val="left"/>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default" w:ascii="Times New Roman" w:hAnsi="Times New Roman" w:eastAsia="宋体" w:cs="Times New Roman"/>
          <w:kern w:val="0"/>
          <w:sz w:val="24"/>
          <w:szCs w:val="24"/>
        </w:rPr>
        <w:br w:type="page"/>
      </w:r>
    </w:p>
    <w:p>
      <w:pPr>
        <w:autoSpaceDE w:val="0"/>
        <w:autoSpaceDN w:val="0"/>
        <w:adjustRightInd w:val="0"/>
        <w:ind w:left="315" w:leftChars="150"/>
        <w:jc w:val="left"/>
        <w:rPr>
          <w:rFonts w:hint="default" w:ascii="Times New Roman" w:hAnsi="Times New Roman" w:eastAsia="宋体" w:cs="Times New Roman"/>
          <w:kern w:val="0"/>
          <w:sz w:val="24"/>
          <w:szCs w:val="24"/>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政府性基金预算财政拨款收入支出决算表</w:t>
      </w:r>
    </w:p>
    <w:p>
      <w:pPr>
        <w:widowControl/>
        <w:wordWrap w:val="0"/>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w:t>
      </w:r>
      <w:r>
        <w:rPr>
          <w:rFonts w:hint="default" w:ascii="Times New Roman" w:hAnsi="Times New Roman" w:eastAsia="仿宋_GB2312" w:cs="Times New Roman"/>
          <w:color w:val="000000"/>
          <w:kern w:val="0"/>
          <w:sz w:val="21"/>
          <w:szCs w:val="21"/>
          <w:lang w:eastAsia="zh-CN"/>
        </w:rPr>
        <w:t>湖南省长株潭两型社会建设服务中心</w:t>
      </w:r>
      <w:r>
        <w:rPr>
          <w:rFonts w:hint="default" w:ascii="Times New Roman" w:hAnsi="Times New Roman" w:eastAsia="仿宋_GB2312" w:cs="Times New Roman"/>
          <w:color w:val="000000"/>
          <w:kern w:val="0"/>
          <w:szCs w:val="21"/>
        </w:rPr>
        <w:t xml:space="preserve">                                                                                             公开08表</w:t>
      </w:r>
    </w:p>
    <w:p>
      <w:pPr>
        <w:widowControl/>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单位：万元</w:t>
      </w:r>
    </w:p>
    <w:tbl>
      <w:tblPr>
        <w:tblStyle w:val="8"/>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 xml:space="preserve">项 </w:t>
            </w:r>
            <w:r>
              <w:rPr>
                <w:rFonts w:hint="default" w:ascii="Times New Roman" w:hAnsi="Times New Roman" w:eastAsia="仿宋_GB2312" w:cs="Times New Roman"/>
                <w:b w:val="0"/>
                <w:bCs/>
                <w:color w:val="000000"/>
                <w:kern w:val="0"/>
                <w:szCs w:val="21"/>
              </w:rPr>
              <w:t xml:space="preserve">   </w:t>
            </w:r>
            <w:r>
              <w:rPr>
                <w:rFonts w:hint="default" w:ascii="Times New Roman" w:hAnsi="Times New Roman" w:eastAsia="仿宋_GB2312" w:cs="Times New Roman"/>
                <w:b w:val="0"/>
                <w:bCs/>
                <w:kern w:val="0"/>
                <w:szCs w:val="21"/>
              </w:rPr>
              <w:t>目</w:t>
            </w: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年初结转和结余</w:t>
            </w: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本年收入</w:t>
            </w:r>
          </w:p>
        </w:tc>
        <w:tc>
          <w:tcPr>
            <w:tcW w:w="6000" w:type="dxa"/>
            <w:gridSpan w:val="3"/>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本年支出</w:t>
            </w: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功能分类科目编码</w:t>
            </w:r>
          </w:p>
        </w:tc>
        <w:tc>
          <w:tcPr>
            <w:tcW w:w="132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科目名称</w:t>
            </w: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小计</w:t>
            </w: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 xml:space="preserve">基本支出  </w:t>
            </w:r>
          </w:p>
        </w:tc>
        <w:tc>
          <w:tcPr>
            <w:tcW w:w="2000" w:type="dxa"/>
            <w:vMerge w:val="restart"/>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项目支出</w:t>
            </w: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b w:val="0"/>
                <w:bCs/>
                <w:kern w:val="0"/>
                <w:szCs w:val="21"/>
              </w:rPr>
            </w:pPr>
          </w:p>
        </w:tc>
        <w:tc>
          <w:tcPr>
            <w:tcW w:w="132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default" w:ascii="Times New Roman" w:hAnsi="Times New Roman" w:eastAsia="仿宋_GB2312" w:cs="Times New Roman"/>
                <w:b w:val="0"/>
                <w:bCs/>
                <w:kern w:val="0"/>
                <w:szCs w:val="21"/>
              </w:rPr>
            </w:pPr>
          </w:p>
        </w:tc>
        <w:tc>
          <w:tcPr>
            <w:tcW w:w="132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c>
          <w:tcPr>
            <w:tcW w:w="2000" w:type="dxa"/>
            <w:vMerge w:val="continue"/>
            <w:vAlign w:val="center"/>
          </w:tcPr>
          <w:p>
            <w:pPr>
              <w:widowControl/>
              <w:jc w:val="left"/>
              <w:rPr>
                <w:rFonts w:hint="default" w:ascii="Times New Roman" w:hAnsi="Times New Roman" w:eastAsia="仿宋_GB2312" w:cs="Times New Roman"/>
                <w:b w:val="0"/>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栏次</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1</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2</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3</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4</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5</w:t>
            </w:r>
          </w:p>
        </w:tc>
        <w:tc>
          <w:tcPr>
            <w:tcW w:w="2000" w:type="dxa"/>
            <w:shd w:val="clear" w:color="auto" w:fill="auto"/>
            <w:vAlign w:val="center"/>
          </w:tcPr>
          <w:p>
            <w:pPr>
              <w:widowControl/>
              <w:jc w:val="center"/>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　0.00</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c>
          <w:tcPr>
            <w:tcW w:w="200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0.00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注：本表反映部门本年度政府性基金预算财政拨款收入、支出及结转和结余情况</w:t>
      </w:r>
    </w:p>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(若本单位无政府性基金收支,请说明：XX单位没有政府性基金收入，也没有使用政府性基金安排的支出，故本表无数据)。</w:t>
      </w:r>
    </w:p>
    <w:p>
      <w:pPr>
        <w:widowControl/>
        <w:jc w:val="left"/>
        <w:rPr>
          <w:rFonts w:hint="default" w:ascii="Times New Roman" w:hAnsi="Times New Roman" w:eastAsia="黑体" w:cs="Times New Roman"/>
          <w:szCs w:val="21"/>
        </w:rPr>
      </w:pPr>
      <w:r>
        <w:rPr>
          <w:rFonts w:hint="default" w:ascii="Times New Roman" w:hAnsi="Times New Roman" w:eastAsia="黑体" w:cs="Times New Roman"/>
          <w:szCs w:val="21"/>
        </w:rPr>
        <w:br w:type="page"/>
      </w:r>
    </w:p>
    <w:tbl>
      <w:tblPr>
        <w:tblStyle w:val="8"/>
        <w:tblW w:w="15273" w:type="dxa"/>
        <w:tblInd w:w="93" w:type="dxa"/>
        <w:tblLayout w:type="fixed"/>
        <w:tblCellMar>
          <w:top w:w="0" w:type="dxa"/>
          <w:left w:w="108" w:type="dxa"/>
          <w:bottom w:w="0" w:type="dxa"/>
          <w:right w:w="108" w:type="dxa"/>
        </w:tblCellMar>
      </w:tblPr>
      <w:tblGrid>
        <w:gridCol w:w="1060"/>
        <w:gridCol w:w="560"/>
        <w:gridCol w:w="1089"/>
        <w:gridCol w:w="2126"/>
        <w:gridCol w:w="1225"/>
        <w:gridCol w:w="2034"/>
        <w:gridCol w:w="586"/>
        <w:gridCol w:w="3054"/>
        <w:gridCol w:w="3539"/>
      </w:tblGrid>
      <w:tr>
        <w:tblPrEx>
          <w:tblLayout w:type="fixed"/>
          <w:tblCellMar>
            <w:top w:w="0" w:type="dxa"/>
            <w:left w:w="108" w:type="dxa"/>
            <w:bottom w:w="0" w:type="dxa"/>
            <w:right w:w="108" w:type="dxa"/>
          </w:tblCellMar>
        </w:tblPrEx>
        <w:trPr>
          <w:trHeight w:val="720" w:hRule="atLeast"/>
        </w:trPr>
        <w:tc>
          <w:tcPr>
            <w:tcW w:w="15273" w:type="dxa"/>
            <w:gridSpan w:val="9"/>
            <w:tcBorders>
              <w:top w:val="nil"/>
              <w:left w:val="nil"/>
              <w:bottom w:val="nil"/>
              <w:right w:val="nil"/>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方正小标宋_GBK" w:cs="Times New Roman"/>
                <w:kern w:val="0"/>
                <w:sz w:val="36"/>
                <w:szCs w:val="36"/>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560" w:type="dxa"/>
            <w:tcBorders>
              <w:top w:val="nil"/>
              <w:left w:val="nil"/>
              <w:bottom w:val="nil"/>
              <w:right w:val="nil"/>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nil"/>
              <w:right w:val="nil"/>
            </w:tcBorders>
            <w:shd w:val="clear" w:color="000000" w:fill="FFFFFF"/>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1225" w:type="dxa"/>
            <w:tcBorders>
              <w:top w:val="nil"/>
              <w:left w:val="nil"/>
              <w:bottom w:val="nil"/>
              <w:right w:val="nil"/>
            </w:tcBorders>
            <w:shd w:val="clear" w:color="000000" w:fill="FFFFFF"/>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620" w:type="dxa"/>
            <w:gridSpan w:val="2"/>
            <w:tcBorders>
              <w:top w:val="nil"/>
              <w:left w:val="nil"/>
              <w:bottom w:val="nil"/>
              <w:right w:val="nil"/>
            </w:tcBorders>
            <w:shd w:val="clear" w:color="000000" w:fill="FFFFFF"/>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659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公开09表</w:t>
            </w:r>
          </w:p>
        </w:tc>
      </w:tr>
      <w:tr>
        <w:tblPrEx>
          <w:tblLayout w:type="fixed"/>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color w:val="000000"/>
                <w:kern w:val="0"/>
                <w:sz w:val="21"/>
                <w:szCs w:val="21"/>
              </w:rPr>
              <w:t>部门：</w:t>
            </w:r>
            <w:r>
              <w:rPr>
                <w:rFonts w:hint="default" w:ascii="Times New Roman" w:hAnsi="Times New Roman" w:eastAsia="仿宋_GB2312" w:cs="Times New Roman"/>
                <w:color w:val="000000"/>
                <w:kern w:val="0"/>
                <w:sz w:val="21"/>
                <w:szCs w:val="21"/>
                <w:lang w:eastAsia="zh-CN"/>
              </w:rPr>
              <w:t>湖南省长株潭两型社会建设服务中心</w:t>
            </w:r>
          </w:p>
        </w:tc>
        <w:tc>
          <w:tcPr>
            <w:tcW w:w="1225" w:type="dxa"/>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659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项 </w:t>
            </w:r>
            <w:r>
              <w:rPr>
                <w:rFonts w:hint="default" w:ascii="Times New Roman" w:hAnsi="Times New Roman" w:eastAsia="仿宋_GB2312" w:cs="Times New Roman"/>
                <w:color w:val="000000"/>
                <w:kern w:val="0"/>
                <w:sz w:val="21"/>
                <w:szCs w:val="21"/>
              </w:rPr>
              <w:t xml:space="preserve">   </w:t>
            </w:r>
            <w:r>
              <w:rPr>
                <w:rFonts w:hint="default" w:ascii="Times New Roman" w:hAnsi="Times New Roman" w:eastAsia="仿宋_GB2312" w:cs="Times New Roman"/>
                <w:kern w:val="0"/>
                <w:sz w:val="21"/>
                <w:szCs w:val="21"/>
              </w:rPr>
              <w:t>目</w:t>
            </w:r>
          </w:p>
        </w:tc>
        <w:tc>
          <w:tcPr>
            <w:tcW w:w="10438"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科目名称</w:t>
            </w:r>
          </w:p>
        </w:tc>
        <w:tc>
          <w:tcPr>
            <w:tcW w:w="325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36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基本支出  </w:t>
            </w:r>
          </w:p>
        </w:tc>
        <w:tc>
          <w:tcPr>
            <w:tcW w:w="35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2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6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539"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2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6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c>
          <w:tcPr>
            <w:tcW w:w="3539"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1"/>
                <w:szCs w:val="21"/>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栏次</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0.00</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0.00</w:t>
            </w:r>
          </w:p>
        </w:tc>
        <w:tc>
          <w:tcPr>
            <w:tcW w:w="3539"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59" w:type="dxa"/>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640" w:type="dxa"/>
            <w:gridSpan w:val="2"/>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539"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tblPrEx>
          <w:tblLayout w:type="fixed"/>
          <w:tblCellMar>
            <w:top w:w="0" w:type="dxa"/>
            <w:left w:w="108" w:type="dxa"/>
            <w:bottom w:w="0" w:type="dxa"/>
            <w:right w:w="108" w:type="dxa"/>
          </w:tblCellMar>
        </w:tblPrEx>
        <w:trPr>
          <w:trHeight w:val="720" w:hRule="atLeast"/>
        </w:trPr>
        <w:tc>
          <w:tcPr>
            <w:tcW w:w="15273" w:type="dxa"/>
            <w:gridSpan w:val="9"/>
            <w:tcBorders>
              <w:top w:val="single" w:color="auto" w:sz="8" w:space="0"/>
              <w:left w:val="nil"/>
              <w:bottom w:val="nil"/>
              <w:right w:val="nil"/>
            </w:tcBorders>
            <w:shd w:val="clear" w:color="auto" w:fill="auto"/>
            <w:vAlign w:val="center"/>
          </w:tcPr>
          <w:p>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注：本表反映部门本年度国有资本经营预算财政拨款支出情况。</w:t>
            </w:r>
          </w:p>
        </w:tc>
      </w:tr>
    </w:tbl>
    <w:p>
      <w:pPr>
        <w:pStyle w:val="11"/>
        <w:rPr>
          <w:rFonts w:hint="default"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p>
    <w:p>
      <w:pPr>
        <w:pStyle w:val="14"/>
        <w:keepNext w:val="0"/>
        <w:keepLines w:val="0"/>
        <w:widowControl w:val="0"/>
        <w:suppressLineNumbers w:val="0"/>
        <w:overflowPunct w:val="0"/>
        <w:spacing w:before="0" w:beforeAutospacing="0" w:after="0" w:afterAutospacing="0" w:line="596" w:lineRule="exact"/>
        <w:ind w:left="0" w:right="0"/>
        <w:jc w:val="both"/>
        <w:rPr>
          <w:rFonts w:hint="default" w:ascii="Times New Roman" w:hAnsi="Times New Roman" w:eastAsia="方正小标宋简体" w:cs="Times New Roman"/>
          <w:kern w:val="0"/>
          <w:sz w:val="42"/>
          <w:szCs w:val="42"/>
          <w:shd w:val="clear" w:fill="FFFFFF"/>
        </w:rPr>
      </w:pPr>
    </w:p>
    <w:p>
      <w:pPr>
        <w:pStyle w:val="14"/>
        <w:keepNext w:val="0"/>
        <w:keepLines w:val="0"/>
        <w:widowControl w:val="0"/>
        <w:numPr>
          <w:ilvl w:val="0"/>
          <w:numId w:val="0"/>
        </w:numPr>
        <w:suppressLineNumbers w:val="0"/>
        <w:overflowPunct w:val="0"/>
        <w:spacing w:before="0" w:beforeAutospacing="0" w:after="0" w:afterAutospacing="0" w:line="596" w:lineRule="exact"/>
        <w:ind w:leftChars="0" w:right="0" w:rightChars="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lang w:val="en-US" w:eastAsia="zh-CN"/>
        </w:rPr>
        <w:t xml:space="preserve">第三部分    </w:t>
      </w:r>
      <w:r>
        <w:rPr>
          <w:rFonts w:hint="default" w:ascii="Times New Roman" w:hAnsi="Times New Roman" w:eastAsia="方正小标宋简体" w:cs="Times New Roman"/>
          <w:kern w:val="0"/>
          <w:sz w:val="42"/>
          <w:szCs w:val="42"/>
          <w:shd w:val="clear" w:fill="FFFFFF"/>
        </w:rPr>
        <w:t>2020年度部门决算情况说明</w:t>
      </w:r>
    </w:p>
    <w:p>
      <w:pPr>
        <w:pStyle w:val="14"/>
        <w:keepNext w:val="0"/>
        <w:keepLines w:val="0"/>
        <w:widowControl w:val="0"/>
        <w:numPr>
          <w:ilvl w:val="0"/>
          <w:numId w:val="0"/>
        </w:numPr>
        <w:suppressLineNumbers w:val="0"/>
        <w:overflowPunct w:val="0"/>
        <w:spacing w:before="0" w:beforeAutospacing="0" w:after="0" w:afterAutospacing="0" w:line="596" w:lineRule="exact"/>
        <w:ind w:leftChars="0" w:right="0" w:rightChars="0"/>
        <w:jc w:val="both"/>
        <w:rPr>
          <w:rFonts w:hint="default" w:ascii="Times New Roman" w:hAnsi="Times New Roman" w:eastAsia="方正小标宋简体" w:cs="Times New Roman"/>
          <w:kern w:val="0"/>
          <w:sz w:val="42"/>
          <w:szCs w:val="42"/>
          <w:shd w:val="clear" w:fill="FFFFFF"/>
        </w:rPr>
      </w:pP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rPr>
      </w:pPr>
      <w:r>
        <w:rPr>
          <w:rStyle w:val="15"/>
          <w:rFonts w:hint="default" w:ascii="Times New Roman" w:hAnsi="Times New Roman" w:eastAsia="黑体" w:cs="Times New Roman"/>
          <w:b w:val="0"/>
          <w:sz w:val="32"/>
          <w:szCs w:val="32"/>
          <w:shd w:val="clear" w:fill="FFFFFF"/>
        </w:rPr>
        <w:t>一、收入支出决算总体情况说明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2020年度收、支总计2,610.35万元。与上年相比，减少1,672.48万元，减少39.05%，主要是因为2019年度安排了下属事业单位省两型社会规划展示中心升级改造工程尾款开支。</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二、收入决算情况说明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本年收入合计1,971.92万元，其中：财政拨款收入1,971.92万元，占100%。</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三、支出决算情况说明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本年支出合计2,163.42万元，其中：基本支出1,113.69万元，占51.48%；项目支出1,049.73万元，占48.52%。</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四、财政拨款收入支出决算总体情况说明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2020年度财政拨款收、支总计2,610.35万元，与上年相比，减少1,352.48万元，减少34.13%，主要是因为2019年度安排了下属事业单位省两型社会规划展示中心升级改造工程尾款开支。</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五、一般公共预算财政拨款支出决算情况说明</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楷体_GB2312" w:cs="Times New Roman"/>
          <w:b/>
          <w:sz w:val="32"/>
          <w:szCs w:val="32"/>
          <w:shd w:val="clear" w:fill="FFFFFF"/>
        </w:rPr>
      </w:pPr>
      <w:r>
        <w:rPr>
          <w:rStyle w:val="15"/>
          <w:rFonts w:hint="default" w:ascii="Times New Roman" w:hAnsi="Times New Roman" w:eastAsia="楷体_GB2312" w:cs="Times New Roman"/>
          <w:b/>
          <w:sz w:val="32"/>
          <w:szCs w:val="32"/>
          <w:shd w:val="clear" w:fill="FFFFFF"/>
        </w:rPr>
        <w:t>（一）财政拨款支出决算总体情况</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2020年度财政拨款支出2,163.42万元，占本年支出合计的100%，与上年相比，财政拨款支出减少1,071.90万元，减少33.13%，主要是因为2019年度安排了下属事业单位省两型社会规划展示中心升级改造工程尾款开支。</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楷体_GB2312" w:cs="Times New Roman"/>
          <w:b/>
          <w:sz w:val="32"/>
          <w:szCs w:val="32"/>
          <w:shd w:val="clear" w:fill="FFFFFF"/>
        </w:rPr>
      </w:pPr>
      <w:r>
        <w:rPr>
          <w:rStyle w:val="15"/>
          <w:rFonts w:hint="default" w:ascii="Times New Roman" w:hAnsi="Times New Roman" w:eastAsia="楷体_GB2312" w:cs="Times New Roman"/>
          <w:b/>
          <w:sz w:val="32"/>
          <w:szCs w:val="32"/>
          <w:shd w:val="clear" w:fill="FFFFFF"/>
        </w:rPr>
        <w:t>（二）财政拨款支出决算结构情况</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财政拨款支出2,163.42万元，主要用于以下方面：一般公共服务（类）支出1,415.68万元，占65.44%；社会保障和就业（类）支出60.00万元，占2.77%；节能环保（类）支出611.74万元，占28.28%；住房保障（类）支出76.00万元，占3.51%。</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楷体_GB2312" w:cs="Times New Roman"/>
          <w:b/>
          <w:sz w:val="32"/>
          <w:szCs w:val="32"/>
          <w:shd w:val="clear" w:fill="FFFFFF"/>
        </w:rPr>
      </w:pPr>
      <w:r>
        <w:rPr>
          <w:rStyle w:val="15"/>
          <w:rFonts w:hint="default" w:ascii="Times New Roman" w:hAnsi="Times New Roman" w:eastAsia="楷体_GB2312" w:cs="Times New Roman"/>
          <w:b/>
          <w:sz w:val="32"/>
          <w:szCs w:val="32"/>
          <w:shd w:val="clear" w:fill="FFFFFF"/>
        </w:rPr>
        <w:t>（三）财政拨款支出决算具体情况</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2020年度财政拨款支出预算数为2,610.35万元，支出决算数为2,163.42万元，完成年初预算的82.88%，其中：</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1、一般公共服务支出（类）。</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预算为1,629.38万元，支出决算为1,415.68万元，完成预算的86.88%。</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发展与改革事务支出（款）决算数按项分类为：行政运行支出（项）977.70万元，其他发展与改革事务支出（项）330.25万元。</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财政事务支出（款）决算数按项分类为：其他财政事务支出（项）107.73万元。</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2、社会保障和就业支出（类）。</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预算为60.00万元，支出决算为60.00万元，完成预算的100%。</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行政事业单位养老支出（款）决算数按项分类为：机关事业单位基本养老保险缴费支出（项）60.00万元。</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3、节能环保支出（类）。</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预算为841.77万元，支出决算为611.74万元，完成预算的72.67%，</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其他节能环保支出（款）决算数按项分类为：其他节能环保支出（项）611.74万元。</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4、住房保障支出（类）。</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预算为76.00万元，支出决算为76.00万元，完成预算的100%。</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住房改革支出（款）决算数按项分类为：住房公积金支出（项）76.00万元。</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六、一般公共预算财政拨款基本支出决算情况说明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财政拨款基本支出1,113.69万元，其中：人员经费976.31万元，占基本支出的87.66%,主要包括基本工资、津贴补贴、奖金、伙食补助费、机关事业单位基本养老保险缴费、职工基本医疗保险缴费、公务员医疗补助缴费、住房公积金等；公用经费137.38万元，占基本支出的12.34%，主要包括办公费、印刷费、水费、电费、邮电费、取暖费、物业管理费、差旅费、维修（护）费等。</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七、一般公共预算财政拨款三公经费支出决算情况说明</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楷体_GB2312" w:cs="Times New Roman"/>
          <w:b/>
          <w:sz w:val="32"/>
          <w:szCs w:val="32"/>
          <w:shd w:val="clear" w:fill="FFFFFF"/>
        </w:rPr>
      </w:pPr>
      <w:r>
        <w:rPr>
          <w:rStyle w:val="15"/>
          <w:rFonts w:hint="default" w:ascii="Times New Roman" w:hAnsi="Times New Roman" w:eastAsia="楷体_GB2312" w:cs="Times New Roman"/>
          <w:b/>
          <w:sz w:val="32"/>
          <w:szCs w:val="32"/>
          <w:shd w:val="clear" w:fill="FFFFFF"/>
        </w:rPr>
        <w:t>（一）“三公”经费财政拨款支出决算总体情况说明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“三公”经费财政拨款支出预算为70.00万元，支出决算为31.00万元，完成预算的44.29%，其中：</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因公出国（境）费支出预算为30.00万元，支出决算为0.00万元，决算数小于预算数的主要原因是本年度为配合新冠肺炎疫情防控要求，未开展因公出国（境）工作；支出决算数与上年度支出金额持平。</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公务接待费支出预算为10.00万元，支出决算为1.07万元，完成预算的10.7%；与上年相比增加0.34万元，增长46.58%,增长的主要原因是本年度接待中国体改会来湘调研团。</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公务用车购置费及运行维护费支出预算为30.00万元，支出决算为29.93万元，完成预算的99.77%；与上年相比减少12.55万元，减少29.54%，减少的主要原因是本年度未购置公务用车。</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楷体_GB2312" w:cs="Times New Roman"/>
          <w:b/>
          <w:sz w:val="32"/>
          <w:szCs w:val="32"/>
          <w:shd w:val="clear" w:fill="FFFFFF"/>
        </w:rPr>
      </w:pPr>
      <w:r>
        <w:rPr>
          <w:rStyle w:val="15"/>
          <w:rFonts w:hint="default" w:ascii="Times New Roman" w:hAnsi="Times New Roman" w:eastAsia="楷体_GB2312" w:cs="Times New Roman"/>
          <w:b/>
          <w:sz w:val="32"/>
          <w:szCs w:val="32"/>
          <w:shd w:val="clear" w:fill="FFFFFF"/>
        </w:rPr>
        <w:t>（二）“三公”经费财政拨款支出决算具体情况说明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2020年度“三公”经费财政拨款支出决算中，公务接待费支出决算1.07万元，占3.45%,公务用车购置费及运行维护费支出决算29.93万元，占96.55%。其中：</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1、公务接待费支出决算为1.07万元，全年共接待来访团组7个、来宾66人次，主要是接待中国体改会来湘调研发生的接待支出。</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公务用车购置费及运行维护费支出决算为29.93万元，其中：公务用车购置费0.00万元；公务用车运行维护费29.93万元，主要是公务车辆燃料费、维修费、过路过桥费、保险费等支出，截止2020年12月31日，我单位开支财政拨款的公务用车保有量为4辆。</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八、政府性基金预算收入支出决算情况</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本单位无政府性基金收支。</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九、关于机关运行经费支出说明</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本部门2020年度机关运行经费支出137.38万元，比预算数减少11.00万元，降低7.41%。主要原因是坚决落实“政府带头过紧日子”，厉行节俭，压减一般性支出。</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十、一般性支出情况</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2020年本部门开支会议费3.89万元，用于召开两型专项资金工作会议，人数32人，内容为项目工作调度；用于召开绿心地区界碑界桩会议，人数15人，内容为绿心保护标志工作会议；用于召开长株潭两型试验区改革成就和经验调研会议，人数74人，内容为长株潭两型试验区改革成就和经验调研省直部门、专家学者和企业代表座谈会；用于召开试验区总结评估与下一步走向战略研究座谈会，人数31人，内容为听取试验区总体评估报告及下一步走向战略研究报告的意见建议；用于召开新开行贷款项目采购代理咨询服务协商会，人数14人，内容为研讨解决新开行贷款项目采购代理咨询服务费用有关问题；以及其他零星会议费开支。</w:t>
      </w:r>
    </w:p>
    <w:p>
      <w:pPr>
        <w:pStyle w:val="11"/>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开支培训费1.48万元，用于开展七一党建培训活动，人数42人，内容为庆祝建党九十九周年红色教育培训；以及其他干部教育培训工作。</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十一、关于政府采购支出说明</w:t>
      </w:r>
    </w:p>
    <w:p>
      <w:pPr>
        <w:pStyle w:val="14"/>
        <w:keepNext w:val="0"/>
        <w:keepLines w:val="0"/>
        <w:pageBreakBefore w:val="0"/>
        <w:widowControl w:val="0"/>
        <w:suppressLineNumbers w:val="0"/>
        <w:kinsoku/>
        <w:wordWrap/>
        <w:overflowPunct w:val="0"/>
        <w:topLinePunct w:val="0"/>
        <w:bidi w:val="0"/>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本部门2020年度政府采购支出总额1</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eastAsia="zh-CN"/>
        </w:rPr>
        <w:t>1</w:t>
      </w:r>
      <w:r>
        <w:rPr>
          <w:rFonts w:hint="default" w:ascii="Times New Roman" w:hAnsi="Times New Roman" w:eastAsia="仿宋_GB2312" w:cs="Times New Roman"/>
          <w:kern w:val="0"/>
          <w:sz w:val="32"/>
          <w:szCs w:val="32"/>
          <w:highlight w:val="none"/>
          <w:lang w:val="en-US" w:eastAsia="zh-CN"/>
        </w:rPr>
        <w:t>67.57</w:t>
      </w:r>
      <w:r>
        <w:rPr>
          <w:rFonts w:hint="default" w:ascii="Times New Roman" w:hAnsi="Times New Roman" w:eastAsia="仿宋_GB2312" w:cs="Times New Roman"/>
          <w:kern w:val="0"/>
          <w:sz w:val="32"/>
          <w:szCs w:val="32"/>
          <w:highlight w:val="none"/>
          <w:lang w:eastAsia="zh-CN"/>
        </w:rPr>
        <w:t>万元，其中：政府采购货物支出</w:t>
      </w:r>
      <w:r>
        <w:rPr>
          <w:rFonts w:hint="default" w:ascii="Times New Roman" w:hAnsi="Times New Roman" w:eastAsia="仿宋_GB2312" w:cs="Times New Roman"/>
          <w:kern w:val="0"/>
          <w:sz w:val="32"/>
          <w:szCs w:val="32"/>
          <w:highlight w:val="none"/>
          <w:lang w:val="en-US" w:eastAsia="zh-CN"/>
        </w:rPr>
        <w:t>239.03</w:t>
      </w:r>
      <w:r>
        <w:rPr>
          <w:rFonts w:hint="default" w:ascii="Times New Roman" w:hAnsi="Times New Roman" w:eastAsia="仿宋_GB2312" w:cs="Times New Roman"/>
          <w:kern w:val="0"/>
          <w:sz w:val="32"/>
          <w:szCs w:val="32"/>
          <w:highlight w:val="none"/>
          <w:lang w:eastAsia="zh-CN"/>
        </w:rPr>
        <w:t>万元、政府采购工程支出</w:t>
      </w:r>
      <w:r>
        <w:rPr>
          <w:rFonts w:hint="default" w:ascii="Times New Roman" w:hAnsi="Times New Roman" w:eastAsia="仿宋_GB2312" w:cs="Times New Roman"/>
          <w:kern w:val="0"/>
          <w:sz w:val="32"/>
          <w:szCs w:val="32"/>
          <w:highlight w:val="none"/>
          <w:lang w:val="en-US" w:eastAsia="zh-CN"/>
        </w:rPr>
        <w:t>61.58</w:t>
      </w:r>
      <w:r>
        <w:rPr>
          <w:rFonts w:hint="default" w:ascii="Times New Roman" w:hAnsi="Times New Roman" w:eastAsia="仿宋_GB2312" w:cs="Times New Roman"/>
          <w:kern w:val="0"/>
          <w:sz w:val="32"/>
          <w:szCs w:val="32"/>
          <w:highlight w:val="none"/>
          <w:lang w:eastAsia="zh-CN"/>
        </w:rPr>
        <w:t>万元、政府采购服务支出</w:t>
      </w:r>
      <w:r>
        <w:rPr>
          <w:rFonts w:hint="default" w:ascii="Times New Roman" w:hAnsi="Times New Roman" w:eastAsia="仿宋_GB2312" w:cs="Times New Roman"/>
          <w:kern w:val="0"/>
          <w:sz w:val="32"/>
          <w:szCs w:val="32"/>
          <w:highlight w:val="none"/>
          <w:lang w:val="en-US" w:eastAsia="zh-CN"/>
        </w:rPr>
        <w:t>866.96</w:t>
      </w:r>
      <w:r>
        <w:rPr>
          <w:rFonts w:hint="default" w:ascii="Times New Roman" w:hAnsi="Times New Roman" w:eastAsia="仿宋_GB2312" w:cs="Times New Roman"/>
          <w:kern w:val="0"/>
          <w:sz w:val="32"/>
          <w:szCs w:val="32"/>
          <w:highlight w:val="none"/>
          <w:lang w:eastAsia="zh-CN"/>
        </w:rPr>
        <w:t>万元。授予中小企业合同金额</w:t>
      </w:r>
      <w:r>
        <w:rPr>
          <w:rFonts w:hint="default" w:ascii="Times New Roman" w:hAnsi="Times New Roman" w:eastAsia="仿宋_GB2312" w:cs="Times New Roman"/>
          <w:kern w:val="0"/>
          <w:sz w:val="32"/>
          <w:szCs w:val="32"/>
          <w:highlight w:val="none"/>
          <w:lang w:val="en-US" w:eastAsia="zh-CN"/>
        </w:rPr>
        <w:t>1,105.99</w:t>
      </w:r>
      <w:r>
        <w:rPr>
          <w:rFonts w:hint="default" w:ascii="Times New Roman" w:hAnsi="Times New Roman" w:eastAsia="仿宋_GB2312" w:cs="Times New Roman"/>
          <w:kern w:val="0"/>
          <w:sz w:val="32"/>
          <w:szCs w:val="32"/>
          <w:highlight w:val="none"/>
          <w:lang w:eastAsia="zh-CN"/>
        </w:rPr>
        <w:t>万元，占政府采购支出总额的</w:t>
      </w:r>
      <w:r>
        <w:rPr>
          <w:rFonts w:hint="default" w:ascii="Times New Roman" w:hAnsi="Times New Roman" w:eastAsia="仿宋_GB2312" w:cs="Times New Roman"/>
          <w:kern w:val="0"/>
          <w:sz w:val="32"/>
          <w:szCs w:val="32"/>
          <w:highlight w:val="none"/>
          <w:lang w:val="en-US" w:eastAsia="zh-CN"/>
        </w:rPr>
        <w:t>94.73</w:t>
      </w:r>
      <w:r>
        <w:rPr>
          <w:rFonts w:hint="default" w:ascii="Times New Roman" w:hAnsi="Times New Roman" w:eastAsia="仿宋_GB2312" w:cs="Times New Roman"/>
          <w:kern w:val="0"/>
          <w:sz w:val="32"/>
          <w:szCs w:val="32"/>
          <w:highlight w:val="none"/>
          <w:lang w:eastAsia="zh-CN"/>
        </w:rPr>
        <w:t>%，其中：授予小微企业合同金额</w:t>
      </w:r>
      <w:r>
        <w:rPr>
          <w:rFonts w:hint="default" w:ascii="Times New Roman" w:hAnsi="Times New Roman" w:eastAsia="仿宋_GB2312" w:cs="Times New Roman"/>
          <w:kern w:val="0"/>
          <w:sz w:val="32"/>
          <w:szCs w:val="32"/>
          <w:highlight w:val="none"/>
          <w:lang w:val="en-US" w:eastAsia="zh-CN"/>
        </w:rPr>
        <w:t>1,105.99</w:t>
      </w:r>
      <w:r>
        <w:rPr>
          <w:rFonts w:hint="default" w:ascii="Times New Roman" w:hAnsi="Times New Roman" w:eastAsia="仿宋_GB2312" w:cs="Times New Roman"/>
          <w:kern w:val="0"/>
          <w:sz w:val="32"/>
          <w:szCs w:val="32"/>
          <w:highlight w:val="none"/>
          <w:lang w:eastAsia="zh-CN"/>
        </w:rPr>
        <w:t>万元，占政府采购支出总额的</w:t>
      </w:r>
      <w:r>
        <w:rPr>
          <w:rFonts w:hint="default" w:ascii="Times New Roman" w:hAnsi="Times New Roman" w:eastAsia="仿宋_GB2312" w:cs="Times New Roman"/>
          <w:kern w:val="0"/>
          <w:sz w:val="32"/>
          <w:szCs w:val="32"/>
          <w:highlight w:val="none"/>
          <w:lang w:val="en-US" w:eastAsia="zh-CN"/>
        </w:rPr>
        <w:t>94.73</w:t>
      </w:r>
      <w:r>
        <w:rPr>
          <w:rFonts w:hint="default" w:ascii="Times New Roman" w:hAnsi="Times New Roman" w:eastAsia="仿宋_GB2312" w:cs="Times New Roman"/>
          <w:kern w:val="0"/>
          <w:sz w:val="32"/>
          <w:szCs w:val="32"/>
          <w:highlight w:val="none"/>
          <w:lang w:eastAsia="zh-CN"/>
        </w:rPr>
        <w:t>%。</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十二、关于国有资产占用情况说明</w:t>
      </w:r>
    </w:p>
    <w:p>
      <w:pPr>
        <w:pStyle w:val="14"/>
        <w:keepNext w:val="0"/>
        <w:keepLines w:val="0"/>
        <w:pageBreakBefore w:val="0"/>
        <w:widowControl w:val="0"/>
        <w:suppressLineNumbers w:val="0"/>
        <w:kinsoku/>
        <w:wordWrap/>
        <w:overflowPunct w:val="0"/>
        <w:topLinePunct w:val="0"/>
        <w:bidi w:val="0"/>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截至20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lang w:eastAsia="zh-CN"/>
        </w:rPr>
        <w:t>年12月31日，本单位共有车辆</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eastAsia="zh-CN"/>
        </w:rPr>
        <w:t>辆，其中，实物保障用车</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辆、机要通信用车</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辆、应急保障用车</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辆、执法执勤用车</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辆；单位价值50万元以上通用设备</w:t>
      </w:r>
      <w:r>
        <w:rPr>
          <w:rFonts w:hint="default" w:ascii="Times New Roman" w:hAnsi="Times New Roman" w:eastAsia="仿宋_GB2312" w:cs="Times New Roman"/>
          <w:kern w:val="0"/>
          <w:sz w:val="32"/>
          <w:szCs w:val="32"/>
          <w:highlight w:val="none"/>
          <w:lang w:val="en-US" w:eastAsia="zh-CN"/>
        </w:rPr>
        <w:t>26</w:t>
      </w:r>
      <w:r>
        <w:rPr>
          <w:rFonts w:hint="default" w:ascii="Times New Roman" w:hAnsi="Times New Roman" w:eastAsia="仿宋_GB2312" w:cs="Times New Roman"/>
          <w:kern w:val="0"/>
          <w:sz w:val="32"/>
          <w:szCs w:val="32"/>
          <w:highlight w:val="none"/>
          <w:lang w:eastAsia="zh-CN"/>
        </w:rPr>
        <w:t>台（套）；单位价值100万元以上专用设备</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台（套）。</w:t>
      </w:r>
    </w:p>
    <w:p>
      <w:pPr>
        <w:pStyle w:val="14"/>
        <w:keepNext w:val="0"/>
        <w:keepLines w:val="0"/>
        <w:widowControl w:val="0"/>
        <w:suppressLineNumbers w:val="0"/>
        <w:overflowPunct w:val="0"/>
        <w:spacing w:before="0" w:beforeAutospacing="0" w:after="0" w:afterAutospacing="0" w:line="596" w:lineRule="exact"/>
        <w:ind w:left="0" w:right="0" w:firstLine="640" w:firstLineChars="200"/>
        <w:jc w:val="both"/>
        <w:rPr>
          <w:rStyle w:val="15"/>
          <w:rFonts w:hint="default" w:ascii="Times New Roman" w:hAnsi="Times New Roman" w:eastAsia="黑体" w:cs="Times New Roman"/>
          <w:b w:val="0"/>
          <w:sz w:val="32"/>
          <w:szCs w:val="32"/>
          <w:shd w:val="clear" w:fill="FFFFFF"/>
          <w:lang w:val="en-US" w:eastAsia="zh-CN"/>
        </w:rPr>
      </w:pPr>
      <w:r>
        <w:rPr>
          <w:rStyle w:val="15"/>
          <w:rFonts w:hint="default" w:ascii="Times New Roman" w:hAnsi="Times New Roman" w:eastAsia="黑体" w:cs="Times New Roman"/>
          <w:b w:val="0"/>
          <w:sz w:val="32"/>
          <w:szCs w:val="32"/>
          <w:shd w:val="clear" w:fill="FFFFFF"/>
          <w:lang w:val="en-US" w:eastAsia="zh-CN"/>
        </w:rPr>
        <w:t>十三、关于2020年度预算绩效情况的说明</w:t>
      </w:r>
    </w:p>
    <w:p>
      <w:pPr>
        <w:pStyle w:val="14"/>
        <w:keepNext w:val="0"/>
        <w:keepLines w:val="0"/>
        <w:pageBreakBefore w:val="0"/>
        <w:widowControl w:val="0"/>
        <w:suppressLineNumbers w:val="0"/>
        <w:kinsoku/>
        <w:wordWrap/>
        <w:overflowPunct w:val="0"/>
        <w:topLinePunct w:val="0"/>
        <w:bidi w:val="0"/>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我中心落实《关于开展2020年度部门绩效自评工作的通知》（湘财绩〔202</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号）文件精神，开展了20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lang w:eastAsia="zh-CN"/>
        </w:rPr>
        <w:t>年度部门整体支出绩效自评工作，以部门职责与预算资金管理为主线，总结部门职能履行情况以及业务开展情况，从经济效益、社会效益、生态效益、可持续影响能力和服务对象满意度等方面进行了综合评价，并对照绩效目标评分。自评报告已按照财政绩效部门要求于单位门户网站公开。</w:t>
      </w:r>
    </w:p>
    <w:p>
      <w:pPr>
        <w:rPr>
          <w:rFonts w:hint="default" w:ascii="Times New Roman" w:hAnsi="Times New Roman" w:cs="Times New Roman"/>
          <w:b/>
          <w:sz w:val="32"/>
          <w:szCs w:val="32"/>
        </w:rPr>
      </w:pPr>
      <w:r>
        <w:rPr>
          <w:rFonts w:hint="default" w:ascii="Times New Roman" w:hAnsi="Times New Roman" w:cs="Times New Roman"/>
          <w:b/>
          <w:sz w:val="32"/>
          <w:szCs w:val="32"/>
        </w:rPr>
        <w:br w:type="page"/>
      </w:r>
    </w:p>
    <w:p>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p>
    <w:p>
      <w:pPr>
        <w:pStyle w:val="14"/>
        <w:keepNext w:val="0"/>
        <w:keepLines w:val="0"/>
        <w:widowControl w:val="0"/>
        <w:numPr>
          <w:ilvl w:val="0"/>
          <w:numId w:val="2"/>
        </w:numPr>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lang w:val="en-US" w:eastAsia="zh-CN"/>
        </w:rPr>
        <w:t xml:space="preserve">   </w:t>
      </w:r>
      <w:r>
        <w:rPr>
          <w:rFonts w:hint="default" w:ascii="Times New Roman" w:hAnsi="Times New Roman" w:eastAsia="方正小标宋简体" w:cs="Times New Roman"/>
          <w:kern w:val="0"/>
          <w:sz w:val="42"/>
          <w:szCs w:val="42"/>
          <w:shd w:val="clear" w:fill="FFFFFF"/>
        </w:rPr>
        <w:t>名词解释</w:t>
      </w:r>
    </w:p>
    <w:p>
      <w:pPr>
        <w:pStyle w:val="14"/>
        <w:keepNext w:val="0"/>
        <w:keepLines w:val="0"/>
        <w:widowControl w:val="0"/>
        <w:numPr>
          <w:ilvl w:val="0"/>
          <w:numId w:val="0"/>
        </w:numPr>
        <w:suppressLineNumbers w:val="0"/>
        <w:overflowPunct w:val="0"/>
        <w:spacing w:before="0" w:beforeAutospacing="0" w:after="0" w:afterAutospacing="0" w:line="596" w:lineRule="exact"/>
        <w:ind w:right="0" w:rightChars="0"/>
        <w:jc w:val="both"/>
        <w:rPr>
          <w:rFonts w:hint="default" w:ascii="Times New Roman" w:hAnsi="Times New Roman" w:eastAsia="仿宋_GB2312" w:cs="Times New Roman"/>
          <w:kern w:val="0"/>
          <w:sz w:val="32"/>
          <w:szCs w:val="32"/>
          <w:shd w:val="clear" w:fill="FFFFFF"/>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一、财政拨款收入：</w:t>
      </w:r>
      <w:r>
        <w:rPr>
          <w:rFonts w:hint="default" w:ascii="Times New Roman" w:hAnsi="Times New Roman" w:eastAsia="仿宋_GB2312" w:cs="Times New Roman"/>
          <w:kern w:val="0"/>
          <w:sz w:val="32"/>
          <w:szCs w:val="32"/>
        </w:rPr>
        <w:t>指省财政厅当年拨付的资金。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二、其他收入：</w:t>
      </w:r>
      <w:r>
        <w:rPr>
          <w:rFonts w:hint="default" w:ascii="Times New Roman" w:hAnsi="Times New Roman" w:eastAsia="仿宋_GB2312" w:cs="Times New Roman"/>
          <w:kern w:val="0"/>
          <w:sz w:val="32"/>
          <w:szCs w:val="32"/>
        </w:rPr>
        <w:t>指除“财政拨款收入”、“事业收入”、“经营收入”等以外的收入，主要是按规定收缴的银行存款利息收入。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三、年初结转和结余：</w:t>
      </w:r>
      <w:r>
        <w:rPr>
          <w:rFonts w:hint="default" w:ascii="Times New Roman" w:hAnsi="Times New Roman" w:eastAsia="仿宋_GB2312" w:cs="Times New Roman"/>
          <w:kern w:val="0"/>
          <w:sz w:val="32"/>
          <w:szCs w:val="32"/>
        </w:rPr>
        <w:t>指上年度尚未完成、结转到本年按有关规定继续使用的资金。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四、年末结转和结余：</w:t>
      </w:r>
      <w:r>
        <w:rPr>
          <w:rFonts w:hint="default" w:ascii="Times New Roman" w:hAnsi="Times New Roman" w:eastAsia="仿宋_GB2312" w:cs="Times New Roman"/>
          <w:kern w:val="0"/>
          <w:sz w:val="32"/>
          <w:szCs w:val="32"/>
        </w:rPr>
        <w:t>指本年度或以前年度预算安排、因客观条件发生变化无法按原计划实施，需延迟到以后年度按有关规定继续使用的资金。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五、基本支出：</w:t>
      </w:r>
      <w:r>
        <w:rPr>
          <w:rFonts w:hint="default" w:ascii="Times New Roman" w:hAnsi="Times New Roman" w:eastAsia="仿宋_GB2312" w:cs="Times New Roman"/>
          <w:kern w:val="0"/>
          <w:sz w:val="32"/>
          <w:szCs w:val="32"/>
        </w:rPr>
        <w:t>指保障机关正常运转、完成日常工作任务而编制的年度基本支出计划，包括人员经费和公用经费两部分。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六、项目支出：</w:t>
      </w:r>
      <w:r>
        <w:rPr>
          <w:rFonts w:hint="default" w:ascii="Times New Roman" w:hAnsi="Times New Roman" w:eastAsia="仿宋_GB2312" w:cs="Times New Roman"/>
          <w:kern w:val="0"/>
          <w:sz w:val="32"/>
          <w:szCs w:val="32"/>
        </w:rPr>
        <w:t>指机关为完成其特定的项目工作任务，在基本支出预算之外编制的年度项目支出计划。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15"/>
          <w:rFonts w:hint="default" w:ascii="Times New Roman" w:hAnsi="Times New Roman" w:eastAsia="黑体" w:cs="Times New Roman"/>
          <w:b w:val="0"/>
          <w:kern w:val="0"/>
          <w:sz w:val="32"/>
          <w:szCs w:val="32"/>
          <w:shd w:val="clear" w:fill="FFFFFF"/>
          <w:lang w:val="en-US" w:eastAsia="zh-CN" w:bidi="ar"/>
        </w:rPr>
        <w:t>七、机关运行经费：</w:t>
      </w:r>
      <w:r>
        <w:rPr>
          <w:rFonts w:hint="default" w:ascii="Times New Roman" w:hAnsi="Times New Roman" w:eastAsia="仿宋_GB2312" w:cs="Times New Roman"/>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rPr>
      </w:pPr>
      <w:r>
        <w:rPr>
          <w:rStyle w:val="15"/>
          <w:rFonts w:hint="default" w:ascii="Times New Roman" w:hAnsi="Times New Roman" w:eastAsia="黑体" w:cs="Times New Roman"/>
          <w:b w:val="0"/>
          <w:kern w:val="0"/>
          <w:sz w:val="32"/>
          <w:szCs w:val="32"/>
          <w:shd w:val="clear" w:fill="FFFFFF"/>
          <w:lang w:val="en-US" w:eastAsia="zh-CN" w:bidi="ar"/>
        </w:rPr>
        <w:t>八、“三公”经费：</w:t>
      </w:r>
      <w:r>
        <w:rPr>
          <w:rFonts w:hint="default" w:ascii="Times New Roman" w:hAnsi="Times New Roman" w:eastAsia="仿宋_GB2312" w:cs="Times New Roman"/>
          <w:kern w:val="0"/>
          <w:sz w:val="32"/>
          <w:szCs w:val="32"/>
        </w:rPr>
        <w:t>包括因公出国（境）费、公务接待费和公务用车购置及运行费。因公出国（境）费，指机关工作人员公务出国（境）的住宿费、旅费、伙食补助费、杂费、培训费等支出。公务接待费，指机关按规定开支的各类公务接待（含外宾接待）支出。公务用车购置及运行费，指机关公务用车购置费及租用费、燃料费、维修费、过路过桥费、保险费、安全奖励费用等支出。</w:t>
      </w:r>
    </w:p>
    <w:p>
      <w:pPr>
        <w:pStyle w:val="11"/>
        <w:jc w:val="center"/>
        <w:rPr>
          <w:rFonts w:hint="default" w:ascii="Times New Roman" w:hAnsi="Times New Roman" w:cs="Times New Roman"/>
          <w:sz w:val="72"/>
          <w:szCs w:val="72"/>
        </w:rPr>
      </w:pPr>
    </w:p>
    <w:p>
      <w:pPr>
        <w:widowControl/>
        <w:jc w:val="left"/>
        <w:rPr>
          <w:rFonts w:hint="default" w:ascii="Times New Roman" w:hAnsi="Times New Roman" w:eastAsia="黑体" w:cs="Times New Roman"/>
          <w:color w:val="000000"/>
          <w:kern w:val="0"/>
          <w:sz w:val="70"/>
          <w:szCs w:val="70"/>
        </w:rPr>
      </w:pPr>
      <w:r>
        <w:rPr>
          <w:rFonts w:hint="default" w:ascii="Times New Roman" w:hAnsi="Times New Roman" w:eastAsia="黑体" w:cs="Times New Roman"/>
          <w:color w:val="000000"/>
          <w:kern w:val="0"/>
          <w:sz w:val="70"/>
          <w:szCs w:val="70"/>
        </w:rPr>
        <w:br w:type="page"/>
      </w:r>
    </w:p>
    <w:p>
      <w:pPr>
        <w:pStyle w:val="14"/>
        <w:keepNext w:val="0"/>
        <w:keepLines w:val="0"/>
        <w:widowControl w:val="0"/>
        <w:suppressLineNumbers w:val="0"/>
        <w:overflowPunct w:val="0"/>
        <w:spacing w:before="0" w:beforeAutospacing="0" w:after="0" w:afterAutospacing="0" w:line="596" w:lineRule="exact"/>
        <w:ind w:left="0" w:right="0"/>
        <w:jc w:val="center"/>
        <w:rPr>
          <w:rFonts w:hint="default" w:ascii="Times New Roman" w:hAnsi="Times New Roman" w:eastAsia="方正小标宋简体" w:cs="Times New Roman"/>
          <w:kern w:val="0"/>
          <w:sz w:val="42"/>
          <w:szCs w:val="42"/>
          <w:shd w:val="clear" w:fill="FFFFFF"/>
        </w:rPr>
      </w:pPr>
    </w:p>
    <w:p>
      <w:pPr>
        <w:pStyle w:val="14"/>
        <w:keepNext w:val="0"/>
        <w:keepLines w:val="0"/>
        <w:widowControl w:val="0"/>
        <w:numPr>
          <w:ilvl w:val="0"/>
          <w:numId w:val="2"/>
        </w:numPr>
        <w:suppressLineNumbers w:val="0"/>
        <w:overflowPunct w:val="0"/>
        <w:spacing w:before="0" w:beforeAutospacing="0" w:after="0" w:afterAutospacing="0" w:line="596" w:lineRule="exact"/>
        <w:ind w:left="0" w:leftChars="0" w:right="0" w:firstLine="0" w:firstLineChars="0"/>
        <w:jc w:val="center"/>
        <w:rPr>
          <w:rFonts w:hint="default" w:ascii="Times New Roman" w:hAnsi="Times New Roman" w:eastAsia="方正小标宋简体" w:cs="Times New Roman"/>
          <w:kern w:val="0"/>
          <w:sz w:val="42"/>
          <w:szCs w:val="42"/>
          <w:shd w:val="clear" w:fill="FFFFFF"/>
        </w:rPr>
      </w:pPr>
      <w:r>
        <w:rPr>
          <w:rFonts w:hint="default" w:ascii="Times New Roman" w:hAnsi="Times New Roman" w:eastAsia="方正小标宋简体" w:cs="Times New Roman"/>
          <w:kern w:val="0"/>
          <w:sz w:val="42"/>
          <w:szCs w:val="42"/>
          <w:shd w:val="clear" w:fill="FFFFFF"/>
        </w:rPr>
        <w:t xml:space="preserve">   附件</w:t>
      </w:r>
    </w:p>
    <w:p>
      <w:pPr>
        <w:pStyle w:val="14"/>
        <w:keepNext w:val="0"/>
        <w:keepLines w:val="0"/>
        <w:widowControl w:val="0"/>
        <w:numPr>
          <w:ilvl w:val="0"/>
          <w:numId w:val="0"/>
        </w:numPr>
        <w:suppressLineNumbers w:val="0"/>
        <w:overflowPunct w:val="0"/>
        <w:spacing w:before="0" w:beforeAutospacing="0" w:after="0" w:afterAutospacing="0" w:line="596" w:lineRule="exact"/>
        <w:ind w:leftChars="0" w:right="0" w:rightChars="0"/>
        <w:jc w:val="both"/>
        <w:rPr>
          <w:rFonts w:hint="default" w:ascii="Times New Roman" w:hAnsi="Times New Roman" w:eastAsia="方正小标宋简体" w:cs="Times New Roman"/>
          <w:kern w:val="0"/>
          <w:sz w:val="42"/>
          <w:szCs w:val="42"/>
          <w:shd w:val="clear" w:fill="FFFFFF"/>
        </w:rPr>
      </w:pPr>
    </w:p>
    <w:p>
      <w:pPr>
        <w:spacing w:line="600" w:lineRule="exact"/>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rPr>
          <w:rFonts w:hint="default" w:ascii="Times New Roman" w:hAnsi="Times New Roman" w:cs="Times New Roman"/>
        </w:rPr>
      </w:pPr>
    </w:p>
    <w:p>
      <w:pPr>
        <w:ind w:right="325" w:rightChars="155" w:firstLine="416" w:firstLineChars="8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default" w:ascii="Times New Roman" w:hAnsi="Times New Roman" w:eastAsia="方正小标宋_GBK" w:cs="Times New Roman"/>
          <w:sz w:val="52"/>
          <w:szCs w:val="52"/>
          <w:lang w:val="en-US" w:eastAsia="zh-CN"/>
        </w:rPr>
        <w:t>0</w:t>
      </w:r>
      <w:r>
        <w:rPr>
          <w:rFonts w:hint="default" w:ascii="Times New Roman" w:hAnsi="Times New Roman" w:eastAsia="方正小标宋_GBK" w:cs="Times New Roman"/>
          <w:sz w:val="52"/>
          <w:szCs w:val="52"/>
        </w:rPr>
        <w:t>年度湖南省长株潭两型社会建设服务中心部门整体支出</w:t>
      </w: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w:t>
      </w:r>
      <w:r>
        <w:rPr>
          <w:rFonts w:hint="default" w:ascii="Times New Roman" w:hAnsi="Times New Roman" w:eastAsia="方正小标宋_GBK" w:cs="Times New Roman"/>
          <w:sz w:val="52"/>
          <w:szCs w:val="52"/>
          <w:lang w:eastAsia="zh-CN"/>
        </w:rPr>
        <w:t>评价</w:t>
      </w:r>
      <w:r>
        <w:rPr>
          <w:rFonts w:hint="default" w:ascii="Times New Roman" w:hAnsi="Times New Roman" w:eastAsia="方正小标宋_GBK" w:cs="Times New Roman"/>
          <w:sz w:val="52"/>
          <w:szCs w:val="52"/>
        </w:rPr>
        <w:t>报告</w:t>
      </w:r>
    </w:p>
    <w:p>
      <w:pPr>
        <w:jc w:val="center"/>
        <w:rPr>
          <w:rFonts w:hint="default" w:ascii="Times New Roman" w:hAnsi="Times New Roman" w:eastAsia="方正小标宋_GBK" w:cs="Times New Roman"/>
          <w:b/>
          <w:bCs/>
          <w:sz w:val="52"/>
          <w:szCs w:val="5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楷体_GB2312" w:cs="Times New Roman"/>
          <w:b/>
          <w:bCs/>
          <w:sz w:val="32"/>
          <w:szCs w:val="32"/>
        </w:rPr>
      </w:pPr>
    </w:p>
    <w:p>
      <w:pPr>
        <w:jc w:val="center"/>
        <w:rPr>
          <w:rFonts w:hint="default" w:ascii="Times New Roman" w:hAnsi="Times New Roman" w:eastAsia="黑体" w:cs="Times New Roman"/>
          <w:sz w:val="32"/>
          <w:szCs w:val="32"/>
        </w:rPr>
      </w:pPr>
    </w:p>
    <w:p>
      <w:pPr>
        <w:pStyle w:val="2"/>
        <w:ind w:firstLine="31680"/>
        <w:rPr>
          <w:rFonts w:hint="default" w:ascii="Times New Roman" w:hAnsi="Times New Roman" w:cs="Times New Roman"/>
        </w:rPr>
      </w:pPr>
    </w:p>
    <w:p>
      <w:pP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单位名称：湖南省长株潭两型社会建设服务中心</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2021年5月27日</w:t>
      </w:r>
    </w:p>
    <w:p>
      <w:pP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br w:type="page"/>
      </w:r>
    </w:p>
    <w:p>
      <w:pPr>
        <w:spacing w:line="560" w:lineRule="exact"/>
        <w:jc w:val="center"/>
        <w:rPr>
          <w:rFonts w:hint="default" w:ascii="Times New Roman" w:hAnsi="Times New Roman" w:eastAsia="方正大标宋简体" w:cs="Times New Roman"/>
          <w:w w:val="98"/>
          <w:sz w:val="44"/>
          <w:szCs w:val="44"/>
        </w:rPr>
      </w:pPr>
    </w:p>
    <w:p>
      <w:pPr>
        <w:spacing w:line="560" w:lineRule="exact"/>
        <w:jc w:val="center"/>
        <w:rPr>
          <w:rFonts w:hint="default" w:ascii="Times New Roman" w:hAnsi="Times New Roman" w:eastAsia="方正大标宋简体" w:cs="Times New Roman"/>
          <w:w w:val="98"/>
          <w:sz w:val="44"/>
          <w:szCs w:val="44"/>
        </w:rPr>
      </w:pPr>
      <w:r>
        <w:rPr>
          <w:rFonts w:hint="default" w:ascii="Times New Roman" w:hAnsi="Times New Roman" w:eastAsia="方正大标宋简体" w:cs="Times New Roman"/>
          <w:w w:val="98"/>
          <w:sz w:val="44"/>
          <w:szCs w:val="44"/>
        </w:rPr>
        <w:t>湖南省长株潭两型社会建设服务中心</w:t>
      </w:r>
    </w:p>
    <w:p>
      <w:pPr>
        <w:spacing w:line="560" w:lineRule="exact"/>
        <w:jc w:val="center"/>
        <w:rPr>
          <w:rFonts w:hint="default" w:ascii="Times New Roman" w:hAnsi="Times New Roman" w:eastAsia="方正大标宋简体" w:cs="Times New Roman"/>
          <w:w w:val="98"/>
          <w:sz w:val="44"/>
          <w:szCs w:val="44"/>
        </w:rPr>
      </w:pPr>
      <w:r>
        <w:rPr>
          <w:rFonts w:hint="default" w:ascii="Times New Roman" w:hAnsi="Times New Roman" w:eastAsia="方正大标宋简体" w:cs="Times New Roman"/>
          <w:w w:val="98"/>
          <w:sz w:val="44"/>
          <w:szCs w:val="44"/>
        </w:rPr>
        <w:t>20</w:t>
      </w:r>
      <w:r>
        <w:rPr>
          <w:rFonts w:hint="default" w:ascii="Times New Roman" w:hAnsi="Times New Roman" w:eastAsia="方正大标宋简体" w:cs="Times New Roman"/>
          <w:w w:val="98"/>
          <w:sz w:val="44"/>
          <w:szCs w:val="44"/>
          <w:lang w:val="en-US" w:eastAsia="zh-CN"/>
        </w:rPr>
        <w:t>20</w:t>
      </w:r>
      <w:r>
        <w:rPr>
          <w:rFonts w:hint="default" w:ascii="Times New Roman" w:hAnsi="Times New Roman" w:eastAsia="方正大标宋简体" w:cs="Times New Roman"/>
          <w:w w:val="98"/>
          <w:sz w:val="44"/>
          <w:szCs w:val="44"/>
        </w:rPr>
        <w:t>年度部门整体支出绩效评价报告</w:t>
      </w:r>
    </w:p>
    <w:p>
      <w:pPr>
        <w:spacing w:line="560" w:lineRule="exact"/>
        <w:rPr>
          <w:rFonts w:hint="default" w:ascii="Times New Roman" w:hAnsi="Times New Roman" w:eastAsia="仿宋" w:cs="Times New Roman"/>
          <w:w w:val="98"/>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党政机关厉行节约反对浪费条例》，中共中央、国务院《关于全面实施预算绩效管理的意见》（中发〔2018〕34号），中共湖南省委办公厅、湖南省人民政府办公厅《关于全面实施预算绩效管理的实施意见》（湘办发〔2019〕10号）和省财政厅《关于印发&lt;湖南省预算绩效目标管理办法&gt;的通知》（湘财绩〔2020〕6号）《关于开展2020年度部门绩效自评工作的通知》（湘财绩〔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号）要求，现将</w:t>
      </w:r>
      <w:r>
        <w:rPr>
          <w:rFonts w:hint="default" w:ascii="Times New Roman" w:hAnsi="Times New Roman" w:eastAsia="仿宋_GB2312" w:cs="Times New Roman"/>
          <w:sz w:val="32"/>
          <w:szCs w:val="32"/>
          <w:lang w:eastAsia="zh-CN"/>
        </w:rPr>
        <w:t>我中心</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年度部门整体支出绩效自评情况及评价结果报告如下：</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napToGrid w:val="0"/>
        <w:spacing w:line="596"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（一）部门职责。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湖南省长株潭两型社会建设服务中心为省政府专门协调和服务于长株潭城市群两型社会试验区改革建设工作的机构，并加挂有湖南省两型社会研究院牌子。</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1.主要职能。</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(1)承担长株潭两型社会建设试验区综合配套改革的相关事务性、服务性工作。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(2)承担加快长株潭城市群发展、推进长株潭一体化的相关事务性、服务性工作。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(3)承担长株潭城市群区域规划编制、实施和监督管理的相关事务性、服务性工作。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(4)承担长株潭城市群生态绿心地区保护的相关事务性、服务性工作。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(5)承担长株潭城市群重大建设项目和利用外资贷款项目的相关事务性、服务性工作。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(6)承担长株潭城市群两型社会系列创建活动。开展两型认证，建立两型标准体系和技术规范体系，推动两型技术、产品和模式等的开发、推广。</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(7)开展长株潭城市群改革发展和两型社会建设重大问题的决策咨询和理论研究。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(8)承担对外合作交流和宣传推介，促进社会参与，开展教育培训。</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(9)承担省发展和改革委员会交办的其他工作。</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2.机构情况。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长株潭两型社会建设服务中心内设综合部、规划服务部、改革服务部、外贷项目部、宣教推广部、机关党委6个职能部室和1个下属事业单位。下属全额拨款事业单位湖南省两型社会规划展示中心财务尚未独立核算。</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3.人员情况。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本部门共有人员编制44名，其中行政编制41名，事业编制3名。年末在职实有人员37人，其中行政编人员34人，事业编人员3人；由养老保险基金发放养老金的退休人员2人；聘用制人员20人。</w:t>
      </w:r>
    </w:p>
    <w:p>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（二）部门整体支出情况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部门财政拨款收入决算数为2,610.35万元，上年财政拨款结转和结余638.43万元。2020年财政拨款支出决算数为2,163.41万元，年末财政拨款结转和结余446.93万元，预算执行率为82.88%，其中基本支出1,113.69万元，占总支出的51.48%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人员经费976.31万元，公用经费137.38万元；项目支出1,049.72万元，占总支出的48.52%。支出较2019年减少1,071.91万元，下降33.13%，减少幅度较大，主要是上年度支付了下属单位展示中心提质改造工程尾款，资金规模较大。</w:t>
      </w:r>
    </w:p>
    <w:p>
      <w:pPr>
        <w:widowControl/>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（一）基本支出情况</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1.预算安排情况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2020年初基本支出预算安排1,016.27万元，包括人员经费943.35万元，公用经费72.92万元，较2019年分别减少93.65万元和减少72.69万元，主要是上年度安排了机关临聘人员解聘补偿款。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追加的预算为166.32万元，其中：2019年省政府绩效考核奖金48.72万元，清算2019年综治奖和预发2020年省直部门绩效奖和综治奖68.10万元，补回人员经费预算49.50万元；本年度追减的预算为人员调出核减预算30.80万元；上年基本支出结转结余76.86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本年基本支出预算调整数为1,228.65万元，包括人员经费1,080.27万元，公用经费148.38万元；</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2.预算执行情况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2020年基本支出决算数为1,113.69万元，占总支出的51.48%，较2019年减少110.69万元，下降9.04%。</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本年度基本支出决算数按支出性质分类包括:人员经费976.31万元，公用经费137.38万元；按支出经济分类包括：工资福利支出966.35万元，商品和服务支出137.38万元，对个人和家庭的补助9.96万元。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2020年基本支出预算执行率为90.64%，其中人员经费预算执行率为90.38%，公用经费预算执行率为92.59%。基本支出预算执行情况较好。</w:t>
      </w:r>
    </w:p>
    <w:p>
      <w:pPr>
        <w:widowControl/>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（二）项目支出情况</w:t>
      </w:r>
    </w:p>
    <w:p>
      <w:pPr>
        <w:spacing w:line="560" w:lineRule="exact"/>
        <w:ind w:firstLine="626" w:firstLineChars="200"/>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1.预算安排情况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2020年除省级专项资金以外的项目支出预算调整数为547.93万元，包括：业务工作经费252.63万元、运行维护经费152.53万元、国外贷款项目补助120.00万元、省社科基金课题经费3.20万元及其他项目19.57万元。</w:t>
      </w:r>
    </w:p>
    <w:p>
      <w:pPr>
        <w:spacing w:line="560" w:lineRule="exact"/>
        <w:ind w:firstLine="626" w:firstLineChars="200"/>
        <w:rPr>
          <w:rFonts w:hint="default" w:ascii="Times New Roman" w:hAnsi="Times New Roman" w:eastAsia="仿宋_GB2312" w:cs="Times New Roman"/>
          <w:w w:val="98"/>
          <w:sz w:val="32"/>
          <w:szCs w:val="32"/>
          <w:highlight w:val="yellow"/>
        </w:rPr>
      </w:pPr>
      <w:r>
        <w:rPr>
          <w:rFonts w:hint="default" w:ascii="Times New Roman" w:hAnsi="Times New Roman" w:eastAsia="仿宋_GB2312" w:cs="Times New Roman"/>
          <w:b/>
          <w:bCs/>
          <w:w w:val="98"/>
          <w:sz w:val="32"/>
          <w:szCs w:val="32"/>
        </w:rPr>
        <w:t>2.预算执行情况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除省级专项资金以外的项目支出决算数为437.98万元，预算执行率79.93%。包括：业务工作经费169.45万元，预算执行率67.07%；运行维护经费141.26万元，预算执行率92.61%；国外贷款项目补助107.73万元，预算执行率89.78%；其他项目19.54万元，预算执行率99.85%。项目支出预算执行情况整体良好，个别项目预算执行情况欠佳。</w:t>
      </w:r>
    </w:p>
    <w:p>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2020年度本部门无政府性基金预算支出。</w:t>
      </w:r>
    </w:p>
    <w:p>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2020年度本部门无国有资本经营预算支出。</w:t>
      </w:r>
    </w:p>
    <w:p>
      <w:pPr>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2020年度本部门无社会保险基金预算支出。</w:t>
      </w:r>
    </w:p>
    <w:p>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（一）纵深推进长株潭试验区改革。</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合省发改委认真落实国家发改委关于试验区年度工作安排。认真贯彻落实省委、省政府领导指示精神，与中国经济体制改革研究会合作，在国家发改委体改司的精心指导下，对试验区开展第三方总结评估，研究试验区下步战略走向，组织各市和省直有关部门做好自评工作，已形成评估总结报告和下步走向研究报告（送审稿）。完成了2020年两型示范创建、清洁低碳技术推广项目申报工作。评选了2019年度湖南省两型工业企业认证46家。完成了第九批政府采购两型产品评审等工作，313个产品入围。完成第十批180家企业申报的584个政府采购两型产品的专家评审。抓好了两型宣传，中央、省委主流媒体分别刊发宣传报道30余、40余篇，长株潭规划展示中心展示效果全面升级，2020年接待总人数超20万人次，成为对外展示的重要窗口和交流平台。</w:t>
      </w:r>
    </w:p>
    <w:p>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积极推动长株潭一体化建设。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迅速落实了时任省委书记杜家毫同志就张萍同志《关于发展现代化长株潭大都市区圈的建议报告》作出的重要批示。完成了“长株潭大都市圈发展战略研究”和“长株潭一体化公共服务平台建设专题研究”，参与了长株潭区域一体化发展规划纲要和长株潭人才协同发展研究的顶层设计工作。</w:t>
      </w:r>
      <w:r>
        <w:rPr>
          <w:rFonts w:hint="default" w:ascii="Times New Roman" w:hAnsi="Times New Roman" w:eastAsia="仿宋_GB2312" w:cs="Times New Roman"/>
          <w:color w:val="000000"/>
          <w:sz w:val="32"/>
          <w:szCs w:val="32"/>
        </w:rPr>
        <w:t>组织长株潭三市，赴雄安新区、浙江嘉兴（长三角生态绿色一体化先行示范区）、武汉城市群、重庆等先进地区考察学习一体化建设发展经验，特别是公共服务平台建设方面的经验。支持和服务三市联席会议推进《长株潭都市区总体规划》和《长株潭都市区轨道交通线网规划》编制等工作。</w:t>
      </w:r>
      <w:r>
        <w:rPr>
          <w:rFonts w:hint="default" w:ascii="Times New Roman" w:hAnsi="Times New Roman" w:eastAsia="仿宋_GB2312" w:cs="Times New Roman"/>
          <w:sz w:val="32"/>
          <w:szCs w:val="32"/>
        </w:rPr>
        <w:t>安排两型专项资金1866万元，用于2020年一体化公共服务推进专项工作。制定印发《长株潭一体化公共服务推进专项资金使用指导意见》，进一步指导和规范三市的项目安排和资金使用。</w:t>
      </w:r>
    </w:p>
    <w:p>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主动开展长株潭生态绿心保护。</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开展了“天眼系统”监测，完成了前三季度土地使用变化情况监测，</w:t>
      </w:r>
      <w:r>
        <w:rPr>
          <w:rStyle w:val="16"/>
          <w:rFonts w:hint="default" w:ascii="Times New Roman" w:hAnsi="Times New Roman" w:eastAsia="仿宋_GB2312" w:cs="Times New Roman"/>
          <w:color w:val="auto"/>
          <w:sz w:val="32"/>
          <w:szCs w:val="32"/>
        </w:rPr>
        <w:t>发现疑似违法违规用地共195宗，总面积2559.08亩</w:t>
      </w:r>
      <w:r>
        <w:rPr>
          <w:rFonts w:hint="default" w:ascii="Times New Roman" w:hAnsi="Times New Roman" w:eastAsia="仿宋_GB2312" w:cs="Times New Roman"/>
          <w:sz w:val="32"/>
          <w:szCs w:val="32"/>
        </w:rPr>
        <w:t>。所有违法违规图斑已经下发至长株潭三市人民政府，并要求按照《绿心条例》规定，限期3个月内对违法违规行为（项目）进行处理并组织整改，有效地制止绿心地区违规动用土地和毁林等行为。</w:t>
      </w:r>
      <w:r>
        <w:rPr>
          <w:rStyle w:val="16"/>
          <w:rFonts w:hint="default" w:ascii="Times New Roman" w:hAnsi="Times New Roman" w:eastAsia="仿宋_GB2312" w:cs="Times New Roman"/>
          <w:color w:val="auto"/>
          <w:sz w:val="32"/>
          <w:szCs w:val="32"/>
        </w:rPr>
        <w:t>联合</w:t>
      </w:r>
      <w:r>
        <w:rPr>
          <w:rFonts w:hint="default" w:ascii="Times New Roman" w:hAnsi="Times New Roman" w:eastAsia="仿宋_GB2312" w:cs="Times New Roman"/>
          <w:sz w:val="32"/>
          <w:szCs w:val="32"/>
        </w:rPr>
        <w:t>省第二测绘院，运用遥感和移动GIS技术，开发了绿心监测云服务平台，该平台已在2020年第三季度监测管理中得到应用。根据省人大常委会莲玉主任要求，就条例和总规修改后的保护工作，以及省人大开展执法检查指出45个问题整改情况，进行了专题调研。开展了绿心保护标志设置及智能化管理工作，完成了保护标志工作方案和技术方案编制。配合开展了项目准入工作，参与修改《生态绿心建设项目准入管理暂行办法》，多次现场查看准入项目，现已正式对外发布，2021年3月起实施。开展绿心地区生态补偿考核方案专题研究和提升绿心品质、发挥生态功能对策研究等专题研究，已形成了多项研究成果</w:t>
      </w:r>
      <w:r>
        <w:rPr>
          <w:rFonts w:hint="default" w:ascii="Times New Roman" w:hAnsi="Times New Roman" w:eastAsia="黑体" w:cs="Times New Roman"/>
          <w:sz w:val="32"/>
          <w:szCs w:val="32"/>
        </w:rPr>
        <w:t>。</w:t>
      </w:r>
    </w:p>
    <w:p>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切实加强资金管理和外贷项目推进。</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了2018两型专项资金绩效整改，开展了2019年绩效评价，组织开展了2020年资金计划、分配等工作。研究制定了2021年省两型专项资金支出方向。做好新开行贷款绿心区域生态综合治理项目相关工作，推进了长株潭城市群生态建设外贷项目库建设，组织了欧投行贷款、亚行技术援助项目、世行贷款等外贷项目申报工作。</w:t>
      </w:r>
    </w:p>
    <w:p>
      <w:pPr>
        <w:numPr>
          <w:ilvl w:val="0"/>
          <w:numId w:val="5"/>
        </w:numPr>
        <w:spacing w:line="60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全面加强机关党建和队伍建设。</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加强机关党的建设，党委中心组开展12次理论学习。召开了中心政治建设大会，印发了《关于以政治建设为统领，全面推进“团结和谐、积极向上”机关建设的意见》。顺利完成省委组织部政治建设考察，正加紧开展反馈意见整改工作。完成中心机关党委、机关纪委、党支部、机关工会、团委、妇委会成立选举工作。抓好机关文明创建工作。组织开展学习强国在线学习活动，中心在省直机关学习强国学习组排名名列前茅。全面完成2019年巡视反馈问题整改工作。按要求做好建议提案办理答复工作。结合贯彻落实省委经济工作会议精神，开展大调研、大讨论活动，中心党委成员率队深入长株潭等地开展调研，全体干部进行集中研讨交流。选派干部参加了长沙市工农桥社区一线疫情防控工作。进一步加强驻村帮扶、脱贫攻坚常态化督查工作力量，中心党委专程到新化县紫鹊界村召开现场办公会，紫鹊界村整村脱贫成果得到巩固，脱贫攻坚常态化督查炎陵县、桂阳县持续加强。</w:t>
      </w:r>
    </w:p>
    <w:p>
      <w:pPr>
        <w:widowControl/>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（一）预算执行率有待提高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部门整体支出预算执行率为82.88%，除省级专项资金以外的项目支出预算执行率79.93%。本年度部门预算执行情况整体较好，整体支出预算执行率较上年有所提高，但个别项目支出预算执行率欠佳，并且存在年中部门预算执行进度滞后的问题，主要是项目开展周期普遍较长，跨年或集中在年末结算合同款项，影响部门整体预算执行。</w:t>
      </w:r>
    </w:p>
    <w:p>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（二）年初预算数与全年预算数差异较大</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数与全年预算数差异较大，尤其是运行维护经费全年预算数比年初预算数降低了19.73%。资金规模无法保障将影响项目正常开展与绩效目标的完成情况，会在一定程度上导致预算支出执行偏离绩效目标。运行维护经费全年预算数比年初预算数降低的主要原因是本部门贯彻落实中央和省委省政府“政府带头过紧日子”，大力压减一般性支出。</w:t>
      </w:r>
    </w:p>
    <w:p>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（一）增强预算资金配置精准性</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本部门预算工作的重点在于增强预算资金配置精准性，强化预算执行进度管理，进一步细化预算，提高预算的准确性和科学性，优化年初预算，充分调研和分析本部门的资金使用情况，足额编制基本支出预算，科学优化项目支出预算；推动年中预算执行，强化资金预算约束力，下大力度督促资金的使用进度，促进资金落地见效。</w:t>
      </w:r>
    </w:p>
    <w:p>
      <w:pPr>
        <w:spacing w:line="600" w:lineRule="exact"/>
        <w:ind w:left="420"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（二）深度调整支出结构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按照“有保有压”原则深度调整支出结构，增强项目预算资金配置合理性、精准性，清理结转结余，盘活存量资金，防止出现资金的沉淀，定期分析和公布预算执行情况，加强绩效自评结果应用。</w:t>
      </w:r>
    </w:p>
    <w:p>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整体支出绩效自评结果将作为以后年度项目立项和经费支持的重要依据，对于绩效自评结果与实际情况出入较大或绩效较差的项目，下一年度项目预算将从紧从严安排资金。本部门将按规定内容在规定时限内公开部门整体支出绩效自评报告，接受社会监督。</w:t>
      </w:r>
    </w:p>
    <w:p>
      <w:pPr>
        <w:widowControl/>
        <w:numPr>
          <w:ilvl w:val="0"/>
          <w:numId w:val="6"/>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rPr>
          <w:rFonts w:hint="default" w:ascii="Times New Roman" w:hAnsi="Times New Roman" w:cs="Times New Roman"/>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1、部门整体支出绩效评价基础数据表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p>
    <w:p>
      <w:pPr>
        <w:widowControl/>
        <w:spacing w:afterLines="50" w:line="600" w:lineRule="exact"/>
        <w:ind w:firstLine="4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附件1</w:t>
      </w:r>
    </w:p>
    <w:p>
      <w:pPr>
        <w:spacing w:afterLines="50" w:line="600" w:lineRule="exact"/>
        <w:jc w:val="center"/>
        <w:rPr>
          <w:rFonts w:hint="default" w:ascii="Times New Roman" w:hAnsi="Times New Roman" w:eastAsia="仿宋_GB2312" w:cs="Times New Roman"/>
          <w:kern w:val="0"/>
          <w:sz w:val="24"/>
          <w:szCs w:val="24"/>
        </w:rPr>
      </w:pPr>
      <w:r>
        <w:rPr>
          <w:rFonts w:hint="default" w:ascii="Times New Roman" w:hAnsi="Times New Roman" w:eastAsia="方正小标宋_GBK" w:cs="Times New Roman"/>
          <w:kern w:val="0"/>
          <w:sz w:val="36"/>
          <w:szCs w:val="36"/>
        </w:rPr>
        <w:t>2020年度部门整体支出绩效评价基础数据表</w:t>
      </w:r>
    </w:p>
    <w:tbl>
      <w:tblPr>
        <w:tblStyle w:val="8"/>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2020年实际在职人数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控制率</w:t>
            </w:r>
          </w:p>
        </w:tc>
      </w:tr>
      <w:tr>
        <w:tblPrEx>
          <w:tblLayout w:type="fixed"/>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44</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37</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84.09%</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2019年决算数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2020年预算数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2020年决算数</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43.21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70.00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31.00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42.48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29.93</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17.98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24.50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29.93</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0.73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1.07</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457.95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547.93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437.98</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225.96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252.63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169.45</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190.02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152.53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141.26</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3、国外贷款项目补助</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41.97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120.00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107.73</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rPr>
                <w:rFonts w:hint="default" w:ascii="Times New Roman" w:hAnsi="Times New Roman" w:eastAsia="仿宋_GB2312" w:cs="Times New Roman"/>
                <w:kern w:val="0"/>
              </w:rPr>
            </w:pPr>
            <w:r>
              <w:rPr>
                <w:rFonts w:hint="default" w:ascii="Times New Roman" w:hAnsi="Times New Roman" w:eastAsia="仿宋_GB2312" w:cs="Times New Roman"/>
                <w:kern w:val="0"/>
              </w:rPr>
              <w:t>4、省社科基金课题经费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3.20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5、其他项目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19.57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19.54</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134.62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137.42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130.70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114.01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92.92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90.18</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18.61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87.11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69.47</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2.00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17.71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5.37</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153.16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153.16</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1,016.27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1,228.65</w:t>
            </w:r>
          </w:p>
        </w:tc>
      </w:tr>
      <w:tr>
        <w:tblPrEx>
          <w:tblLayout w:type="fixed"/>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楼堂馆所控制情况</w:t>
            </w:r>
            <w:r>
              <w:rPr>
                <w:rFonts w:hint="default" w:ascii="Times New Roman" w:hAnsi="Times New Roman" w:eastAsia="仿宋_GB2312" w:cs="Times New Roman"/>
                <w:kern w:val="0"/>
              </w:rPr>
              <w:br w:type="textWrapping"/>
            </w:r>
            <w:r>
              <w:rPr>
                <w:rFonts w:hint="default" w:ascii="Times New Roman" w:hAnsi="Times New Roman" w:eastAsia="仿宋_GB2312" w:cs="Times New Roman"/>
                <w:kern w:val="0"/>
              </w:rPr>
              <w:t>（2020年完工项目）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批复规模</w:t>
            </w:r>
            <w:r>
              <w:rPr>
                <w:rFonts w:hint="default" w:ascii="Times New Roman" w:hAnsi="Times New Roman" w:eastAsia="仿宋_GB2312" w:cs="Times New Roman"/>
                <w:kern w:val="0"/>
              </w:rPr>
              <w:br w:type="textWrapping"/>
            </w:r>
            <w:r>
              <w:rPr>
                <w:rFonts w:hint="default" w:ascii="Times New Roman" w:hAnsi="Times New Roman" w:eastAsia="仿宋_GB2312" w:cs="Times New Roman"/>
                <w:kern w:val="0"/>
              </w:rPr>
              <w:t>（</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实际规模（</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投资概算控制率</w:t>
            </w:r>
          </w:p>
        </w:tc>
      </w:tr>
      <w:tr>
        <w:tblPrEx>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rPr>
            </w:pPr>
          </w:p>
        </w:tc>
        <w:tc>
          <w:tcPr>
            <w:tcW w:w="118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112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111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9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r>
      <w:tr>
        <w:tblPrEx>
          <w:tblLayout w:type="fixed"/>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严控三公经费预算；日常办公用品的采购实施电子卖场集中采购，规范物资管理领用手续；公用经费开支审批制度严格，保障厉行节约。</w:t>
            </w:r>
          </w:p>
        </w:tc>
      </w:tr>
    </w:tbl>
    <w:p>
      <w:pPr>
        <w:widowControl/>
        <w:spacing w:afterLines="50" w:line="500" w:lineRule="exact"/>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rPr>
        <w:t>填表人：彭紫叶 填报日期：2021年5月21日 联系电话：85063995 单位负责人签字：</w:t>
      </w: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附件2</w:t>
      </w:r>
    </w:p>
    <w:p>
      <w:pPr>
        <w:widowControl/>
        <w:spacing w:afterLines="50" w:line="5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2020年度部门整体支出绩效自评表</w:t>
      </w:r>
    </w:p>
    <w:tbl>
      <w:tblPr>
        <w:tblStyle w:val="8"/>
        <w:tblW w:w="9993" w:type="dxa"/>
        <w:jc w:val="center"/>
        <w:tblInd w:w="0" w:type="dxa"/>
        <w:tblLayout w:type="fixed"/>
        <w:tblCellMar>
          <w:top w:w="0" w:type="dxa"/>
          <w:left w:w="108" w:type="dxa"/>
          <w:bottom w:w="0" w:type="dxa"/>
          <w:right w:w="108" w:type="dxa"/>
        </w:tblCellMar>
      </w:tblPr>
      <w:tblGrid>
        <w:gridCol w:w="1080"/>
        <w:gridCol w:w="1080"/>
        <w:gridCol w:w="718"/>
        <w:gridCol w:w="235"/>
        <w:gridCol w:w="537"/>
        <w:gridCol w:w="719"/>
        <w:gridCol w:w="1295"/>
        <w:gridCol w:w="1276"/>
        <w:gridCol w:w="709"/>
        <w:gridCol w:w="159"/>
        <w:gridCol w:w="600"/>
        <w:gridCol w:w="233"/>
        <w:gridCol w:w="237"/>
        <w:gridCol w:w="1115"/>
      </w:tblGrid>
      <w:tr>
        <w:tblPrEx>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省级预算部门名称</w:t>
            </w:r>
          </w:p>
        </w:tc>
        <w:tc>
          <w:tcPr>
            <w:tcW w:w="8913"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年度预</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算申请</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033" w:type="dxa"/>
            <w:gridSpan w:val="3"/>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年初</w:t>
            </w:r>
          </w:p>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预算数</w:t>
            </w:r>
          </w:p>
        </w:tc>
        <w:tc>
          <w:tcPr>
            <w:tcW w:w="1295"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992" w:type="dxa"/>
            <w:gridSpan w:val="3"/>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352" w:type="dxa"/>
            <w:gridSpan w:val="2"/>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p>
        </w:tc>
        <w:tc>
          <w:tcPr>
            <w:tcW w:w="2033" w:type="dxa"/>
            <w:gridSpan w:val="3"/>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rPr>
              <w:t>年度资金总额</w:t>
            </w: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cs="Times New Roman"/>
              </w:rPr>
              <w:t>1,391.53</w:t>
            </w:r>
          </w:p>
        </w:tc>
        <w:tc>
          <w:tcPr>
            <w:tcW w:w="1295"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rPr>
              <w:t>2,610.35</w:t>
            </w:r>
          </w:p>
        </w:tc>
        <w:tc>
          <w:tcPr>
            <w:tcW w:w="1276"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2,163.41</w:t>
            </w:r>
          </w:p>
        </w:tc>
        <w:tc>
          <w:tcPr>
            <w:tcW w:w="709"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10</w:t>
            </w:r>
          </w:p>
        </w:tc>
        <w:tc>
          <w:tcPr>
            <w:tcW w:w="992" w:type="dxa"/>
            <w:gridSpan w:val="3"/>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82.88%</w:t>
            </w:r>
          </w:p>
        </w:tc>
        <w:tc>
          <w:tcPr>
            <w:tcW w:w="1352" w:type="dxa"/>
            <w:gridSpan w:val="2"/>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rPr>
            </w:pPr>
            <w:r>
              <w:rPr>
                <w:rFonts w:hint="default" w:ascii="Times New Roman" w:hAnsi="Times New Roman" w:eastAsia="仿宋_GB2312" w:cs="Times New Roman"/>
              </w:rPr>
              <w:t>9</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按收入性质分：</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按支出性质分：</w:t>
            </w:r>
          </w:p>
        </w:tc>
      </w:tr>
      <w:tr>
        <w:tblPrEx>
          <w:tblLayout w:type="fixed"/>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其中：  一般公共预算:</w:t>
            </w:r>
            <w:r>
              <w:rPr>
                <w:rFonts w:hint="default" w:ascii="Times New Roman" w:hAnsi="Times New Roman" w:cs="Times New Roman"/>
              </w:rPr>
              <w:t>1,391.53</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其中：基本支出：1,113.69</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政府性基金拨款：</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项目支出：1,049.72</w:t>
            </w: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纳入专户管理的非税收入拨款：</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84"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3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4584" w:type="dxa"/>
            <w:gridSpan w:val="6"/>
            <w:tcBorders>
              <w:top w:val="single" w:color="auto" w:sz="4" w:space="0"/>
              <w:left w:val="nil"/>
              <w:bottom w:val="single" w:color="auto" w:sz="4" w:space="0"/>
              <w:right w:val="single" w:color="000000"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以习近平新时代中国特色社会主义思想为指引，认真贯彻党的十九大精神，全面落实省委、省政府的决策部署，加强统筹协调指导，全面深化长株潭两型试验区改革，加速推进长株潭一体化建设，大力保护长株潭生态绿心，为建设富饶美丽幸福新湖南作出新贡献，为全国绿色发展和城市群建设探索新经验。</w:t>
            </w:r>
          </w:p>
        </w:tc>
        <w:tc>
          <w:tcPr>
            <w:tcW w:w="432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以习近平新时代中国特色社会主义思想为指导，认真贯彻落实省委、省政府和省发改委的部署安排，进一步统一思想、振奋精神，对标对表、主动作为，统筹推进了长株潭试验区改革、长株潭一体化、长株潭生态绿心保护等重点工作，奋力开拓工作新局面。</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20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2144" w:type="dxa"/>
            <w:gridSpan w:val="3"/>
            <w:tcBorders>
              <w:top w:val="nil"/>
              <w:left w:val="nil"/>
              <w:bottom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实际完成值</w:t>
            </w:r>
          </w:p>
        </w:tc>
        <w:tc>
          <w:tcPr>
            <w:tcW w:w="60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4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1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tblPrEx>
          <w:tblLayout w:type="fixed"/>
          <w:tblCellMar>
            <w:top w:w="0" w:type="dxa"/>
            <w:left w:w="108" w:type="dxa"/>
            <w:bottom w:w="0" w:type="dxa"/>
            <w:right w:w="108" w:type="dxa"/>
          </w:tblCellMar>
        </w:tblPrEx>
        <w:trPr>
          <w:trHeight w:val="75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restart"/>
            <w:tcBorders>
              <w:top w:val="nil"/>
              <w:left w:val="nil"/>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pPr>
              <w:widowControl/>
              <w:spacing w:line="240" w:lineRule="exact"/>
              <w:jc w:val="center"/>
              <w:rPr>
                <w:rFonts w:hint="default" w:ascii="Times New Roman" w:hAnsi="Times New Roman" w:eastAsia="仿宋_GB2312" w:cs="Times New Roman"/>
                <w:color w:val="000000"/>
                <w:kern w:val="0"/>
              </w:rPr>
            </w:pP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在职人员控制率</w:t>
            </w:r>
          </w:p>
        </w:tc>
        <w:tc>
          <w:tcPr>
            <w:tcW w:w="2014"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以100%为标准。在职人员控制率</w:t>
            </w:r>
            <w:r>
              <w:rPr>
                <w:rFonts w:hint="default" w:ascii="Times New Roman" w:hAnsi="Times New Roman" w:cs="Times New Roman"/>
                <w:color w:val="000000"/>
                <w:kern w:val="0"/>
              </w:rPr>
              <w:t>≦</w:t>
            </w:r>
            <w:r>
              <w:rPr>
                <w:rFonts w:hint="default" w:ascii="Times New Roman" w:hAnsi="Times New Roman" w:eastAsia="仿宋_GB2312" w:cs="Times New Roman"/>
                <w:color w:val="000000"/>
                <w:kern w:val="0"/>
              </w:rPr>
              <w:t>100%，计5分；每超过一个百分点扣0.5分，扣完为止。</w:t>
            </w:r>
          </w:p>
        </w:tc>
        <w:tc>
          <w:tcPr>
            <w:tcW w:w="2144" w:type="dxa"/>
            <w:gridSpan w:val="3"/>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84.09%</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47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1115"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241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管理制度健全性</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①有内部财务管理制度、会计核算制度等管理制度，2分；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②有本部门厉行节约制度,2分；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③相关管理制度合法、合规、完整，2分；④相关管理制度得到有效执行，2分。</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b/>
                <w:bCs/>
                <w:color w:val="000000"/>
                <w:kern w:val="0"/>
              </w:rPr>
            </w:pPr>
            <w:r>
              <w:rPr>
                <w:rFonts w:hint="default" w:ascii="Times New Roman" w:hAnsi="Times New Roman" w:eastAsia="仿宋_GB2312" w:cs="Times New Roman"/>
                <w:color w:val="000000"/>
                <w:kern w:val="0"/>
              </w:rPr>
              <w:t>有内部财务管理制度、会计核算制度等管理制度、厉行节约制度，相关管理制度合法、合规、完整，且得到有效执行。</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完成时间</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cs="Times New Roman"/>
              </w:rPr>
              <w:t>2020年底以前</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已完成</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383"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vMerge w:val="restart"/>
            <w:tcBorders>
              <w:top w:val="single" w:color="auto" w:sz="4" w:space="0"/>
              <w:left w:val="nil"/>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公用经费控制率</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100%以下（含）计满分，每超出1%扣1分，扣完为止。</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95.11%</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37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vMerge w:val="continue"/>
            <w:tcBorders>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“三公经费”控制率</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rPr>
            </w:pPr>
            <w:r>
              <w:rPr>
                <w:rFonts w:hint="default" w:ascii="Times New Roman" w:hAnsi="Times New Roman" w:eastAsia="仿宋_GB2312" w:cs="Times New Roman"/>
                <w:color w:val="000000"/>
                <w:kern w:val="0"/>
              </w:rPr>
              <w:t>100%以下（含）计满分，每超出1%扣1分，扣完为止。</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44.29%</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restart"/>
            <w:tcBorders>
              <w:top w:val="single" w:color="auto" w:sz="4" w:space="0"/>
              <w:left w:val="nil"/>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pPr>
              <w:widowControl/>
              <w:spacing w:line="240" w:lineRule="exact"/>
              <w:jc w:val="left"/>
              <w:rPr>
                <w:rFonts w:hint="default" w:ascii="Times New Roman" w:hAnsi="Times New Roman" w:eastAsia="仿宋_GB2312" w:cs="Times New Roman"/>
                <w:color w:val="000000"/>
                <w:kern w:val="0"/>
              </w:rPr>
            </w:pPr>
          </w:p>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建设中部崛起的重要增长极</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积极推动长株潭一体化建设。</w:t>
            </w:r>
          </w:p>
        </w:tc>
        <w:tc>
          <w:tcPr>
            <w:tcW w:w="2144"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rPr>
              <w:t>完成了“长株潭大都市圈发展战略研究”和“长株潭一体化公共服务平台建设专题研究”，参与了长株潭区域一体化发展规划纲要和长株潭人才协同发展研究的顶层设计工作。</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24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脱贫攻坚</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指导紫鹊界村开展脱贫攻坚，引导全体干部积极参与。</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2020年中心全体干部多次赴紫鹊界村慰问走访贫困户，开展消费扶贫，调研脱贫攻坚工作。紫鹊界村整村脱贫成果得到巩固，脱贫攻坚常态化督查炎陵县、桂阳县持续加强。</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0" w:hRule="atLeast"/>
          <w:jc w:val="center"/>
        </w:trPr>
        <w:tc>
          <w:tcPr>
            <w:tcW w:w="1080" w:type="dxa"/>
            <w:vMerge w:val="continue"/>
            <w:tcBorders>
              <w:left w:val="single" w:color="auto" w:sz="4" w:space="0"/>
              <w:bottom w:val="nil"/>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nil"/>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772" w:type="dxa"/>
            <w:gridSpan w:val="2"/>
            <w:tcBorders>
              <w:top w:val="single" w:color="auto" w:sz="4" w:space="0"/>
              <w:left w:val="nil"/>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推动湖湘绿色发展</w:t>
            </w:r>
          </w:p>
        </w:tc>
        <w:tc>
          <w:tcPr>
            <w:tcW w:w="2014" w:type="dxa"/>
            <w:gridSpan w:val="2"/>
            <w:vMerge w:val="restart"/>
            <w:tcBorders>
              <w:top w:val="single" w:color="auto" w:sz="4" w:space="0"/>
              <w:left w:val="nil"/>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主动开展长株潭生态绿心保护。</w:t>
            </w:r>
          </w:p>
        </w:tc>
        <w:tc>
          <w:tcPr>
            <w:tcW w:w="2144" w:type="dxa"/>
            <w:gridSpan w:val="3"/>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rPr>
              <w:t>开展了“天眼系统”监测，完成了前三季度土地使用变化情况监测，发现疑似违法违规用地共195宗，总面积2559.08亩。所有违法违规图斑已经下发至长株潭三市人民政府，并要求组织整改。</w:t>
            </w:r>
          </w:p>
        </w:tc>
        <w:tc>
          <w:tcPr>
            <w:tcW w:w="600" w:type="dxa"/>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1040"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可持续影响指标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探索绿色发展和城市群建设</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纵深推进长株潭试验区改革。</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highlight w:val="yellow"/>
              </w:rPr>
            </w:pPr>
            <w:r>
              <w:rPr>
                <w:rFonts w:hint="default" w:ascii="Times New Roman" w:hAnsi="Times New Roman" w:eastAsia="仿宋_GB2312" w:cs="Times New Roman"/>
                <w:color w:val="000000"/>
                <w:kern w:val="0"/>
              </w:rPr>
              <w:t>对试验区开展第三方总结评估，研究试验区下步战略走向，组织各市和省直有关部门做好自评工作，已形成评估总结报告和下步走向研究报告</w:t>
            </w:r>
            <w:r>
              <w:rPr>
                <w:rFonts w:hint="default" w:ascii="Times New Roman" w:hAnsi="Times New Roman" w:eastAsia="仿宋_GB2312" w:cs="Times New Roman"/>
                <w:color w:val="000000"/>
                <w:kern w:val="0"/>
                <w:lang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29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社会公众或服务对象满意度</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90%（含）以上计10分；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80%（含）-90%，计8分；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70%（含）-80%，计6分；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低于70%计0分。</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270" w:hRule="atLeast"/>
          <w:jc w:val="center"/>
        </w:trPr>
        <w:tc>
          <w:tcPr>
            <w:tcW w:w="7808" w:type="dxa"/>
            <w:gridSpan w:val="10"/>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99</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bl>
    <w:p>
      <w:pPr>
        <w:widowControl/>
        <w:spacing w:line="400" w:lineRule="exact"/>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rPr>
        <w:t>填表人：彭紫叶 填报日期：2021年5月21日 联系电话：85063995 单位负责人签字：</w:t>
      </w:r>
      <w:r>
        <w:rPr>
          <w:rFonts w:hint="default" w:ascii="Times New Roman" w:hAnsi="Times New Roman" w:eastAsia="仿宋_GB2312" w:cs="Times New Roman"/>
          <w:kern w:val="0"/>
        </w:rPr>
        <w:br w:type="page"/>
      </w:r>
      <w:r>
        <w:rPr>
          <w:rFonts w:hint="default" w:ascii="Times New Roman" w:hAnsi="Times New Roman" w:eastAsia="黑体" w:cs="Times New Roman"/>
          <w:sz w:val="32"/>
          <w:szCs w:val="32"/>
        </w:rPr>
        <w:t>附件3-1</w:t>
      </w:r>
    </w:p>
    <w:p>
      <w:pPr>
        <w:widowControl/>
        <w:spacing w:line="46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2020年度项目支出绩效自评表</w:t>
      </w:r>
    </w:p>
    <w:tbl>
      <w:tblPr>
        <w:tblStyle w:val="8"/>
        <w:tblW w:w="9851" w:type="dxa"/>
        <w:jc w:val="center"/>
        <w:tblInd w:w="0" w:type="dxa"/>
        <w:tblLayout w:type="fixed"/>
        <w:tblCellMar>
          <w:top w:w="0" w:type="dxa"/>
          <w:left w:w="108" w:type="dxa"/>
          <w:bottom w:w="0" w:type="dxa"/>
          <w:right w:w="108" w:type="dxa"/>
        </w:tblCellMar>
      </w:tblPr>
      <w:tblGrid>
        <w:gridCol w:w="1080"/>
        <w:gridCol w:w="893"/>
        <w:gridCol w:w="853"/>
        <w:gridCol w:w="414"/>
        <w:gridCol w:w="223"/>
        <w:gridCol w:w="1001"/>
        <w:gridCol w:w="1134"/>
        <w:gridCol w:w="1134"/>
        <w:gridCol w:w="828"/>
        <w:gridCol w:w="178"/>
        <w:gridCol w:w="525"/>
        <w:gridCol w:w="170"/>
        <w:gridCol w:w="310"/>
        <w:gridCol w:w="1108"/>
      </w:tblGrid>
      <w:tr>
        <w:tblPrEx>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w:t>
            </w:r>
          </w:p>
          <w:p>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出名称</w:t>
            </w:r>
          </w:p>
        </w:tc>
        <w:tc>
          <w:tcPr>
            <w:tcW w:w="877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业务工作经费</w:t>
            </w:r>
          </w:p>
        </w:tc>
      </w:tr>
      <w:tr>
        <w:tblPrEx>
          <w:tblLayout w:type="fixed"/>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4518" w:type="dxa"/>
            <w:gridSpan w:val="6"/>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实施单位</w:t>
            </w:r>
          </w:p>
        </w:tc>
        <w:tc>
          <w:tcPr>
            <w:tcW w:w="3119" w:type="dxa"/>
            <w:gridSpan w:val="6"/>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项目资金</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22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年初</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全年</w:t>
            </w:r>
          </w:p>
          <w:p>
            <w:pPr>
              <w:jc w:val="center"/>
              <w:rPr>
                <w:rFonts w:hint="default" w:ascii="Times New Roman" w:hAnsi="Times New Roman" w:eastAsia="仿宋_GB2312" w:cs="Times New Roman"/>
              </w:rPr>
            </w:pPr>
            <w:r>
              <w:rPr>
                <w:rFonts w:hint="default" w:ascii="Times New Roman" w:hAnsi="Times New Roman" w:eastAsia="仿宋_GB2312" w:cs="Times New Roman"/>
              </w:rPr>
              <w:t>执行数</w:t>
            </w:r>
          </w:p>
        </w:tc>
        <w:tc>
          <w:tcPr>
            <w:tcW w:w="82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873" w:type="dxa"/>
            <w:gridSpan w:val="3"/>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418"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年度资金总额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186.73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kern w:val="0"/>
              </w:rPr>
              <w:t>252.63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kern w:val="0"/>
              </w:rPr>
              <w:t>169.45</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873"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67.07%</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7</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其中：当年财政拨款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186.73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186.73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上年结转资金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65.90</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18"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253"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4518" w:type="dxa"/>
            <w:gridSpan w:val="6"/>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推动长株潭城市群全国资源节约型、环境友好型社会综合配套改革试验建设，以及长株潭一体化建设，确保圆满完成国家综合配套改革试验任务和省委、省政府关于长株潭一体化建设的决策部署。年度目标：1.长株潭一体化建设的相关任务；2.绿心保护的相关任务；3.两型改革试点；4.两型示范创建、宣传及清洁低碳技术推广；5.两型评价与目标激励。</w:t>
            </w:r>
          </w:p>
        </w:tc>
        <w:tc>
          <w:tcPr>
            <w:tcW w:w="4253" w:type="dxa"/>
            <w:gridSpan w:val="7"/>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以习近平新时代中国特色社会主义思想为指导，认真贯彻落实省委、省政府和省发改委的部署安排，进一步统一思想、振奋精神，对标对表、主动作为，纵深推进长株潭试验区改革；积极推动长株潭一体化建设；主动开展长株潭生态绿心保护；切实加强资金管理和外贷项目推进；全面加强机关党建和队伍建设。</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89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85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6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21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2140"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完成值</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tblPrEx>
          <w:tblLayout w:type="fixed"/>
          <w:tblCellMar>
            <w:top w:w="0" w:type="dxa"/>
            <w:left w:w="108" w:type="dxa"/>
            <w:bottom w:w="0" w:type="dxa"/>
            <w:right w:w="108" w:type="dxa"/>
          </w:tblCellMar>
        </w:tblPrEx>
        <w:trPr>
          <w:trHeight w:val="1302"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restart"/>
            <w:tcBorders>
              <w:top w:val="nil"/>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pPr>
              <w:widowControl/>
              <w:jc w:val="center"/>
              <w:rPr>
                <w:rFonts w:hint="default" w:ascii="Times New Roman" w:hAnsi="Times New Roman" w:eastAsia="仿宋_GB2312" w:cs="Times New Roman"/>
                <w:color w:val="000000"/>
                <w:kern w:val="0"/>
              </w:rPr>
            </w:pP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85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6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绿心保护</w:t>
            </w:r>
          </w:p>
        </w:tc>
        <w:tc>
          <w:tcPr>
            <w:tcW w:w="213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开展绿心地区违法违规行为季度监测和通报，监测行为与监测成果达到行业要求。</w:t>
            </w:r>
          </w:p>
        </w:tc>
        <w:tc>
          <w:tcPr>
            <w:tcW w:w="214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完成了前三季度土地使用变化情况监测，发现疑似违法违规用地共195宗，总面积2559.08亩。</w:t>
            </w:r>
          </w:p>
        </w:tc>
        <w:tc>
          <w:tcPr>
            <w:tcW w:w="5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重点统筹</w:t>
            </w:r>
          </w:p>
        </w:tc>
        <w:tc>
          <w:tcPr>
            <w:tcW w:w="213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推动长株潭城市群一体化建设。</w:t>
            </w:r>
          </w:p>
        </w:tc>
        <w:tc>
          <w:tcPr>
            <w:tcW w:w="2140"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支持和服务三市联席会议推进《长株潭都市区总体规划》和《长株潭都市区轨道交通线网规划》编制等工作。</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4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11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vMerge w:val="continue"/>
            <w:tcBorders>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6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两型示范</w:t>
            </w:r>
          </w:p>
        </w:tc>
        <w:tc>
          <w:tcPr>
            <w:tcW w:w="213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在两型村庄、社区、景区、学校、企业等领域已创建达标且两型元素相对集中、两型经验模式较为成熟的项目中，遴选两型示范单位。</w:t>
            </w:r>
          </w:p>
        </w:tc>
        <w:tc>
          <w:tcPr>
            <w:tcW w:w="214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各市项目已完成评审，省级已备案。</w:t>
            </w:r>
          </w:p>
        </w:tc>
        <w:tc>
          <w:tcPr>
            <w:tcW w:w="5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8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08"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6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清洁低碳</w:t>
            </w:r>
          </w:p>
        </w:tc>
        <w:tc>
          <w:tcPr>
            <w:tcW w:w="213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清洁低碳技术推广试点。</w:t>
            </w:r>
          </w:p>
        </w:tc>
        <w:tc>
          <w:tcPr>
            <w:tcW w:w="214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各市项目已完成评审，省级已备案。</w:t>
            </w:r>
          </w:p>
        </w:tc>
        <w:tc>
          <w:tcPr>
            <w:tcW w:w="5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48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108"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6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完成时间</w:t>
            </w:r>
          </w:p>
        </w:tc>
        <w:tc>
          <w:tcPr>
            <w:tcW w:w="2135"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2020年底以前</w:t>
            </w:r>
          </w:p>
        </w:tc>
        <w:tc>
          <w:tcPr>
            <w:tcW w:w="214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已完成</w:t>
            </w:r>
          </w:p>
        </w:tc>
        <w:tc>
          <w:tcPr>
            <w:tcW w:w="5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871"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成本控制</w:t>
            </w:r>
          </w:p>
        </w:tc>
        <w:tc>
          <w:tcPr>
            <w:tcW w:w="213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不超预算</w:t>
            </w:r>
          </w:p>
        </w:tc>
        <w:tc>
          <w:tcPr>
            <w:tcW w:w="2140"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全年预算数252.63万元，全年执行数169.45万元。</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restart"/>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pPr>
              <w:widowControl/>
              <w:jc w:val="left"/>
              <w:rPr>
                <w:rFonts w:hint="default" w:ascii="Times New Roman" w:hAnsi="Times New Roman" w:eastAsia="仿宋_GB2312" w:cs="Times New Roman"/>
                <w:color w:val="000000"/>
                <w:kern w:val="0"/>
              </w:rPr>
            </w:pPr>
          </w:p>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5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213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2140"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52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4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1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脱贫攻坚</w:t>
            </w:r>
          </w:p>
        </w:tc>
        <w:tc>
          <w:tcPr>
            <w:tcW w:w="2135"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指导紫鹊界村开展脱贫攻坚，引导全体干部积极参与。</w:t>
            </w:r>
          </w:p>
        </w:tc>
        <w:tc>
          <w:tcPr>
            <w:tcW w:w="2140"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2020年中心全体干部多次赴紫鹊界村慰问走访贫困户，开展消费扶贫，调研脱贫攻坚工作。紫鹊界村整村脱贫成果得到巩固，脱贫攻坚常态化督查炎陵县、桂阳县持续加强。</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46" w:hRule="atLeast"/>
          <w:jc w:val="center"/>
        </w:trPr>
        <w:tc>
          <w:tcPr>
            <w:tcW w:w="1080" w:type="dxa"/>
            <w:vMerge w:val="continue"/>
            <w:tcBorders>
              <w:left w:val="single" w:color="auto" w:sz="4" w:space="0"/>
              <w:bottom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93" w:type="dxa"/>
            <w:vMerge w:val="continue"/>
            <w:tcBorders>
              <w:left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853"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绿心保护</w:t>
            </w:r>
          </w:p>
        </w:tc>
        <w:tc>
          <w:tcPr>
            <w:tcW w:w="2135" w:type="dxa"/>
            <w:gridSpan w:val="2"/>
            <w:vMerge w:val="restart"/>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推进生态补偿、复绿补绿、生态修复、环境治理等工作。</w:t>
            </w:r>
          </w:p>
        </w:tc>
        <w:tc>
          <w:tcPr>
            <w:tcW w:w="2140" w:type="dxa"/>
            <w:gridSpan w:val="3"/>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天眼系统”监测发现的所有违法违规图斑已经下发至长株潭三市人民政府，并要求组织整改。开展绿心地区生态补偿考核方案专题研究和提升绿心品质、发挥生态功能对策研究等专题研究，已形成了多项研究成果。</w:t>
            </w:r>
          </w:p>
        </w:tc>
        <w:tc>
          <w:tcPr>
            <w:tcW w:w="525"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56"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893" w:type="dxa"/>
            <w:vMerge w:val="continue"/>
            <w:tcBorders>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可持续影响指标</w:t>
            </w:r>
          </w:p>
        </w:tc>
        <w:tc>
          <w:tcPr>
            <w:tcW w:w="6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两型改革</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提炼出改革创新案例、两型标准均可复制可推广。</w:t>
            </w:r>
          </w:p>
        </w:tc>
        <w:tc>
          <w:tcPr>
            <w:tcW w:w="214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已完成</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329" w:hRule="atLeast"/>
          <w:jc w:val="center"/>
        </w:trPr>
        <w:tc>
          <w:tcPr>
            <w:tcW w:w="108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93"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853"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637"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社会公众或服务对象满意度</w:t>
            </w:r>
          </w:p>
        </w:tc>
        <w:tc>
          <w:tcPr>
            <w:tcW w:w="2135" w:type="dxa"/>
            <w:gridSpan w:val="2"/>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90%（含）以上计10分；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80%（含）-90%，计8分；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70%（含）-80%，计6分；</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低于70%计0分。</w:t>
            </w:r>
          </w:p>
        </w:tc>
        <w:tc>
          <w:tcPr>
            <w:tcW w:w="2140" w:type="dxa"/>
            <w:gridSpan w:val="3"/>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90%</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4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7738" w:type="dxa"/>
            <w:gridSpan w:val="10"/>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sz w:val="18"/>
                <w:szCs w:val="18"/>
              </w:rPr>
              <w:t>100</w:t>
            </w:r>
          </w:p>
        </w:tc>
        <w:tc>
          <w:tcPr>
            <w:tcW w:w="48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97</w:t>
            </w:r>
          </w:p>
        </w:tc>
        <w:tc>
          <w:tcPr>
            <w:tcW w:w="110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bl>
    <w:p>
      <w:pPr>
        <w:widowControl/>
        <w:spacing w:line="60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填表人：彭紫叶 填报日期：2021年5月21日 联系电话：85063995 单位负责人签字：</w:t>
      </w:r>
      <w:r>
        <w:rPr>
          <w:rFonts w:hint="default" w:ascii="Times New Roman" w:hAnsi="Times New Roman" w:eastAsia="仿宋_GB2312" w:cs="Times New Roman"/>
          <w:kern w:val="0"/>
        </w:rPr>
        <w:br w:type="page"/>
      </w:r>
    </w:p>
    <w:p>
      <w:pPr>
        <w:widowControl/>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附件：3-2</w:t>
      </w:r>
    </w:p>
    <w:p>
      <w:pPr>
        <w:widowControl/>
        <w:spacing w:line="6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2020年度项目支出绩效自评表</w:t>
      </w:r>
    </w:p>
    <w:tbl>
      <w:tblPr>
        <w:tblStyle w:val="8"/>
        <w:tblW w:w="9851" w:type="dxa"/>
        <w:jc w:val="center"/>
        <w:tblInd w:w="0" w:type="dxa"/>
        <w:tblLayout w:type="fixed"/>
        <w:tblCellMar>
          <w:top w:w="0" w:type="dxa"/>
          <w:left w:w="108" w:type="dxa"/>
          <w:bottom w:w="0" w:type="dxa"/>
          <w:right w:w="108" w:type="dxa"/>
        </w:tblCellMar>
      </w:tblPr>
      <w:tblGrid>
        <w:gridCol w:w="1080"/>
        <w:gridCol w:w="1080"/>
        <w:gridCol w:w="831"/>
        <w:gridCol w:w="249"/>
        <w:gridCol w:w="634"/>
        <w:gridCol w:w="590"/>
        <w:gridCol w:w="1134"/>
        <w:gridCol w:w="1134"/>
        <w:gridCol w:w="734"/>
        <w:gridCol w:w="94"/>
        <w:gridCol w:w="506"/>
        <w:gridCol w:w="367"/>
        <w:gridCol w:w="270"/>
        <w:gridCol w:w="1148"/>
      </w:tblGrid>
      <w:tr>
        <w:tblPrEx>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项目支</w:t>
            </w:r>
          </w:p>
          <w:p>
            <w:pPr>
              <w:widowControl/>
              <w:spacing w:line="26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出名称</w:t>
            </w:r>
          </w:p>
        </w:tc>
        <w:tc>
          <w:tcPr>
            <w:tcW w:w="877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运行维护经费</w:t>
            </w:r>
          </w:p>
        </w:tc>
      </w:tr>
      <w:tr>
        <w:tblPrEx>
          <w:tblLayout w:type="fixed"/>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主管部门</w:t>
            </w:r>
          </w:p>
        </w:tc>
        <w:tc>
          <w:tcPr>
            <w:tcW w:w="4518" w:type="dxa"/>
            <w:gridSpan w:val="6"/>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实施单位</w:t>
            </w:r>
          </w:p>
        </w:tc>
        <w:tc>
          <w:tcPr>
            <w:tcW w:w="3119" w:type="dxa"/>
            <w:gridSpan w:val="6"/>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湖南省长株潭两型社会建设服务中心</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项目资金</w:t>
            </w:r>
            <w:r>
              <w:rPr>
                <w:rFonts w:hint="default" w:ascii="Times New Roman" w:hAnsi="Times New Roman" w:eastAsia="仿宋_GB2312" w:cs="Times New Roman"/>
                <w:color w:val="000000"/>
                <w:kern w:val="0"/>
              </w:rPr>
              <w:br w:type="textWrapping"/>
            </w:r>
            <w:r>
              <w:rPr>
                <w:rFonts w:hint="default" w:ascii="Times New Roman" w:hAnsi="Times New Roman" w:eastAsia="仿宋_GB2312" w:cs="Times New Roman"/>
                <w:color w:val="000000"/>
                <w:kern w:val="0"/>
              </w:rPr>
              <w:t>（万元）</w:t>
            </w: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22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年初</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预算数</w:t>
            </w:r>
          </w:p>
        </w:tc>
        <w:tc>
          <w:tcPr>
            <w:tcW w:w="113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全年</w:t>
            </w:r>
          </w:p>
          <w:p>
            <w:pPr>
              <w:jc w:val="center"/>
              <w:rPr>
                <w:rFonts w:hint="default" w:ascii="Times New Roman" w:hAnsi="Times New Roman" w:eastAsia="仿宋_GB2312" w:cs="Times New Roman"/>
              </w:rPr>
            </w:pPr>
            <w:r>
              <w:rPr>
                <w:rFonts w:hint="default" w:ascii="Times New Roman" w:hAnsi="Times New Roman" w:eastAsia="仿宋_GB2312" w:cs="Times New Roman"/>
              </w:rPr>
              <w:t>执行数</w:t>
            </w:r>
          </w:p>
        </w:tc>
        <w:tc>
          <w:tcPr>
            <w:tcW w:w="828"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分值</w:t>
            </w:r>
          </w:p>
        </w:tc>
        <w:tc>
          <w:tcPr>
            <w:tcW w:w="873"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执行率</w:t>
            </w:r>
          </w:p>
        </w:tc>
        <w:tc>
          <w:tcPr>
            <w:tcW w:w="1418"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得分</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年度资金总额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188.87</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152.53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141.26</w:t>
            </w:r>
          </w:p>
        </w:tc>
        <w:tc>
          <w:tcPr>
            <w:tcW w:w="82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87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92.61</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其中：当年财政拨款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188.87</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152.53</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82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87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上年结转资金　</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2160"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其他资金</w:t>
            </w:r>
          </w:p>
        </w:tc>
        <w:tc>
          <w:tcPr>
            <w:tcW w:w="12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13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2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7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141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年度总体目标</w:t>
            </w:r>
          </w:p>
        </w:tc>
        <w:tc>
          <w:tcPr>
            <w:tcW w:w="4518"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预期目标</w:t>
            </w:r>
          </w:p>
        </w:tc>
        <w:tc>
          <w:tcPr>
            <w:tcW w:w="4253"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实际完成情况　</w:t>
            </w:r>
          </w:p>
        </w:tc>
      </w:tr>
      <w:tr>
        <w:tblPrEx>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c>
          <w:tcPr>
            <w:tcW w:w="4518" w:type="dxa"/>
            <w:gridSpan w:val="6"/>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按照“每月小活动，季度大活动”的目标，积极开展宣传推介活动，通过活动增强展馆知晓度和美誉度，进一步传播两型理念。加强微信公众号和两型邮局管理，积极探索开发新的宣传渠道，通过自媒体等新兴信息传播渠道，提升宣传效果。积极与协会、高校、媒体开展合作交流，探索不同合作模式，拓宽宣传途径。组织好志愿者活动，形成开展志愿者活动的有益机制，培养打造独具特色的志愿者队伍。</w:t>
            </w:r>
          </w:p>
        </w:tc>
        <w:tc>
          <w:tcPr>
            <w:tcW w:w="4253" w:type="dxa"/>
            <w:gridSpan w:val="7"/>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结合展馆自身定位，开发系列创新开放类党性课程，打造创新类党性现场教学点。已开展候鸟保护摄影展、剪纸作品展、长江江豚彩绘作品展、生物多样性木雕作品展等多项临展活动，并组织环保达人、高校教师进行专题授课，共有300余位学生家长共同参与活动。设立两型DIY互动展厅，已引进可降解的垃圾袋、肥皂、酵素等环保产品40余种。</w:t>
            </w:r>
          </w:p>
        </w:tc>
      </w:tr>
      <w:tr>
        <w:tblPrEx>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一级指标</w:t>
            </w:r>
          </w:p>
        </w:tc>
        <w:tc>
          <w:tcPr>
            <w:tcW w:w="8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二级指标</w:t>
            </w:r>
          </w:p>
        </w:tc>
        <w:tc>
          <w:tcPr>
            <w:tcW w:w="8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三级指标</w:t>
            </w:r>
          </w:p>
        </w:tc>
        <w:tc>
          <w:tcPr>
            <w:tcW w:w="172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年度</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指标值</w:t>
            </w:r>
          </w:p>
        </w:tc>
        <w:tc>
          <w:tcPr>
            <w:tcW w:w="186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实际</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完成值</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分值</w:t>
            </w:r>
          </w:p>
        </w:tc>
        <w:tc>
          <w:tcPr>
            <w:tcW w:w="6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得分</w:t>
            </w:r>
          </w:p>
        </w:tc>
        <w:tc>
          <w:tcPr>
            <w:tcW w:w="114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偏差原因</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分析及</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改进措施</w:t>
            </w:r>
          </w:p>
        </w:tc>
      </w:tr>
      <w:tr>
        <w:tblPrEx>
          <w:tblLayout w:type="fixed"/>
          <w:tblCellMar>
            <w:top w:w="0" w:type="dxa"/>
            <w:left w:w="108" w:type="dxa"/>
            <w:bottom w:w="0" w:type="dxa"/>
            <w:right w:w="108" w:type="dxa"/>
          </w:tblCellMar>
        </w:tblPrEx>
        <w:trPr>
          <w:trHeight w:val="1292"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restart"/>
            <w:tcBorders>
              <w:top w:val="nil"/>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产出指标</w:t>
            </w:r>
          </w:p>
          <w:p>
            <w:pPr>
              <w:widowControl/>
              <w:jc w:val="center"/>
              <w:rPr>
                <w:rFonts w:hint="default" w:ascii="Times New Roman" w:hAnsi="Times New Roman" w:eastAsia="仿宋_GB2312" w:cs="Times New Roman"/>
                <w:color w:val="000000"/>
                <w:kern w:val="0"/>
              </w:rPr>
            </w:pP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(50分)</w:t>
            </w:r>
          </w:p>
        </w:tc>
        <w:tc>
          <w:tcPr>
            <w:tcW w:w="8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数量指标</w:t>
            </w:r>
          </w:p>
        </w:tc>
        <w:tc>
          <w:tcPr>
            <w:tcW w:w="8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抓好建设，凸显效应。</w:t>
            </w:r>
          </w:p>
        </w:tc>
        <w:tc>
          <w:tcPr>
            <w:tcW w:w="172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突出重点抓好展示中心建设，凸显展馆“基地平台窗口”效应。</w:t>
            </w:r>
          </w:p>
        </w:tc>
        <w:tc>
          <w:tcPr>
            <w:tcW w:w="1868"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展馆共接待参观人数近20万人次，团队120余批。</w:t>
            </w:r>
          </w:p>
        </w:tc>
        <w:tc>
          <w:tcPr>
            <w:tcW w:w="60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6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11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质量指标</w:t>
            </w:r>
          </w:p>
        </w:tc>
        <w:tc>
          <w:tcPr>
            <w:tcW w:w="88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健全高效展示运行维护机制。</w:t>
            </w:r>
          </w:p>
        </w:tc>
        <w:tc>
          <w:tcPr>
            <w:tcW w:w="172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建立健全高效展示运行维护机制，定期检查保养设施设备。</w:t>
            </w:r>
          </w:p>
        </w:tc>
        <w:tc>
          <w:tcPr>
            <w:tcW w:w="1868"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每日对展馆设施设备进行巡检，定期维护，延长使用寿命</w:t>
            </w:r>
            <w:r>
              <w:rPr>
                <w:rFonts w:hint="default" w:ascii="Times New Roman" w:hAnsi="Times New Roman" w:eastAsia="仿宋_GB2312" w:cs="Times New Roman"/>
                <w:color w:val="000000"/>
                <w:kern w:val="0"/>
                <w:lang w:eastAsia="zh-CN"/>
              </w:rPr>
              <w:t>。</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15</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时效指标</w:t>
            </w:r>
          </w:p>
        </w:tc>
        <w:tc>
          <w:tcPr>
            <w:tcW w:w="88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发挥好宣传作用，充分展示建设成果。</w:t>
            </w:r>
          </w:p>
        </w:tc>
        <w:tc>
          <w:tcPr>
            <w:tcW w:w="172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在升级改造的基础上，发挥好宣传作用，充分展示生态文明建设、“两型社会建设”成果。</w:t>
            </w:r>
          </w:p>
        </w:tc>
        <w:tc>
          <w:tcPr>
            <w:tcW w:w="1868"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今年自主编辑、发布微信公众号30期,文章31篇，其中原创62篇，包含视频、h5、互动答题等表现形式。</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成本指标</w:t>
            </w:r>
          </w:p>
        </w:tc>
        <w:tc>
          <w:tcPr>
            <w:tcW w:w="88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费用支出</w:t>
            </w:r>
          </w:p>
        </w:tc>
        <w:tc>
          <w:tcPr>
            <w:tcW w:w="172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采取制度化管理等手段，提高资金使用效益。</w:t>
            </w:r>
          </w:p>
        </w:tc>
        <w:tc>
          <w:tcPr>
            <w:tcW w:w="1868"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所有费用支出合理合规</w:t>
            </w:r>
            <w:r>
              <w:rPr>
                <w:rFonts w:hint="default" w:ascii="Times New Roman" w:hAnsi="Times New Roman" w:eastAsia="仿宋_GB2312" w:cs="Times New Roman"/>
                <w:color w:val="000000"/>
                <w:kern w:val="0"/>
                <w:lang w:eastAsia="zh-CN"/>
              </w:rPr>
              <w:t>。</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效益指标</w:t>
            </w:r>
          </w:p>
          <w:p>
            <w:pPr>
              <w:widowControl/>
              <w:jc w:val="center"/>
              <w:rPr>
                <w:rFonts w:hint="default" w:ascii="Times New Roman" w:hAnsi="Times New Roman" w:eastAsia="仿宋_GB2312" w:cs="Times New Roman"/>
                <w:color w:val="000000"/>
                <w:kern w:val="0"/>
              </w:rPr>
            </w:pP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（30分）</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72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868"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社会效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宣传两型理念</w:t>
            </w:r>
          </w:p>
        </w:tc>
        <w:tc>
          <w:tcPr>
            <w:tcW w:w="1724"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宣传两型理念，服务全社会。</w:t>
            </w:r>
          </w:p>
        </w:tc>
        <w:tc>
          <w:tcPr>
            <w:tcW w:w="1868"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联合非遗馆组织开展“体验两型生活、留住老长沙味道”体验活动；联合湘府社区开展暑期实践，举办两型互动小课堂，开展垃圾分类学习活动；受邀参加湖南省国土空间规划学会科普工作委员会成立大会、雨花区2020年“六五”世界环境日开幕式、2020年两型地铁专列发车仪式等两型活动。</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56" w:hRule="atLeast"/>
          <w:jc w:val="center"/>
        </w:trPr>
        <w:tc>
          <w:tcPr>
            <w:tcW w:w="1080" w:type="dxa"/>
            <w:vMerge w:val="continue"/>
            <w:tcBorders>
              <w:left w:val="single" w:color="auto" w:sz="4" w:space="0"/>
              <w:bottom w:val="nil"/>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生态效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益指标</w:t>
            </w:r>
          </w:p>
        </w:tc>
        <w:tc>
          <w:tcPr>
            <w:tcW w:w="883"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724" w:type="dxa"/>
            <w:gridSpan w:val="2"/>
            <w:vMerge w:val="restart"/>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868" w:type="dxa"/>
            <w:gridSpan w:val="2"/>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600"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637"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trHeight w:val="956"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绩</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效</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标</w:t>
            </w:r>
          </w:p>
        </w:tc>
        <w:tc>
          <w:tcPr>
            <w:tcW w:w="108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可持续影响指标</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持续宣传效果</w:t>
            </w:r>
          </w:p>
        </w:tc>
        <w:tc>
          <w:tcPr>
            <w:tcW w:w="172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持续抓好全省生态文明建设和两型社会建设取得的成果，宣传好生态文明建设和两型社会建设理念。</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微信公众号粉丝保持在10000人次左右</w:t>
            </w:r>
            <w:r>
              <w:rPr>
                <w:rFonts w:hint="default" w:ascii="Times New Roman" w:hAnsi="Times New Roman" w:eastAsia="仿宋_GB2312" w:cs="Times New Roman"/>
                <w:color w:val="000000"/>
                <w:kern w:val="0"/>
                <w:lang w:eastAsia="zh-CN"/>
              </w:rPr>
              <w:t>。</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20</w:t>
            </w:r>
          </w:p>
        </w:tc>
        <w:tc>
          <w:tcPr>
            <w:tcW w:w="6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18</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需提高微信公众号粉丝粘度，及新粉丝关注数</w:t>
            </w:r>
          </w:p>
        </w:tc>
      </w:tr>
      <w:tr>
        <w:tblPrEx>
          <w:tblLayout w:type="fixed"/>
          <w:tblCellMar>
            <w:top w:w="0" w:type="dxa"/>
            <w:left w:w="108" w:type="dxa"/>
            <w:bottom w:w="0" w:type="dxa"/>
            <w:right w:w="108" w:type="dxa"/>
          </w:tblCellMar>
        </w:tblPrEx>
        <w:trPr>
          <w:trHeight w:val="956" w:hRule="atLeast"/>
          <w:jc w:val="center"/>
        </w:trPr>
        <w:tc>
          <w:tcPr>
            <w:tcW w:w="108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rPr>
            </w:pPr>
          </w:p>
        </w:tc>
        <w:tc>
          <w:tcPr>
            <w:tcW w:w="1080"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满意度</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指标</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（10分）</w:t>
            </w:r>
          </w:p>
        </w:tc>
        <w:tc>
          <w:tcPr>
            <w:tcW w:w="831" w:type="dxa"/>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服务对象满意度指标</w:t>
            </w:r>
          </w:p>
        </w:tc>
        <w:tc>
          <w:tcPr>
            <w:tcW w:w="883" w:type="dxa"/>
            <w:gridSpan w:val="2"/>
            <w:tcBorders>
              <w:top w:val="single" w:color="auto" w:sz="4" w:space="0"/>
              <w:left w:val="nil"/>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游客投诉量</w:t>
            </w:r>
          </w:p>
        </w:tc>
        <w:tc>
          <w:tcPr>
            <w:tcW w:w="1724" w:type="dxa"/>
            <w:gridSpan w:val="2"/>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全年无投诉。</w:t>
            </w:r>
          </w:p>
        </w:tc>
        <w:tc>
          <w:tcPr>
            <w:tcW w:w="1868" w:type="dxa"/>
            <w:gridSpan w:val="2"/>
            <w:tcBorders>
              <w:top w:val="single" w:color="auto" w:sz="4" w:space="0"/>
              <w:left w:val="nil"/>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全年无投诉。</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p>
        </w:tc>
      </w:tr>
      <w:tr>
        <w:tblPrEx>
          <w:tblLayout w:type="fixed"/>
          <w:tblCellMar>
            <w:top w:w="0" w:type="dxa"/>
            <w:left w:w="108" w:type="dxa"/>
            <w:bottom w:w="0" w:type="dxa"/>
            <w:right w:w="108" w:type="dxa"/>
          </w:tblCellMar>
        </w:tblPrEx>
        <w:trPr>
          <w:jc w:val="center"/>
        </w:trPr>
        <w:tc>
          <w:tcPr>
            <w:tcW w:w="7466"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总分</w:t>
            </w:r>
          </w:p>
        </w:tc>
        <w:tc>
          <w:tcPr>
            <w:tcW w:w="60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100</w:t>
            </w:r>
          </w:p>
        </w:tc>
        <w:tc>
          <w:tcPr>
            <w:tcW w:w="63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98</w:t>
            </w:r>
          </w:p>
        </w:tc>
        <w:tc>
          <w:tcPr>
            <w:tcW w:w="1148"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w:t>
            </w:r>
          </w:p>
        </w:tc>
      </w:tr>
    </w:tbl>
    <w:p>
      <w:pPr>
        <w:rPr>
          <w:rFonts w:hint="default" w:ascii="Times New Roman" w:hAnsi="Times New Roman" w:cs="Times New Roman"/>
        </w:rPr>
      </w:pPr>
      <w:r>
        <w:rPr>
          <w:rFonts w:hint="default" w:ascii="Times New Roman" w:hAnsi="Times New Roman" w:eastAsia="仿宋_GB2312" w:cs="Times New Roman"/>
          <w:kern w:val="0"/>
        </w:rPr>
        <w:t>填表人：</w:t>
      </w:r>
      <w:r>
        <w:rPr>
          <w:rFonts w:hint="default" w:ascii="Times New Roman" w:hAnsi="Times New Roman" w:cs="Times New Roman"/>
        </w:rPr>
        <w:t>廖怡婷</w:t>
      </w:r>
      <w:r>
        <w:rPr>
          <w:rFonts w:hint="default" w:ascii="Times New Roman" w:hAnsi="Times New Roman" w:eastAsia="仿宋_GB2312" w:cs="Times New Roman"/>
          <w:kern w:val="0"/>
        </w:rPr>
        <w:t xml:space="preserve"> 填报日期：2021年5月27日 联系电话：</w:t>
      </w:r>
      <w:r>
        <w:rPr>
          <w:rFonts w:hint="default" w:ascii="Times New Roman" w:hAnsi="Times New Roman" w:cs="Times New Roman"/>
        </w:rPr>
        <w:t>89782907</w:t>
      </w:r>
      <w:r>
        <w:rPr>
          <w:rFonts w:hint="default" w:ascii="Times New Roman" w:hAnsi="Times New Roman" w:eastAsia="仿宋_GB2312" w:cs="Times New Roman"/>
          <w:kern w:val="0"/>
        </w:rPr>
        <w:t xml:space="preserve"> 单位负责人签字：</w:t>
      </w:r>
    </w:p>
    <w:p>
      <w:pPr>
        <w:ind w:firstLine="640" w:firstLineChars="200"/>
        <w:jc w:val="left"/>
        <w:rPr>
          <w:rFonts w:hint="default" w:ascii="Times New Roman" w:hAnsi="Times New Roman" w:cs="Times New Roman"/>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09A7A"/>
    <w:multiLevelType w:val="singleLevel"/>
    <w:tmpl w:val="88109A7A"/>
    <w:lvl w:ilvl="0" w:tentative="0">
      <w:start w:val="4"/>
      <w:numFmt w:val="chineseCounting"/>
      <w:suff w:val="space"/>
      <w:lvlText w:val="第%1部分"/>
      <w:lvlJc w:val="left"/>
      <w:rPr>
        <w:rFonts w:hint="eastAsia"/>
      </w:rPr>
    </w:lvl>
  </w:abstractNum>
  <w:abstractNum w:abstractNumId="1">
    <w:nsid w:val="D5FC4387"/>
    <w:multiLevelType w:val="singleLevel"/>
    <w:tmpl w:val="D5FC4387"/>
    <w:lvl w:ilvl="0" w:tentative="0">
      <w:start w:val="1"/>
      <w:numFmt w:val="chineseCounting"/>
      <w:suff w:val="space"/>
      <w:lvlText w:val="第%1部分"/>
      <w:lvlJc w:val="left"/>
      <w:rPr>
        <w:rFonts w:hint="eastAsia"/>
      </w:rPr>
    </w:lvl>
  </w:abstractNum>
  <w:abstractNum w:abstractNumId="2">
    <w:nsid w:val="60498AAF"/>
    <w:multiLevelType w:val="singleLevel"/>
    <w:tmpl w:val="60498AAF"/>
    <w:lvl w:ilvl="0" w:tentative="0">
      <w:start w:val="1"/>
      <w:numFmt w:val="chineseCounting"/>
      <w:suff w:val="nothing"/>
      <w:lvlText w:val="%1、"/>
      <w:lvlJc w:val="left"/>
    </w:lvl>
  </w:abstractNum>
  <w:abstractNum w:abstractNumId="3">
    <w:nsid w:val="609DCD6E"/>
    <w:multiLevelType w:val="singleLevel"/>
    <w:tmpl w:val="609DCD6E"/>
    <w:lvl w:ilvl="0" w:tentative="0">
      <w:start w:val="3"/>
      <w:numFmt w:val="chineseCounting"/>
      <w:suff w:val="nothing"/>
      <w:lvlText w:val="%1、"/>
      <w:lvlJc w:val="left"/>
    </w:lvl>
  </w:abstractNum>
  <w:abstractNum w:abstractNumId="4">
    <w:nsid w:val="60ADA8A1"/>
    <w:multiLevelType w:val="singleLevel"/>
    <w:tmpl w:val="60ADA8A1"/>
    <w:lvl w:ilvl="0" w:tentative="0">
      <w:start w:val="2"/>
      <w:numFmt w:val="chineseCounting"/>
      <w:suff w:val="nothing"/>
      <w:lvlText w:val="（%1）"/>
      <w:lvlJc w:val="left"/>
    </w:lvl>
  </w:abstractNum>
  <w:abstractNum w:abstractNumId="5">
    <w:nsid w:val="60ADAA05"/>
    <w:multiLevelType w:val="singleLevel"/>
    <w:tmpl w:val="60ADAA05"/>
    <w:lvl w:ilvl="0" w:tentative="0">
      <w:start w:val="8"/>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4BE6751"/>
    <w:rsid w:val="058745A9"/>
    <w:rsid w:val="06B87D21"/>
    <w:rsid w:val="0A874DE8"/>
    <w:rsid w:val="0ACB7C92"/>
    <w:rsid w:val="0C6C5D2D"/>
    <w:rsid w:val="0CD761D1"/>
    <w:rsid w:val="0FC343EC"/>
    <w:rsid w:val="0FEB35CF"/>
    <w:rsid w:val="12384A2D"/>
    <w:rsid w:val="15643155"/>
    <w:rsid w:val="15FE322D"/>
    <w:rsid w:val="161555FA"/>
    <w:rsid w:val="18563AD1"/>
    <w:rsid w:val="187F2617"/>
    <w:rsid w:val="18C01F36"/>
    <w:rsid w:val="19364A87"/>
    <w:rsid w:val="1951639E"/>
    <w:rsid w:val="1C624425"/>
    <w:rsid w:val="1F274C85"/>
    <w:rsid w:val="21324A31"/>
    <w:rsid w:val="2151635B"/>
    <w:rsid w:val="25291635"/>
    <w:rsid w:val="2A625314"/>
    <w:rsid w:val="304B546D"/>
    <w:rsid w:val="30E52E8E"/>
    <w:rsid w:val="31362ED6"/>
    <w:rsid w:val="317E63C3"/>
    <w:rsid w:val="335F00A4"/>
    <w:rsid w:val="33D149B1"/>
    <w:rsid w:val="34881E85"/>
    <w:rsid w:val="34C44732"/>
    <w:rsid w:val="3C9C0E94"/>
    <w:rsid w:val="3D820E56"/>
    <w:rsid w:val="455E17BB"/>
    <w:rsid w:val="480054B7"/>
    <w:rsid w:val="48807935"/>
    <w:rsid w:val="4B4747DB"/>
    <w:rsid w:val="4E1F50A3"/>
    <w:rsid w:val="4EC40BEC"/>
    <w:rsid w:val="508901C0"/>
    <w:rsid w:val="50C51313"/>
    <w:rsid w:val="50DD2CDE"/>
    <w:rsid w:val="51F921E3"/>
    <w:rsid w:val="52CE5FDB"/>
    <w:rsid w:val="545002A9"/>
    <w:rsid w:val="57050A56"/>
    <w:rsid w:val="5C2A3D8D"/>
    <w:rsid w:val="5E540570"/>
    <w:rsid w:val="62BA51C1"/>
    <w:rsid w:val="62D832D2"/>
    <w:rsid w:val="633226CD"/>
    <w:rsid w:val="647B185A"/>
    <w:rsid w:val="653D278C"/>
    <w:rsid w:val="67B23B64"/>
    <w:rsid w:val="68B90C63"/>
    <w:rsid w:val="6B717EFA"/>
    <w:rsid w:val="6B7F1DE4"/>
    <w:rsid w:val="6BEE0BED"/>
    <w:rsid w:val="6CA81010"/>
    <w:rsid w:val="6D5E7B8A"/>
    <w:rsid w:val="70355343"/>
    <w:rsid w:val="70413882"/>
    <w:rsid w:val="70495F24"/>
    <w:rsid w:val="706B32E4"/>
    <w:rsid w:val="70D20AE4"/>
    <w:rsid w:val="71506D0C"/>
    <w:rsid w:val="75072AC0"/>
    <w:rsid w:val="77FA1D8D"/>
    <w:rsid w:val="7AA42CBF"/>
    <w:rsid w:val="7B0C0294"/>
    <w:rsid w:val="7F2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firstLine="633" w:firstLineChars="200"/>
    </w:pPr>
    <w:rPr>
      <w:rFonts w:ascii="仿宋_GB2312" w:hAnsi="仿宋_GB2312" w:eastAsia="仿宋_GB2312" w:cs="仿宋_GB2312"/>
      <w:b/>
      <w:bCs/>
      <w:w w:val="98"/>
      <w:sz w:val="32"/>
      <w:szCs w:val="32"/>
    </w:rPr>
  </w:style>
  <w:style w:type="paragraph" w:styleId="3">
    <w:name w:val="Body Text"/>
    <w:basedOn w:val="1"/>
    <w:unhideWhenUsed/>
    <w:uiPriority w:val="99"/>
    <w:pPr>
      <w:keepNext w:val="0"/>
      <w:keepLines w:val="0"/>
      <w:widowControl/>
      <w:suppressLineNumbers w:val="0"/>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4"/>
    <w:semiHidden/>
    <w:qFormat/>
    <w:uiPriority w:val="99"/>
    <w:rPr>
      <w:sz w:val="18"/>
      <w:szCs w:val="18"/>
    </w:rPr>
  </w:style>
  <w:style w:type="paragraph" w:customStyle="1" w:styleId="1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7"/>
    <w:qFormat/>
    <w:uiPriority w:val="0"/>
    <w:rPr>
      <w:rFonts w:hint="default" w:ascii="Times New Roman" w:hAnsi="Times New Roman" w:cs="Times New Roman"/>
      <w:b/>
    </w:rPr>
  </w:style>
  <w:style w:type="character" w:customStyle="1" w:styleId="16">
    <w:name w:val="fontstyle01"/>
    <w:basedOn w:val="7"/>
    <w:qFormat/>
    <w:uiPriority w:val="99"/>
    <w:rPr>
      <w:rFonts w:ascii="黑体" w:hAnsi="宋体" w:eastAsia="黑体" w:cs="黑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1300</Words>
  <Characters>7415</Characters>
  <Lines>61</Lines>
  <Paragraphs>17</Paragraphs>
  <TotalTime>24</TotalTime>
  <ScaleCrop>false</ScaleCrop>
  <LinksUpToDate>false</LinksUpToDate>
  <CharactersWithSpaces>8698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liheng</cp:lastModifiedBy>
  <cp:lastPrinted>2021-09-14T03:07:00Z</cp:lastPrinted>
  <dcterms:modified xsi:type="dcterms:W3CDTF">2021-09-16T02:53:17Z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