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500" w:lineRule="exact"/>
        <w:jc w:val="left"/>
        <w:rPr>
          <w:rFonts w:hint="eastAsia" w:ascii="Times New Roman" w:hAnsi="Times New Roman" w:eastAsia="黑体" w:cs="Times New Roman"/>
          <w:sz w:val="32"/>
          <w:szCs w:val="32"/>
          <w:lang w:eastAsia="zh-CN"/>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2</w:t>
      </w:r>
      <w:bookmarkStart w:id="0" w:name="_GoBack"/>
      <w:bookmarkEnd w:id="0"/>
    </w:p>
    <w:p>
      <w:pPr>
        <w:widowControl/>
        <w:spacing w:afterLines="50" w:line="5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w:t>
      </w:r>
      <w:r>
        <w:rPr>
          <w:rFonts w:hint="eastAsia" w:ascii="Times New Roman" w:hAnsi="Times New Roman" w:eastAsia="方正小标宋_GBK" w:cs="方正小标宋_GBK"/>
          <w:color w:val="000000"/>
          <w:kern w:val="0"/>
          <w:sz w:val="36"/>
          <w:szCs w:val="36"/>
        </w:rPr>
        <w:t>年度部门整体支出绩效自评表</w:t>
      </w:r>
    </w:p>
    <w:tbl>
      <w:tblPr>
        <w:tblStyle w:val="7"/>
        <w:tblW w:w="9993" w:type="dxa"/>
        <w:jc w:val="center"/>
        <w:tblLayout w:type="fixed"/>
        <w:tblCellMar>
          <w:top w:w="0" w:type="dxa"/>
          <w:left w:w="108" w:type="dxa"/>
          <w:bottom w:w="0" w:type="dxa"/>
          <w:right w:w="108" w:type="dxa"/>
        </w:tblCellMar>
      </w:tblPr>
      <w:tblGrid>
        <w:gridCol w:w="1080"/>
        <w:gridCol w:w="1080"/>
        <w:gridCol w:w="718"/>
        <w:gridCol w:w="235"/>
        <w:gridCol w:w="537"/>
        <w:gridCol w:w="719"/>
        <w:gridCol w:w="1295"/>
        <w:gridCol w:w="1276"/>
        <w:gridCol w:w="709"/>
        <w:gridCol w:w="159"/>
        <w:gridCol w:w="600"/>
        <w:gridCol w:w="233"/>
        <w:gridCol w:w="237"/>
        <w:gridCol w:w="111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省级预算部门名称</w:t>
            </w:r>
          </w:p>
        </w:tc>
        <w:tc>
          <w:tcPr>
            <w:tcW w:w="8913"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湖南省长株潭两型社会建设服务中心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年度预</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算申请</w:t>
            </w:r>
            <w:r>
              <w:rPr>
                <w:rFonts w:ascii="Times New Roman" w:hAnsi="Times New Roman" w:eastAsia="仿宋_GB2312" w:cs="Times New Roman"/>
                <w:color w:val="000000"/>
                <w:kern w:val="0"/>
              </w:rPr>
              <w:br w:type="textWrapping"/>
            </w:r>
            <w:r>
              <w:rPr>
                <w:rFonts w:hint="eastAsia" w:ascii="Times New Roman" w:hAnsi="Times New Roman" w:eastAsia="仿宋_GB2312" w:cs="仿宋_GB2312"/>
                <w:color w:val="000000"/>
                <w:kern w:val="0"/>
              </w:rPr>
              <w:t>（万元）</w:t>
            </w:r>
          </w:p>
        </w:tc>
        <w:tc>
          <w:tcPr>
            <w:tcW w:w="2033" w:type="dxa"/>
            <w:gridSpan w:val="3"/>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年初</w:t>
            </w:r>
          </w:p>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预算数</w:t>
            </w:r>
          </w:p>
        </w:tc>
        <w:tc>
          <w:tcPr>
            <w:tcW w:w="129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分值</w:t>
            </w:r>
          </w:p>
        </w:tc>
        <w:tc>
          <w:tcPr>
            <w:tcW w:w="992" w:type="dxa"/>
            <w:gridSpan w:val="3"/>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执行率</w:t>
            </w:r>
          </w:p>
        </w:tc>
        <w:tc>
          <w:tcPr>
            <w:tcW w:w="1352"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p>
        </w:tc>
        <w:tc>
          <w:tcPr>
            <w:tcW w:w="2033" w:type="dxa"/>
            <w:gridSpan w:val="3"/>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hint="eastAsia" w:ascii="Times New Roman" w:hAnsi="Times New Roman" w:eastAsia="仿宋_GB2312" w:cs="仿宋_GB2312"/>
                <w:color w:val="000000"/>
                <w:kern w:val="0"/>
              </w:rPr>
              <w:t>年度资金总额</w:t>
            </w: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cs="Times New Roman"/>
              </w:rPr>
              <w:t>1,391.53</w:t>
            </w:r>
          </w:p>
        </w:tc>
        <w:tc>
          <w:tcPr>
            <w:tcW w:w="129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kern w:val="0"/>
              </w:rPr>
              <w:t>2,610.35</w:t>
            </w:r>
          </w:p>
        </w:tc>
        <w:tc>
          <w:tcPr>
            <w:tcW w:w="12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2,163.41</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992" w:type="dxa"/>
            <w:gridSpan w:val="3"/>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82.88%</w:t>
            </w:r>
          </w:p>
        </w:tc>
        <w:tc>
          <w:tcPr>
            <w:tcW w:w="1352"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rPr>
              <w:t>9</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按收入性质分：</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按支出性质分：</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其中：</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一般公共预算</w:t>
            </w:r>
            <w:r>
              <w:rPr>
                <w:rFonts w:ascii="Times New Roman" w:hAnsi="Times New Roman" w:eastAsia="仿宋_GB2312" w:cs="Times New Roman"/>
                <w:color w:val="000000"/>
                <w:kern w:val="0"/>
              </w:rPr>
              <w:t>:</w:t>
            </w:r>
            <w:r>
              <w:rPr>
                <w:rFonts w:ascii="Times New Roman" w:hAnsi="Times New Roman" w:cs="Times New Roman"/>
              </w:rPr>
              <w:t>1,391.53</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其中：基本支出：</w:t>
            </w:r>
            <w:r>
              <w:rPr>
                <w:rFonts w:ascii="Times New Roman" w:hAnsi="Times New Roman" w:eastAsia="仿宋_GB2312" w:cs="Times New Roman"/>
                <w:color w:val="000000"/>
                <w:kern w:val="0"/>
              </w:rPr>
              <w:t>1,113.69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政府性基金拨款：</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项目支出：</w:t>
            </w:r>
            <w:r>
              <w:rPr>
                <w:rFonts w:ascii="Times New Roman" w:hAnsi="Times New Roman" w:eastAsia="仿宋_GB2312" w:cs="Times New Roman"/>
                <w:color w:val="000000"/>
                <w:kern w:val="0"/>
              </w:rPr>
              <w:t>1,049.72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纳入专户管理的非税收入拨款：</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其他资金：</w:t>
            </w:r>
          </w:p>
        </w:tc>
        <w:tc>
          <w:tcPr>
            <w:tcW w:w="4329" w:type="dxa"/>
            <w:gridSpan w:val="7"/>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年度总体目标</w:t>
            </w:r>
          </w:p>
        </w:tc>
        <w:tc>
          <w:tcPr>
            <w:tcW w:w="4584"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预期目标</w:t>
            </w:r>
          </w:p>
        </w:tc>
        <w:tc>
          <w:tcPr>
            <w:tcW w:w="43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4584" w:type="dxa"/>
            <w:gridSpan w:val="6"/>
            <w:tcBorders>
              <w:top w:val="single" w:color="auto" w:sz="4" w:space="0"/>
              <w:left w:val="nil"/>
              <w:bottom w:val="single" w:color="auto" w:sz="4" w:space="0"/>
              <w:right w:val="single" w:color="000000"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以习近平新时代中国特色社会主义思想为指引，认真贯彻党的十九大精神，全面落实省委、省政府的决策部署，加强统筹协调指导，全面深化长株潭两型试验区改革，加速推进长株潭一体化建设，大力保护长株潭生态绿心，为建设富饶美丽幸福新湖南作出新贡献，为全国绿色发展和城市群建设探索新经验。</w:t>
            </w:r>
          </w:p>
        </w:tc>
        <w:tc>
          <w:tcPr>
            <w:tcW w:w="432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以习近平新时代中国特色社会主义思想为指导，认真贯彻落实省委、省政府和省发改委的部署安排，进一步统一思想、振奋精神，对标对表、主动作为，统筹推进了长株潭试验区改革、长株潭一体化、长株潭生态绿心保护等重点工作，奋力开拓工作新局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绩</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效</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指</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一级指标</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二级指标</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三级指标</w:t>
            </w:r>
          </w:p>
        </w:tc>
        <w:tc>
          <w:tcPr>
            <w:tcW w:w="20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年度</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指标值</w:t>
            </w:r>
          </w:p>
        </w:tc>
        <w:tc>
          <w:tcPr>
            <w:tcW w:w="2144" w:type="dxa"/>
            <w:gridSpan w:val="3"/>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实际完成值</w:t>
            </w:r>
          </w:p>
        </w:tc>
        <w:tc>
          <w:tcPr>
            <w:tcW w:w="6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分值</w:t>
            </w:r>
          </w:p>
        </w:tc>
        <w:tc>
          <w:tcPr>
            <w:tcW w:w="47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得分</w:t>
            </w:r>
          </w:p>
        </w:tc>
        <w:tc>
          <w:tcPr>
            <w:tcW w:w="111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偏差原因</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分析及</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改进措施</w:t>
            </w:r>
          </w:p>
        </w:tc>
      </w:tr>
      <w:tr>
        <w:tblPrEx>
          <w:tblCellMar>
            <w:top w:w="0" w:type="dxa"/>
            <w:left w:w="108" w:type="dxa"/>
            <w:bottom w:w="0" w:type="dxa"/>
            <w:right w:w="108" w:type="dxa"/>
          </w:tblCellMar>
        </w:tblPrEx>
        <w:trPr>
          <w:trHeight w:val="75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产出指标</w:t>
            </w:r>
          </w:p>
          <w:p>
            <w:pPr>
              <w:widowControl/>
              <w:spacing w:line="240" w:lineRule="exact"/>
              <w:jc w:val="center"/>
              <w:rPr>
                <w:rFonts w:ascii="Times New Roman" w:hAnsi="Times New Roman" w:eastAsia="仿宋_GB2312" w:cs="Times New Roman"/>
                <w:color w:val="000000"/>
                <w:kern w:val="0"/>
              </w:rPr>
            </w:pPr>
          </w:p>
          <w:p>
            <w:pPr>
              <w:widowControl/>
              <w:spacing w:line="24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(50</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t>)</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数量指标</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在职人员控制率</w:t>
            </w:r>
          </w:p>
        </w:tc>
        <w:tc>
          <w:tcPr>
            <w:tcW w:w="2014"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以</w:t>
            </w:r>
            <w:r>
              <w:rPr>
                <w:rFonts w:ascii="Times New Roman" w:hAnsi="Times New Roman" w:eastAsia="仿宋_GB2312" w:cs="Times New Roman"/>
                <w:color w:val="000000"/>
                <w:kern w:val="0"/>
              </w:rPr>
              <w:t>100%</w:t>
            </w:r>
            <w:r>
              <w:rPr>
                <w:rFonts w:hint="eastAsia" w:ascii="Times New Roman" w:hAnsi="Times New Roman" w:eastAsia="仿宋_GB2312" w:cs="仿宋_GB2312"/>
                <w:color w:val="000000"/>
                <w:kern w:val="0"/>
              </w:rPr>
              <w:t>为标准。在职人员控制率</w:t>
            </w:r>
            <w:r>
              <w:rPr>
                <w:rFonts w:hint="eastAsia" w:ascii="宋体" w:hAnsi="宋体" w:cs="宋体"/>
                <w:color w:val="000000"/>
                <w:kern w:val="0"/>
              </w:rPr>
              <w:t>≦</w:t>
            </w:r>
            <w:r>
              <w:rPr>
                <w:rFonts w:ascii="Times New Roman" w:hAnsi="Times New Roman" w:eastAsia="仿宋_GB2312" w:cs="Times New Roman"/>
                <w:color w:val="000000"/>
                <w:kern w:val="0"/>
              </w:rPr>
              <w:t>100%</w:t>
            </w:r>
            <w:r>
              <w:rPr>
                <w:rFonts w:hint="eastAsia" w:ascii="Times New Roman" w:hAnsi="Times New Roman" w:eastAsia="仿宋_GB2312" w:cs="仿宋_GB2312"/>
                <w:color w:val="000000"/>
                <w:kern w:val="0"/>
              </w:rPr>
              <w:t>，计</w:t>
            </w:r>
            <w:r>
              <w:rPr>
                <w:rFonts w:ascii="Times New Roman" w:hAnsi="Times New Roman" w:eastAsia="仿宋_GB2312" w:cs="Times New Roman"/>
                <w:color w:val="000000"/>
                <w:kern w:val="0"/>
              </w:rPr>
              <w:t>5</w:t>
            </w:r>
            <w:r>
              <w:rPr>
                <w:rFonts w:hint="eastAsia" w:ascii="Times New Roman" w:hAnsi="Times New Roman" w:eastAsia="仿宋_GB2312" w:cs="仿宋_GB2312"/>
                <w:color w:val="000000"/>
                <w:kern w:val="0"/>
              </w:rPr>
              <w:t>分；每超过一个百分点扣</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分，扣完为止。</w:t>
            </w:r>
          </w:p>
        </w:tc>
        <w:tc>
          <w:tcPr>
            <w:tcW w:w="2144" w:type="dxa"/>
            <w:gridSpan w:val="3"/>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84.09%</w:t>
            </w:r>
          </w:p>
        </w:tc>
        <w:tc>
          <w:tcPr>
            <w:tcW w:w="60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8</w:t>
            </w:r>
          </w:p>
        </w:tc>
        <w:tc>
          <w:tcPr>
            <w:tcW w:w="470"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8</w:t>
            </w:r>
          </w:p>
        </w:tc>
        <w:tc>
          <w:tcPr>
            <w:tcW w:w="111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241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质量指标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管理制度健全性</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①有内部财务管理制度、会计核算制度等管理制度，</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br w:type="textWrapping"/>
            </w:r>
            <w:r>
              <w:rPr>
                <w:rFonts w:hint="eastAsia" w:ascii="Times New Roman" w:hAnsi="Times New Roman" w:eastAsia="仿宋_GB2312" w:cs="仿宋_GB2312"/>
                <w:color w:val="000000"/>
                <w:kern w:val="0"/>
              </w:rPr>
              <w:t>②有本部门厉行节约制度</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br w:type="textWrapping"/>
            </w:r>
            <w:r>
              <w:rPr>
                <w:rFonts w:hint="eastAsia" w:ascii="Times New Roman" w:hAnsi="Times New Roman" w:eastAsia="仿宋_GB2312" w:cs="仿宋_GB2312"/>
                <w:color w:val="000000"/>
                <w:kern w:val="0"/>
              </w:rPr>
              <w:t>③相关管理制度合法、合规、完整，</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分；④相关管理制度得到有效执行，</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分。</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rPr>
            </w:pPr>
            <w:r>
              <w:rPr>
                <w:rFonts w:hint="eastAsia" w:ascii="Times New Roman" w:hAnsi="Times New Roman" w:eastAsia="仿宋_GB2312" w:cs="仿宋_GB2312"/>
                <w:color w:val="000000"/>
                <w:kern w:val="0"/>
              </w:rPr>
              <w:t>有内部财务管理制度、会计核算制度等管理制度、厉行节约制度，相关管理制度合法、合规、完整，且得到有效执行。</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时效指标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完成时间</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cs="Times New Roman"/>
              </w:rPr>
              <w:t>2020</w:t>
            </w:r>
            <w:r>
              <w:rPr>
                <w:rFonts w:hint="eastAsia" w:ascii="Times New Roman" w:hAnsi="Times New Roman" w:cs="宋体"/>
              </w:rPr>
              <w:t>年底以前</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已完成</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383"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vMerge w:val="restart"/>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成本指标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公用经费控制率</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100%</w:t>
            </w:r>
            <w:r>
              <w:rPr>
                <w:rFonts w:hint="eastAsia" w:ascii="Times New Roman" w:hAnsi="Times New Roman" w:eastAsia="仿宋_GB2312" w:cs="仿宋_GB2312"/>
                <w:color w:val="000000"/>
                <w:kern w:val="0"/>
              </w:rPr>
              <w:t>以下（含）计满分，每超出</w:t>
            </w: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扣</w:t>
            </w: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分，扣完为止。</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95.11%</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37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三公经费</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控制率</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rPr>
            </w:pPr>
            <w:r>
              <w:rPr>
                <w:rFonts w:ascii="Times New Roman" w:hAnsi="Times New Roman" w:eastAsia="仿宋_GB2312" w:cs="Times New Roman"/>
                <w:color w:val="000000"/>
                <w:kern w:val="0"/>
              </w:rPr>
              <w:t>100%</w:t>
            </w:r>
            <w:r>
              <w:rPr>
                <w:rFonts w:hint="eastAsia" w:ascii="Times New Roman" w:hAnsi="Times New Roman" w:eastAsia="仿宋_GB2312" w:cs="仿宋_GB2312"/>
                <w:color w:val="000000"/>
                <w:kern w:val="0"/>
              </w:rPr>
              <w:t>以下（含）计满分，每超出</w:t>
            </w: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扣</w:t>
            </w: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分，扣完为止。</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44.29%</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restart"/>
            <w:tcBorders>
              <w:top w:val="single" w:color="auto" w:sz="4" w:space="0"/>
              <w:left w:val="nil"/>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效益指标</w:t>
            </w:r>
          </w:p>
          <w:p>
            <w:pPr>
              <w:widowControl/>
              <w:spacing w:line="240" w:lineRule="exact"/>
              <w:jc w:val="left"/>
              <w:rPr>
                <w:rFonts w:ascii="Times New Roman" w:hAnsi="Times New Roman" w:eastAsia="仿宋_GB2312" w:cs="Times New Roman"/>
                <w:color w:val="000000"/>
                <w:kern w:val="0"/>
              </w:rPr>
            </w:pPr>
          </w:p>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w:t>
            </w:r>
            <w:r>
              <w:rPr>
                <w:rFonts w:ascii="Times New Roman" w:hAnsi="Times New Roman" w:eastAsia="仿宋_GB2312" w:cs="Times New Roman"/>
                <w:color w:val="000000"/>
                <w:kern w:val="0"/>
              </w:rPr>
              <w:t>30</w:t>
            </w:r>
            <w:r>
              <w:rPr>
                <w:rFonts w:hint="eastAsia" w:ascii="Times New Roman" w:hAnsi="Times New Roman" w:eastAsia="仿宋_GB2312" w:cs="仿宋_GB2312"/>
                <w:color w:val="000000"/>
                <w:kern w:val="0"/>
              </w:rPr>
              <w:t>分）</w:t>
            </w: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经济效</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益指标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建设中部崛起的重要增长极</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积极推动长株潭一体化建设。</w:t>
            </w:r>
          </w:p>
        </w:tc>
        <w:tc>
          <w:tcPr>
            <w:tcW w:w="2144"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highlight w:val="yellow"/>
              </w:rPr>
            </w:pPr>
            <w:r>
              <w:rPr>
                <w:rFonts w:hint="eastAsia" w:ascii="Times New Roman" w:hAnsi="Times New Roman" w:eastAsia="仿宋_GB2312" w:cs="仿宋_GB2312"/>
                <w:color w:val="000000"/>
                <w:kern w:val="0"/>
              </w:rPr>
              <w:t>完成了</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长株潭大都市圈发展战略研究</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和</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长株潭一体化公共服务平台建设专题研究</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，参与了长株潭区域一体化发展规划纲要和长株潭人才协同发展研究的顶层设计工作。</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24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社会效</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益指标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脱贫攻坚</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指导紫鹊界村开展脱贫攻坚，引导全体干部积极参与。</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2020</w:t>
            </w:r>
            <w:r>
              <w:rPr>
                <w:rFonts w:hint="eastAsia" w:ascii="Times New Roman" w:hAnsi="Times New Roman" w:eastAsia="仿宋_GB2312" w:cs="仿宋_GB2312"/>
                <w:color w:val="000000"/>
                <w:kern w:val="0"/>
              </w:rPr>
              <w:t>年中心全体干部多次赴紫鹊界村慰问走访贫困户，开展消费扶贫，调研脱贫攻坚工作。紫鹊界村整村脱贫成果得到巩固，脱贫攻坚常态化督查炎陵县、桂阳县持续加强。</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960" w:hRule="atLeast"/>
          <w:jc w:val="center"/>
        </w:trPr>
        <w:tc>
          <w:tcPr>
            <w:tcW w:w="1080" w:type="dxa"/>
            <w:vMerge w:val="continue"/>
            <w:tcBorders>
              <w:left w:val="single" w:color="auto" w:sz="4" w:space="0"/>
              <w:bottom w:val="nil"/>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1080" w:type="dxa"/>
            <w:vMerge w:val="continue"/>
            <w:tcBorders>
              <w:left w:val="nil"/>
              <w:right w:val="single" w:color="auto" w:sz="4" w:space="0"/>
            </w:tcBorders>
            <w:vAlign w:val="center"/>
          </w:tcPr>
          <w:p>
            <w:pPr>
              <w:spacing w:line="240" w:lineRule="exact"/>
              <w:jc w:val="left"/>
              <w:rPr>
                <w:rFonts w:ascii="Times New Roman" w:hAnsi="Times New Roman" w:eastAsia="仿宋_GB2312" w:cs="Times New Roman"/>
                <w:color w:val="000000"/>
                <w:kern w:val="0"/>
              </w:rPr>
            </w:pPr>
          </w:p>
        </w:tc>
        <w:tc>
          <w:tcPr>
            <w:tcW w:w="718" w:type="dxa"/>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生态效</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益指标</w:t>
            </w:r>
          </w:p>
        </w:tc>
        <w:tc>
          <w:tcPr>
            <w:tcW w:w="772" w:type="dxa"/>
            <w:gridSpan w:val="2"/>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推动湖湘绿色发展</w:t>
            </w:r>
          </w:p>
        </w:tc>
        <w:tc>
          <w:tcPr>
            <w:tcW w:w="2014" w:type="dxa"/>
            <w:gridSpan w:val="2"/>
            <w:vMerge w:val="restart"/>
            <w:tcBorders>
              <w:top w:val="single" w:color="auto" w:sz="4" w:space="0"/>
              <w:left w:val="nil"/>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主动开展长株潭生态绿心保护。</w:t>
            </w:r>
          </w:p>
        </w:tc>
        <w:tc>
          <w:tcPr>
            <w:tcW w:w="2144" w:type="dxa"/>
            <w:gridSpan w:val="3"/>
            <w:tcBorders>
              <w:top w:val="single" w:color="auto" w:sz="4" w:space="0"/>
              <w:left w:val="nil"/>
              <w:right w:val="single" w:color="auto" w:sz="4" w:space="0"/>
            </w:tcBorders>
            <w:vAlign w:val="center"/>
          </w:tcPr>
          <w:p>
            <w:pPr>
              <w:widowControl/>
              <w:jc w:val="left"/>
              <w:rPr>
                <w:rFonts w:ascii="Times New Roman" w:hAnsi="Times New Roman" w:eastAsia="仿宋_GB2312" w:cs="Times New Roman"/>
                <w:color w:val="000000"/>
                <w:kern w:val="0"/>
                <w:highlight w:val="yellow"/>
              </w:rPr>
            </w:pPr>
            <w:r>
              <w:rPr>
                <w:rFonts w:hint="eastAsia" w:ascii="Times New Roman" w:hAnsi="Times New Roman" w:eastAsia="仿宋_GB2312" w:cs="仿宋_GB2312"/>
                <w:color w:val="000000"/>
                <w:kern w:val="0"/>
              </w:rPr>
              <w:t>开展了</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天眼系统</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监测，完成了前三季度土地使用变化情况监测，发现疑似违法违规用地共</w:t>
            </w:r>
            <w:r>
              <w:rPr>
                <w:rFonts w:ascii="Times New Roman" w:hAnsi="Times New Roman" w:eastAsia="仿宋_GB2312" w:cs="Times New Roman"/>
                <w:color w:val="000000"/>
                <w:kern w:val="0"/>
              </w:rPr>
              <w:t>195</w:t>
            </w:r>
            <w:r>
              <w:rPr>
                <w:rFonts w:hint="eastAsia" w:ascii="Times New Roman" w:hAnsi="Times New Roman" w:eastAsia="仿宋_GB2312" w:cs="仿宋_GB2312"/>
                <w:color w:val="000000"/>
                <w:kern w:val="0"/>
              </w:rPr>
              <w:t>宗，总面积</w:t>
            </w:r>
            <w:r>
              <w:rPr>
                <w:rFonts w:ascii="Times New Roman" w:hAnsi="Times New Roman" w:eastAsia="仿宋_GB2312" w:cs="Times New Roman"/>
                <w:color w:val="000000"/>
                <w:kern w:val="0"/>
              </w:rPr>
              <w:t>2559.08</w:t>
            </w:r>
            <w:r>
              <w:rPr>
                <w:rFonts w:hint="eastAsia" w:ascii="Times New Roman" w:hAnsi="Times New Roman" w:eastAsia="仿宋_GB2312" w:cs="仿宋_GB2312"/>
                <w:color w:val="000000"/>
                <w:kern w:val="0"/>
              </w:rPr>
              <w:t>亩。所有违法违规图斑已经下发至长株潭三市人民政府，并要求组织整改。</w:t>
            </w:r>
          </w:p>
        </w:tc>
        <w:tc>
          <w:tcPr>
            <w:tcW w:w="600" w:type="dxa"/>
            <w:tcBorders>
              <w:top w:val="single" w:color="auto" w:sz="4" w:space="0"/>
              <w:left w:val="nil"/>
              <w:right w:val="single" w:color="auto" w:sz="4" w:space="0"/>
            </w:tcBorders>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right w:val="single" w:color="auto" w:sz="4" w:space="0"/>
            </w:tcBorders>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1040" w:hRule="atLeast"/>
          <w:jc w:val="center"/>
        </w:trPr>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可持续影响指标</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探索绿色发展和城市群建设</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纵深推进长株潭试验区改革。</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highlight w:val="yellow"/>
              </w:rPr>
            </w:pPr>
            <w:r>
              <w:rPr>
                <w:rFonts w:hint="eastAsia" w:ascii="Times New Roman" w:hAnsi="Times New Roman" w:eastAsia="仿宋_GB2312" w:cs="仿宋_GB2312"/>
                <w:color w:val="000000"/>
                <w:kern w:val="0"/>
              </w:rPr>
              <w:t>对试验区开展第三方总结评估，研究试验区下步战略走向，组织各市和省直有关部门做好自评工作，已形成评估总结报告和下步走向研究报告。</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29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绩</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效</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指</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满意度</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指标</w:t>
            </w:r>
          </w:p>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w:t>
            </w:r>
            <w:r>
              <w:rPr>
                <w:rFonts w:ascii="Times New Roman" w:hAnsi="Times New Roman" w:eastAsia="仿宋_GB2312" w:cs="Times New Roman"/>
                <w:color w:val="000000"/>
                <w:kern w:val="0"/>
              </w:rPr>
              <w:t>10</w:t>
            </w:r>
            <w:r>
              <w:rPr>
                <w:rFonts w:hint="eastAsia" w:ascii="Times New Roman" w:hAnsi="Times New Roman" w:eastAsia="仿宋_GB2312" w:cs="仿宋_GB2312"/>
                <w:color w:val="000000"/>
                <w:kern w:val="0"/>
              </w:rPr>
              <w:t>分）</w:t>
            </w:r>
          </w:p>
        </w:tc>
        <w:tc>
          <w:tcPr>
            <w:tcW w:w="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服务对象满意度指标</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社会公众或服务对象满意度</w:t>
            </w:r>
          </w:p>
        </w:tc>
        <w:tc>
          <w:tcPr>
            <w:tcW w:w="201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90%</w:t>
            </w:r>
            <w:r>
              <w:rPr>
                <w:rFonts w:hint="eastAsia" w:ascii="Times New Roman" w:hAnsi="Times New Roman" w:eastAsia="仿宋_GB2312" w:cs="仿宋_GB2312"/>
                <w:color w:val="000000"/>
                <w:kern w:val="0"/>
              </w:rPr>
              <w:t>（含）以上计</w:t>
            </w:r>
            <w:r>
              <w:rPr>
                <w:rFonts w:ascii="Times New Roman" w:hAnsi="Times New Roman" w:eastAsia="仿宋_GB2312" w:cs="Times New Roman"/>
                <w:color w:val="000000"/>
                <w:kern w:val="0"/>
              </w:rPr>
              <w:t>10</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br w:type="textWrapping"/>
            </w:r>
            <w:r>
              <w:rPr>
                <w:rFonts w:ascii="Times New Roman" w:hAnsi="Times New Roman" w:eastAsia="仿宋_GB2312" w:cs="Times New Roman"/>
                <w:color w:val="000000"/>
                <w:kern w:val="0"/>
              </w:rPr>
              <w:t>80%</w:t>
            </w:r>
            <w:r>
              <w:rPr>
                <w:rFonts w:hint="eastAsia" w:ascii="Times New Roman" w:hAnsi="Times New Roman" w:eastAsia="仿宋_GB2312" w:cs="仿宋_GB2312"/>
                <w:color w:val="000000"/>
                <w:kern w:val="0"/>
              </w:rPr>
              <w:t>（含）</w:t>
            </w:r>
            <w:r>
              <w:rPr>
                <w:rFonts w:ascii="Times New Roman" w:hAnsi="Times New Roman" w:eastAsia="仿宋_GB2312" w:cs="Times New Roman"/>
                <w:color w:val="000000"/>
                <w:kern w:val="0"/>
              </w:rPr>
              <w:t>-90%</w:t>
            </w:r>
            <w:r>
              <w:rPr>
                <w:rFonts w:hint="eastAsia" w:ascii="Times New Roman" w:hAnsi="Times New Roman" w:eastAsia="仿宋_GB2312" w:cs="仿宋_GB2312"/>
                <w:color w:val="000000"/>
                <w:kern w:val="0"/>
              </w:rPr>
              <w:t>，计</w:t>
            </w:r>
            <w:r>
              <w:rPr>
                <w:rFonts w:ascii="Times New Roman" w:hAnsi="Times New Roman" w:eastAsia="仿宋_GB2312" w:cs="Times New Roman"/>
                <w:color w:val="000000"/>
                <w:kern w:val="0"/>
              </w:rPr>
              <w:t>8</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br w:type="textWrapping"/>
            </w:r>
            <w:r>
              <w:rPr>
                <w:rFonts w:ascii="Times New Roman" w:hAnsi="Times New Roman" w:eastAsia="仿宋_GB2312" w:cs="Times New Roman"/>
                <w:color w:val="000000"/>
                <w:kern w:val="0"/>
              </w:rPr>
              <w:t>70%</w:t>
            </w:r>
            <w:r>
              <w:rPr>
                <w:rFonts w:hint="eastAsia" w:ascii="Times New Roman" w:hAnsi="Times New Roman" w:eastAsia="仿宋_GB2312" w:cs="仿宋_GB2312"/>
                <w:color w:val="000000"/>
                <w:kern w:val="0"/>
              </w:rPr>
              <w:t>（含）</w:t>
            </w:r>
            <w:r>
              <w:rPr>
                <w:rFonts w:ascii="Times New Roman" w:hAnsi="Times New Roman" w:eastAsia="仿宋_GB2312" w:cs="Times New Roman"/>
                <w:color w:val="000000"/>
                <w:kern w:val="0"/>
              </w:rPr>
              <w:t>-80%</w:t>
            </w:r>
            <w:r>
              <w:rPr>
                <w:rFonts w:hint="eastAsia" w:ascii="Times New Roman" w:hAnsi="Times New Roman" w:eastAsia="仿宋_GB2312" w:cs="仿宋_GB2312"/>
                <w:color w:val="000000"/>
                <w:kern w:val="0"/>
              </w:rPr>
              <w:t>，计</w:t>
            </w:r>
            <w:r>
              <w:rPr>
                <w:rFonts w:ascii="Times New Roman" w:hAnsi="Times New Roman" w:eastAsia="仿宋_GB2312" w:cs="Times New Roman"/>
                <w:color w:val="000000"/>
                <w:kern w:val="0"/>
              </w:rPr>
              <w:t>6</w:t>
            </w:r>
            <w:r>
              <w:rPr>
                <w:rFonts w:hint="eastAsia" w:ascii="Times New Roman" w:hAnsi="Times New Roman" w:eastAsia="仿宋_GB2312" w:cs="仿宋_GB2312"/>
                <w:color w:val="000000"/>
                <w:kern w:val="0"/>
              </w:rPr>
              <w:t>分；</w:t>
            </w:r>
            <w:r>
              <w:rPr>
                <w:rFonts w:ascii="Times New Roman" w:hAnsi="Times New Roman" w:eastAsia="仿宋_GB2312" w:cs="Times New Roman"/>
                <w:color w:val="000000"/>
                <w:kern w:val="0"/>
              </w:rPr>
              <w:br w:type="textWrapping"/>
            </w:r>
            <w:r>
              <w:rPr>
                <w:rFonts w:hint="eastAsia" w:ascii="Times New Roman" w:hAnsi="Times New Roman" w:eastAsia="仿宋_GB2312" w:cs="仿宋_GB2312"/>
                <w:color w:val="000000"/>
                <w:kern w:val="0"/>
              </w:rPr>
              <w:t>低于</w:t>
            </w:r>
            <w:r>
              <w:rPr>
                <w:rFonts w:ascii="Times New Roman" w:hAnsi="Times New Roman" w:eastAsia="仿宋_GB2312" w:cs="Times New Roman"/>
                <w:color w:val="000000"/>
                <w:kern w:val="0"/>
              </w:rPr>
              <w:t>70%</w:t>
            </w:r>
            <w:r>
              <w:rPr>
                <w:rFonts w:hint="eastAsia" w:ascii="Times New Roman" w:hAnsi="Times New Roman" w:eastAsia="仿宋_GB2312" w:cs="仿宋_GB2312"/>
                <w:color w:val="000000"/>
                <w:kern w:val="0"/>
              </w:rPr>
              <w:t>计</w:t>
            </w:r>
            <w:r>
              <w:rPr>
                <w:rFonts w:ascii="Times New Roman" w:hAnsi="Times New Roman" w:eastAsia="仿宋_GB2312" w:cs="Times New Roman"/>
                <w:color w:val="000000"/>
                <w:kern w:val="0"/>
              </w:rPr>
              <w:t>0</w:t>
            </w:r>
            <w:r>
              <w:rPr>
                <w:rFonts w:hint="eastAsia" w:ascii="Times New Roman" w:hAnsi="Times New Roman" w:eastAsia="仿宋_GB2312" w:cs="仿宋_GB2312"/>
                <w:color w:val="000000"/>
                <w:kern w:val="0"/>
              </w:rPr>
              <w:t>分。</w:t>
            </w:r>
          </w:p>
        </w:tc>
        <w:tc>
          <w:tcPr>
            <w:tcW w:w="2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90%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r>
        <w:tblPrEx>
          <w:tblCellMar>
            <w:top w:w="0" w:type="dxa"/>
            <w:left w:w="108" w:type="dxa"/>
            <w:bottom w:w="0" w:type="dxa"/>
            <w:right w:w="108" w:type="dxa"/>
          </w:tblCellMar>
        </w:tblPrEx>
        <w:trPr>
          <w:trHeight w:val="270" w:hRule="atLeast"/>
          <w:jc w:val="center"/>
        </w:trPr>
        <w:tc>
          <w:tcPr>
            <w:tcW w:w="7808" w:type="dxa"/>
            <w:gridSpan w:val="10"/>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总分</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100</w:t>
            </w:r>
          </w:p>
        </w:tc>
        <w:tc>
          <w:tcPr>
            <w:tcW w:w="4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99</w:t>
            </w:r>
          </w:p>
        </w:tc>
        <w:tc>
          <w:tcPr>
            <w:tcW w:w="11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rPr>
            </w:pPr>
          </w:p>
        </w:tc>
      </w:tr>
    </w:tbl>
    <w:p>
      <w:pPr>
        <w:rPr>
          <w:rFonts w:ascii="Times New Roman" w:hAnsi="Times New Roman" w:cs="Times New Roman"/>
        </w:rPr>
      </w:pPr>
      <w:r>
        <w:rPr>
          <w:rFonts w:hint="eastAsia" w:ascii="Times New Roman" w:hAnsi="Times New Roman" w:eastAsia="仿宋_GB2312" w:cs="仿宋_GB2312"/>
          <w:kern w:val="0"/>
        </w:rPr>
        <w:t>填表人：彭紫叶</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填报日期：</w:t>
      </w:r>
      <w:r>
        <w:rPr>
          <w:rFonts w:ascii="Times New Roman" w:hAnsi="Times New Roman" w:eastAsia="仿宋_GB2312" w:cs="Times New Roman"/>
          <w:kern w:val="0"/>
        </w:rPr>
        <w:t>2021</w:t>
      </w:r>
      <w:r>
        <w:rPr>
          <w:rFonts w:hint="eastAsia" w:ascii="Times New Roman" w:hAnsi="Times New Roman" w:eastAsia="仿宋_GB2312" w:cs="仿宋_GB2312"/>
          <w:kern w:val="0"/>
        </w:rPr>
        <w:t>年</w:t>
      </w:r>
      <w:r>
        <w:rPr>
          <w:rFonts w:ascii="Times New Roman" w:hAnsi="Times New Roman" w:eastAsia="仿宋_GB2312" w:cs="Times New Roman"/>
          <w:kern w:val="0"/>
        </w:rPr>
        <w:t>5</w:t>
      </w:r>
      <w:r>
        <w:rPr>
          <w:rFonts w:hint="eastAsia" w:ascii="Times New Roman" w:hAnsi="Times New Roman" w:eastAsia="仿宋_GB2312" w:cs="仿宋_GB2312"/>
          <w:kern w:val="0"/>
        </w:rPr>
        <w:t>月</w:t>
      </w:r>
      <w:r>
        <w:rPr>
          <w:rFonts w:ascii="Times New Roman" w:hAnsi="Times New Roman" w:eastAsia="仿宋_GB2312" w:cs="Times New Roman"/>
          <w:kern w:val="0"/>
        </w:rPr>
        <w:t>21</w:t>
      </w:r>
      <w:r>
        <w:rPr>
          <w:rFonts w:hint="eastAsia" w:ascii="Times New Roman" w:hAnsi="Times New Roman" w:eastAsia="仿宋_GB2312" w:cs="仿宋_GB2312"/>
          <w:kern w:val="0"/>
        </w:rPr>
        <w:t>日</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联系电话：</w:t>
      </w:r>
      <w:r>
        <w:rPr>
          <w:rFonts w:ascii="Times New Roman" w:hAnsi="Times New Roman" w:eastAsia="仿宋_GB2312" w:cs="Times New Roman"/>
          <w:kern w:val="0"/>
        </w:rPr>
        <w:t xml:space="preserve">85063995 </w:t>
      </w:r>
      <w:r>
        <w:rPr>
          <w:rFonts w:hint="eastAsia" w:ascii="Times New Roman" w:hAnsi="Times New Roman" w:eastAsia="仿宋_GB2312" w:cs="仿宋_GB2312"/>
          <w:kern w:val="0"/>
        </w:rPr>
        <w:t>单位负责人签字：</w:t>
      </w:r>
    </w:p>
    <w:sectPr>
      <w:headerReference r:id="rId3" w:type="default"/>
      <w:footerReference r:id="rId4" w:type="default"/>
      <w:pgSz w:w="11906" w:h="16838"/>
      <w:pgMar w:top="1758" w:right="1531" w:bottom="1644" w:left="1588" w:header="851"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D377A"/>
    <w:rsid w:val="00053C15"/>
    <w:rsid w:val="000E48B6"/>
    <w:rsid w:val="00121FCA"/>
    <w:rsid w:val="0013248C"/>
    <w:rsid w:val="0035240E"/>
    <w:rsid w:val="00354B88"/>
    <w:rsid w:val="003F7C1C"/>
    <w:rsid w:val="005A7C7E"/>
    <w:rsid w:val="00735C95"/>
    <w:rsid w:val="00790FA5"/>
    <w:rsid w:val="007B5024"/>
    <w:rsid w:val="007F161A"/>
    <w:rsid w:val="00900743"/>
    <w:rsid w:val="00930CEC"/>
    <w:rsid w:val="00936023"/>
    <w:rsid w:val="00941FF6"/>
    <w:rsid w:val="009D36DF"/>
    <w:rsid w:val="00AE4AFC"/>
    <w:rsid w:val="00B3089B"/>
    <w:rsid w:val="00B43419"/>
    <w:rsid w:val="00CE67B0"/>
    <w:rsid w:val="00F94F3C"/>
    <w:rsid w:val="01284DAD"/>
    <w:rsid w:val="041B3B45"/>
    <w:rsid w:val="0A111504"/>
    <w:rsid w:val="0AA96E63"/>
    <w:rsid w:val="0BDC2806"/>
    <w:rsid w:val="12971655"/>
    <w:rsid w:val="13787711"/>
    <w:rsid w:val="17DF598C"/>
    <w:rsid w:val="1CF31295"/>
    <w:rsid w:val="23DB210E"/>
    <w:rsid w:val="280737C0"/>
    <w:rsid w:val="284D7516"/>
    <w:rsid w:val="28BD4A6D"/>
    <w:rsid w:val="2AB54D29"/>
    <w:rsid w:val="2FB34465"/>
    <w:rsid w:val="304E4BA5"/>
    <w:rsid w:val="33BB4473"/>
    <w:rsid w:val="33DD0EC5"/>
    <w:rsid w:val="33FD377A"/>
    <w:rsid w:val="36A90E70"/>
    <w:rsid w:val="3F253A65"/>
    <w:rsid w:val="42C414CB"/>
    <w:rsid w:val="4FE25DA0"/>
    <w:rsid w:val="545E7D82"/>
    <w:rsid w:val="5B2740DB"/>
    <w:rsid w:val="644457D2"/>
    <w:rsid w:val="65281ADD"/>
    <w:rsid w:val="66B1590D"/>
    <w:rsid w:val="66C878C6"/>
    <w:rsid w:val="66E44DCA"/>
    <w:rsid w:val="673210B6"/>
    <w:rsid w:val="6781505E"/>
    <w:rsid w:val="697A0A4A"/>
    <w:rsid w:val="6C5132F4"/>
    <w:rsid w:val="716E1280"/>
    <w:rsid w:val="74BC17AF"/>
    <w:rsid w:val="772E4C49"/>
    <w:rsid w:val="7C645527"/>
    <w:rsid w:val="7D1D1AE8"/>
    <w:rsid w:val="7DDF5899"/>
    <w:rsid w:val="7E8139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ind w:firstLine="633" w:firstLineChars="200"/>
    </w:pPr>
    <w:rPr>
      <w:rFonts w:ascii="仿宋_GB2312" w:hAnsi="仿宋_GB2312" w:eastAsia="仿宋_GB2312" w:cs="仿宋_GB2312"/>
      <w:b/>
      <w:bCs/>
      <w:w w:val="98"/>
      <w:sz w:val="32"/>
      <w:szCs w:val="32"/>
    </w:rPr>
  </w:style>
  <w:style w:type="paragraph" w:styleId="3">
    <w:name w:val="Body Text Indent"/>
    <w:basedOn w:val="1"/>
    <w:link w:val="13"/>
    <w:qFormat/>
    <w:uiPriority w:val="99"/>
    <w:pPr>
      <w:ind w:firstLine="614" w:firstLineChars="192"/>
    </w:pPr>
    <w:rPr>
      <w:sz w:val="32"/>
      <w:szCs w:val="32"/>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19"/>
      <w:jc w:val="left"/>
    </w:pPr>
    <w:rPr>
      <w:rFonts w:ascii="宋体" w:hAnsi="宋体" w:cs="宋体"/>
      <w:kern w:val="0"/>
      <w:sz w:val="24"/>
      <w:szCs w:val="24"/>
    </w:rPr>
  </w:style>
  <w:style w:type="character" w:styleId="9">
    <w:name w:val="FollowedHyperlink"/>
    <w:basedOn w:val="8"/>
    <w:qFormat/>
    <w:uiPriority w:val="99"/>
    <w:rPr>
      <w:color w:val="auto"/>
      <w:u w:val="none"/>
    </w:rPr>
  </w:style>
  <w:style w:type="character" w:styleId="10">
    <w:name w:val="Emphasis"/>
    <w:basedOn w:val="8"/>
    <w:qFormat/>
    <w:uiPriority w:val="99"/>
    <w:rPr>
      <w:color w:val="auto"/>
    </w:rPr>
  </w:style>
  <w:style w:type="character" w:styleId="11">
    <w:name w:val="Hyperlink"/>
    <w:basedOn w:val="8"/>
    <w:qFormat/>
    <w:uiPriority w:val="99"/>
    <w:rPr>
      <w:color w:val="auto"/>
      <w:u w:val="none"/>
    </w:rPr>
  </w:style>
  <w:style w:type="character" w:styleId="12">
    <w:name w:val="HTML Cite"/>
    <w:basedOn w:val="8"/>
    <w:qFormat/>
    <w:uiPriority w:val="99"/>
    <w:rPr>
      <w:color w:val="008000"/>
    </w:rPr>
  </w:style>
  <w:style w:type="character" w:customStyle="1" w:styleId="13">
    <w:name w:val="Body Text Indent Char"/>
    <w:basedOn w:val="8"/>
    <w:link w:val="3"/>
    <w:semiHidden/>
    <w:qFormat/>
    <w:uiPriority w:val="99"/>
    <w:rPr>
      <w:rFonts w:ascii="Calibri" w:hAnsi="Calibri" w:cs="Calibri"/>
      <w:szCs w:val="21"/>
    </w:rPr>
  </w:style>
  <w:style w:type="character" w:customStyle="1" w:styleId="14">
    <w:name w:val="Footer Char"/>
    <w:basedOn w:val="8"/>
    <w:link w:val="4"/>
    <w:semiHidden/>
    <w:qFormat/>
    <w:locked/>
    <w:uiPriority w:val="99"/>
    <w:rPr>
      <w:rFonts w:ascii="Calibri" w:hAnsi="Calibri" w:cs="Calibri"/>
      <w:sz w:val="18"/>
      <w:szCs w:val="18"/>
    </w:rPr>
  </w:style>
  <w:style w:type="character" w:customStyle="1" w:styleId="15">
    <w:name w:val="Header Char"/>
    <w:basedOn w:val="8"/>
    <w:link w:val="5"/>
    <w:semiHidden/>
    <w:qFormat/>
    <w:locked/>
    <w:uiPriority w:val="99"/>
    <w:rPr>
      <w:rFonts w:ascii="Calibri" w:hAnsi="Calibri" w:cs="Calibri"/>
      <w:sz w:val="18"/>
      <w:szCs w:val="18"/>
    </w:rPr>
  </w:style>
  <w:style w:type="character" w:customStyle="1" w:styleId="16">
    <w:name w:val="c-icon30"/>
    <w:basedOn w:val="8"/>
    <w:qFormat/>
    <w:uiPriority w:val="99"/>
  </w:style>
  <w:style w:type="character" w:customStyle="1" w:styleId="17">
    <w:name w:val="hover23"/>
    <w:basedOn w:val="8"/>
    <w:qFormat/>
    <w:uiPriority w:val="99"/>
  </w:style>
  <w:style w:type="character" w:customStyle="1" w:styleId="18">
    <w:name w:val="hover24"/>
    <w:basedOn w:val="8"/>
    <w:qFormat/>
    <w:uiPriority w:val="99"/>
    <w:rPr>
      <w:color w:val="auto"/>
    </w:rPr>
  </w:style>
  <w:style w:type="paragraph" w:customStyle="1" w:styleId="19">
    <w:name w:val="Table Paragraph"/>
    <w:basedOn w:val="1"/>
    <w:qFormat/>
    <w:uiPriority w:val="99"/>
    <w:pPr>
      <w:autoSpaceDE w:val="0"/>
      <w:autoSpaceDN w:val="0"/>
      <w:jc w:val="left"/>
    </w:pPr>
    <w:rPr>
      <w:rFonts w:ascii="宋体" w:hAnsi="宋体" w:cs="宋体"/>
      <w:kern w:val="0"/>
      <w:sz w:val="22"/>
      <w:szCs w:val="22"/>
      <w:lang w:val="zh-CN"/>
    </w:rPr>
  </w:style>
  <w:style w:type="character" w:customStyle="1" w:styleId="20">
    <w:name w:val="fontstyle01"/>
    <w:basedOn w:val="8"/>
    <w:qFormat/>
    <w:uiPriority w:val="99"/>
    <w:rPr>
      <w:rFonts w:ascii="黑体" w:hAnsi="宋体" w:eastAsia="黑体" w:cs="黑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19</Pages>
  <Words>1560</Words>
  <Characters>8897</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2021-03-11T01:28:00Z</dcterms:created>
  <dc:creator>Administrator</dc:creator>
  <cp:lastModifiedBy>甜爷</cp:lastModifiedBy>
  <dcterms:modified xsi:type="dcterms:W3CDTF">2021-06-28T02:36:20Z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B232526087FA49F28ADA72C132D24988</vt:lpwstr>
  </property>
</Properties>
</file>