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3-1</w:t>
      </w:r>
    </w:p>
    <w:p>
      <w:pPr>
        <w:widowControl/>
        <w:spacing w:line="4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2020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Style w:val="7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93"/>
        <w:gridCol w:w="853"/>
        <w:gridCol w:w="414"/>
        <w:gridCol w:w="223"/>
        <w:gridCol w:w="1001"/>
        <w:gridCol w:w="1134"/>
        <w:gridCol w:w="1134"/>
        <w:gridCol w:w="828"/>
        <w:gridCol w:w="178"/>
        <w:gridCol w:w="525"/>
        <w:gridCol w:w="170"/>
        <w:gridCol w:w="310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业务工作经费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湖南省长株潭两型社会建设服务中心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湖南省长株潭两型社会建设服务中心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分值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执行率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得分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年度资金总额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186.73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252.63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169.45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67.07%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其中：当年财政拨款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186.73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186.73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上年结转资金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65.90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其他资金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推动长株潭城市群全国资源节约型、环境友好型社会综合配套改革试验建设，以及长株潭一体化建设，确保圆满完成国家综合配套改革试验任务和省委、省政府关于长株潭一体化建设的决策部署。年度目标：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长株潭一体化建设的相关任务；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绿心保护的相关任务；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两型改革试点；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两型示范创建、宣传及清洁低碳技术推广；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5.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两型评价与目标激励。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以习近平新时代中国特色社会主义思想为指导，认真贯彻落实省委、省政府和省发改委的部署安排，进一步统一思想、振奋精神，对标对表、主动作为，纵深推进长株潭试验区改革；积极推动长株潭一体化建设；主动开展长株潭生态绿心保护；切实加强资金管理和外贷项目推进；全面加强机关党建和队伍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标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一级指标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二级指标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三级指标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指标值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完成值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得分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(50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数量指标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绿心保护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开展绿心地区违法违规行为季度监测和通报，监测行为与监测成果达到行业要求。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完成了前三季度土地使用变化情况监测，发现疑似违法违规用地共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195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宗，总面积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2559.08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亩。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质量指标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重点统筹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推动长株潭城市群一体化建设。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支持和服务三市联席会议推进《长株潭都市区总体规划》和《长株潭都市区轨道交通线网规划》编制等工作。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8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两型示范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在两型村庄、社区、景区、学校、企业等领域已创建达标且两型元素相对集中、两型经验模式较为成熟的项目中，遴选两型示范单位。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各市项目已完成评审，省级已备案。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清洁低碳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清洁低碳技术推广试点。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各市项目已完成评审，省级已备案。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时效指标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完成时间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年底以前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已完成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成本指标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成本控制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不超预算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全年预算数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252.63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万元，全年执行数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169.45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万元。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益指标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益指标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脱贫攻坚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指导紫鹊界村开展脱贫攻坚，引导全体干部积极参与。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年中心全体干部多次赴紫鹊界村慰问走访贫困户，开展消费扶贫，调研脱贫攻坚工作。紫鹊界村整村脱贫成果得到巩固，脱贫攻坚常态化督查炎陵县、桂阳县持续加强。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益指标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绿心保护</w:t>
            </w: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推进生态补偿、复绿补绿、生态修复、环境治理等工作。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天眼系统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监测发现的所有违法违规图斑已经下发至长株潭三市人民政府，并要求组织整改。开展绿心地区生态补偿考核方案专题研究和提升绿心品质、发挥生态功能对策研究等专题研究，已形成了多项研究成果。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标</w:t>
            </w: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可持续影响指标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两型改革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提炼出改革创新案例、两型标准均可复制可推广。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已完成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90%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（含）以上计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80%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（含）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-90%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，计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70%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（含）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-80%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，计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低于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70%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分。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90%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总分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97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</w:rPr>
        <w:t>填表人：彭紫叶</w:t>
      </w:r>
      <w:r>
        <w:rPr>
          <w:rFonts w:ascii="Times New Roman" w:hAnsi="Times New Roman" w:eastAsia="仿宋_GB2312" w:cs="Times New Roman"/>
          <w:kern w:val="0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</w:rPr>
        <w:t>填报日期：</w:t>
      </w:r>
      <w:r>
        <w:rPr>
          <w:rFonts w:ascii="Times New Roman" w:hAnsi="Times New Roman" w:eastAsia="仿宋_GB2312" w:cs="Times New Roman"/>
          <w:kern w:val="0"/>
        </w:rPr>
        <w:t>2021</w:t>
      </w:r>
      <w:r>
        <w:rPr>
          <w:rFonts w:hint="eastAsia" w:ascii="Times New Roman" w:hAnsi="Times New Roman" w:eastAsia="仿宋_GB2312" w:cs="仿宋_GB2312"/>
          <w:kern w:val="0"/>
        </w:rPr>
        <w:t>年</w:t>
      </w:r>
      <w:r>
        <w:rPr>
          <w:rFonts w:ascii="Times New Roman" w:hAnsi="Times New Roman" w:eastAsia="仿宋_GB2312" w:cs="Times New Roman"/>
          <w:kern w:val="0"/>
        </w:rPr>
        <w:t>5</w:t>
      </w:r>
      <w:r>
        <w:rPr>
          <w:rFonts w:hint="eastAsia" w:ascii="Times New Roman" w:hAnsi="Times New Roman" w:eastAsia="仿宋_GB2312" w:cs="仿宋_GB2312"/>
          <w:kern w:val="0"/>
        </w:rPr>
        <w:t>月</w:t>
      </w:r>
      <w:r>
        <w:rPr>
          <w:rFonts w:ascii="Times New Roman" w:hAnsi="Times New Roman" w:eastAsia="仿宋_GB2312" w:cs="Times New Roman"/>
          <w:kern w:val="0"/>
        </w:rPr>
        <w:t>21</w:t>
      </w:r>
      <w:r>
        <w:rPr>
          <w:rFonts w:hint="eastAsia" w:ascii="Times New Roman" w:hAnsi="Times New Roman" w:eastAsia="仿宋_GB2312" w:cs="仿宋_GB2312"/>
          <w:kern w:val="0"/>
        </w:rPr>
        <w:t>日</w:t>
      </w:r>
      <w:r>
        <w:rPr>
          <w:rFonts w:ascii="Times New Roman" w:hAnsi="Times New Roman" w:eastAsia="仿宋_GB2312" w:cs="Times New Roman"/>
          <w:kern w:val="0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</w:rPr>
        <w:t>联系电话：</w:t>
      </w:r>
      <w:r>
        <w:rPr>
          <w:rFonts w:ascii="Times New Roman" w:hAnsi="Times New Roman" w:eastAsia="仿宋_GB2312" w:cs="Times New Roman"/>
          <w:kern w:val="0"/>
        </w:rPr>
        <w:t xml:space="preserve">85063995 </w:t>
      </w:r>
      <w:r>
        <w:rPr>
          <w:rFonts w:hint="eastAsia" w:ascii="Times New Roman" w:hAnsi="Times New Roman" w:eastAsia="仿宋_GB2312" w:cs="仿宋_GB2312"/>
          <w:kern w:val="0"/>
        </w:rPr>
        <w:t>单位负责人签字：</w:t>
      </w:r>
      <w:r>
        <w:rPr>
          <w:rFonts w:ascii="Times New Roman" w:hAnsi="Times New Roman" w:eastAsia="仿宋_GB2312" w:cs="Times New Roman"/>
          <w:kern w:val="0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  <w:r>
        <w:rPr>
          <w:rFonts w:ascii="Times New Roman" w:hAnsi="Times New Roman" w:eastAsia="黑体" w:cs="Times New Roman"/>
          <w:sz w:val="32"/>
          <w:szCs w:val="32"/>
        </w:rPr>
        <w:t>3-2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2020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Style w:val="7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831"/>
        <w:gridCol w:w="249"/>
        <w:gridCol w:w="634"/>
        <w:gridCol w:w="590"/>
        <w:gridCol w:w="1134"/>
        <w:gridCol w:w="1134"/>
        <w:gridCol w:w="734"/>
        <w:gridCol w:w="94"/>
        <w:gridCol w:w="506"/>
        <w:gridCol w:w="367"/>
        <w:gridCol w:w="270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运行维护经费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湖南省长株潭两型社会建设服务中心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湖南省长株潭两型社会建设服务中心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全年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执行数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分值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执行率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</w:rPr>
              <w:t>得分</w:t>
            </w:r>
          </w:p>
        </w:tc>
      </w:tr>
      <w:tr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年度资金总额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188.87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152.53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141.26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92.61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其中：当年财政拨款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188.87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152.53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上年结转资金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其他资金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  <w:tr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按照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每月小活动，季度大活动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的目标，积极开展宣传推介活动，通过活动增强展馆知晓度和美誉度，进一步传播两型理念。加强微信公众号和两型邮局管理，积极探索开发新的宣传渠道，通过自媒体等新兴信息传播渠道，提升宣传效果。积极与协会、高校、媒体开展合作交流，探索不同合作模式，拓宽宣传途径。组织好志愿者活动，形成开展志愿者活动的有益机制，培养打造独具特色的志愿者队伍。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结合展馆自身定位，开发系列创新开放类党性课程，打造创新类党性现场教学点。已开展候鸟保护摄影展、剪纸作品展、长江江豚彩绘作品展、生物多样性木雕作品展等多项临展活动，并组织环保达人、高校教师进行专题授课，共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余位学生家长共同参与活动。设立两型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DIY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互动展厅，已引进可降解的垃圾袋、肥皂、酵素等环保产品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40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余种。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一级指标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二级指标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三级指标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指标值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完成值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分值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得分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(50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数量指标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抓好建设，凸显效应。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突出重点抓好展示中心建设，凸显展馆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基地平台窗口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效应。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展馆共接待参观人数近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万人次，团队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余批。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质量指标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健全高效展示运行维护机制。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建立健全高效展示运行维护机制，定期检查保养设施设备。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每日对展馆设施设备进行巡检，定期维护，延长使用寿命。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15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15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时效指标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发挥好宣传作用，充分展示建设成果。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在升级改造的基础上，发挥好宣传作用，充分展示生态文明建设、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两型社会建设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成果。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今年自主编辑、发布微信公众号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,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文章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篇，其中原创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62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篇，包含视频、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h5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、互动答题等表现形式。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成本指标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费用支出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采取制度化管理等手段，提高资金使用效益。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所有费用支出合理合规。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效益指标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益指标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益指标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宣传两型理念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宣传两型理念，服务全社会。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联合非遗馆组织开展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体验两型生活、留住老长沙味道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体验活动；联合湘府社区开展暑期实践，举办两型互动小课堂，开展垃圾分类学习活动；受邀参加湖南省国土空间规划学会科普工作委员会成立大会、雨花区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六五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世界环境日开幕式、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2020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年两型地铁专列发车仪式等两型活动。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20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益指标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172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/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可持续影响指标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持续宣传效果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持续抓好全省生态文明建设和两型社会建设取得的成果，宣传好生态文明建设和两型社会建设理念。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微信公众号粉丝保持在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10000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人次左右。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20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需提高微信公众号粉丝粘度，及新粉丝关注数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分）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游客投诉量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全年无投诉。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全年无投诉。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总分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98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</w:rPr>
              <w:t>　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仿宋_GB2312"/>
          <w:kern w:val="0"/>
        </w:rPr>
        <w:t>填表人：</w:t>
      </w:r>
      <w:r>
        <w:rPr>
          <w:rFonts w:hint="eastAsia" w:ascii="Times New Roman" w:hAnsi="Times New Roman" w:cs="宋体"/>
        </w:rPr>
        <w:t>廖怡婷</w:t>
      </w:r>
      <w:r>
        <w:rPr>
          <w:rFonts w:ascii="Times New Roman" w:hAnsi="Times New Roman" w:eastAsia="仿宋_GB2312" w:cs="Times New Roman"/>
          <w:kern w:val="0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</w:rPr>
        <w:t>填报日期：</w:t>
      </w:r>
      <w:r>
        <w:rPr>
          <w:rFonts w:ascii="Times New Roman" w:hAnsi="Times New Roman" w:eastAsia="仿宋_GB2312" w:cs="Times New Roman"/>
          <w:kern w:val="0"/>
        </w:rPr>
        <w:t>2021</w:t>
      </w:r>
      <w:r>
        <w:rPr>
          <w:rFonts w:hint="eastAsia" w:ascii="Times New Roman" w:hAnsi="Times New Roman" w:eastAsia="仿宋_GB2312" w:cs="仿宋_GB2312"/>
          <w:kern w:val="0"/>
        </w:rPr>
        <w:t>年</w:t>
      </w:r>
      <w:r>
        <w:rPr>
          <w:rFonts w:ascii="Times New Roman" w:hAnsi="Times New Roman" w:eastAsia="仿宋_GB2312" w:cs="Times New Roman"/>
          <w:kern w:val="0"/>
        </w:rPr>
        <w:t>5</w:t>
      </w:r>
      <w:r>
        <w:rPr>
          <w:rFonts w:hint="eastAsia" w:ascii="Times New Roman" w:hAnsi="Times New Roman" w:eastAsia="仿宋_GB2312" w:cs="仿宋_GB2312"/>
          <w:kern w:val="0"/>
        </w:rPr>
        <w:t>月</w:t>
      </w:r>
      <w:r>
        <w:rPr>
          <w:rFonts w:ascii="Times New Roman" w:hAnsi="Times New Roman" w:eastAsia="仿宋_GB2312" w:cs="Times New Roman"/>
          <w:kern w:val="0"/>
        </w:rPr>
        <w:t>27</w:t>
      </w:r>
      <w:r>
        <w:rPr>
          <w:rFonts w:hint="eastAsia" w:ascii="Times New Roman" w:hAnsi="Times New Roman" w:eastAsia="仿宋_GB2312" w:cs="仿宋_GB2312"/>
          <w:kern w:val="0"/>
        </w:rPr>
        <w:t>日</w:t>
      </w:r>
      <w:r>
        <w:rPr>
          <w:rFonts w:ascii="Times New Roman" w:hAnsi="Times New Roman" w:eastAsia="仿宋_GB2312" w:cs="Times New Roman"/>
          <w:kern w:val="0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</w:rPr>
        <w:t>联系电话：</w:t>
      </w:r>
      <w:r>
        <w:rPr>
          <w:rFonts w:ascii="Times New Roman" w:hAnsi="Times New Roman" w:cs="Times New Roman"/>
        </w:rPr>
        <w:t>89782907</w:t>
      </w:r>
      <w:r>
        <w:rPr>
          <w:rFonts w:ascii="Times New Roman" w:hAnsi="Times New Roman" w:eastAsia="仿宋_GB2312" w:cs="Times New Roman"/>
          <w:kern w:val="0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</w:rPr>
        <w:t>单位负责人签字：</w:t>
      </w:r>
    </w:p>
    <w:sectPr>
      <w:headerReference r:id="rId3" w:type="default"/>
      <w:footerReference r:id="rId4" w:type="default"/>
      <w:pgSz w:w="11906" w:h="16838"/>
      <w:pgMar w:top="1758" w:right="1531" w:bottom="1644" w:left="1588" w:header="851" w:footer="124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77A"/>
    <w:rsid w:val="00053C15"/>
    <w:rsid w:val="000E48B6"/>
    <w:rsid w:val="00121FCA"/>
    <w:rsid w:val="0013248C"/>
    <w:rsid w:val="0035240E"/>
    <w:rsid w:val="00354B88"/>
    <w:rsid w:val="003F7C1C"/>
    <w:rsid w:val="005A7C7E"/>
    <w:rsid w:val="00735C95"/>
    <w:rsid w:val="00790FA5"/>
    <w:rsid w:val="007B5024"/>
    <w:rsid w:val="007F161A"/>
    <w:rsid w:val="00900743"/>
    <w:rsid w:val="00930CEC"/>
    <w:rsid w:val="00936023"/>
    <w:rsid w:val="00941FF6"/>
    <w:rsid w:val="009D36DF"/>
    <w:rsid w:val="00AE4AFC"/>
    <w:rsid w:val="00B3089B"/>
    <w:rsid w:val="00B43419"/>
    <w:rsid w:val="00CE67B0"/>
    <w:rsid w:val="00F94F3C"/>
    <w:rsid w:val="01284DAD"/>
    <w:rsid w:val="041B3B45"/>
    <w:rsid w:val="0A111504"/>
    <w:rsid w:val="0AA96E63"/>
    <w:rsid w:val="0BDC2806"/>
    <w:rsid w:val="0E8548B3"/>
    <w:rsid w:val="12971655"/>
    <w:rsid w:val="13787711"/>
    <w:rsid w:val="17DF598C"/>
    <w:rsid w:val="1CF31295"/>
    <w:rsid w:val="23DB210E"/>
    <w:rsid w:val="280737C0"/>
    <w:rsid w:val="284D7516"/>
    <w:rsid w:val="28BD4A6D"/>
    <w:rsid w:val="2FB34465"/>
    <w:rsid w:val="304E4BA5"/>
    <w:rsid w:val="33BB4473"/>
    <w:rsid w:val="33DD0EC5"/>
    <w:rsid w:val="33FD377A"/>
    <w:rsid w:val="36A90E70"/>
    <w:rsid w:val="42C414CB"/>
    <w:rsid w:val="4FE25DA0"/>
    <w:rsid w:val="545E7D82"/>
    <w:rsid w:val="5B2740DB"/>
    <w:rsid w:val="5C95653D"/>
    <w:rsid w:val="644457D2"/>
    <w:rsid w:val="65281ADD"/>
    <w:rsid w:val="66B1590D"/>
    <w:rsid w:val="66C878C6"/>
    <w:rsid w:val="66E44DCA"/>
    <w:rsid w:val="673210B6"/>
    <w:rsid w:val="6781505E"/>
    <w:rsid w:val="697A0A4A"/>
    <w:rsid w:val="6C5132F4"/>
    <w:rsid w:val="716E1280"/>
    <w:rsid w:val="74BC17AF"/>
    <w:rsid w:val="772E4C49"/>
    <w:rsid w:val="7C645527"/>
    <w:rsid w:val="7D1D1AE8"/>
    <w:rsid w:val="7DDF5899"/>
    <w:rsid w:val="7E8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ind w:firstLine="633" w:firstLineChars="200"/>
    </w:pPr>
    <w:rPr>
      <w:rFonts w:ascii="仿宋_GB2312" w:hAnsi="仿宋_GB2312" w:eastAsia="仿宋_GB2312" w:cs="仿宋_GB2312"/>
      <w:b/>
      <w:bCs/>
      <w:w w:val="98"/>
      <w:sz w:val="32"/>
      <w:szCs w:val="32"/>
    </w:rPr>
  </w:style>
  <w:style w:type="paragraph" w:styleId="3">
    <w:name w:val="Body Text Indent"/>
    <w:basedOn w:val="1"/>
    <w:link w:val="13"/>
    <w:qFormat/>
    <w:uiPriority w:val="99"/>
    <w:pPr>
      <w:ind w:firstLine="614" w:firstLineChars="192"/>
    </w:pPr>
    <w:rPr>
      <w:sz w:val="32"/>
      <w:szCs w:val="3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99"/>
    <w:rPr>
      <w:color w:val="auto"/>
      <w:u w:val="none"/>
    </w:rPr>
  </w:style>
  <w:style w:type="character" w:styleId="10">
    <w:name w:val="Emphasis"/>
    <w:basedOn w:val="8"/>
    <w:qFormat/>
    <w:uiPriority w:val="99"/>
    <w:rPr>
      <w:color w:val="auto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styleId="12">
    <w:name w:val="HTML Cite"/>
    <w:basedOn w:val="8"/>
    <w:qFormat/>
    <w:uiPriority w:val="99"/>
    <w:rPr>
      <w:color w:val="008000"/>
    </w:rPr>
  </w:style>
  <w:style w:type="character" w:customStyle="1" w:styleId="13">
    <w:name w:val="Body Text Inden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4">
    <w:name w:val="Foot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c-icon30"/>
    <w:basedOn w:val="8"/>
    <w:qFormat/>
    <w:uiPriority w:val="99"/>
  </w:style>
  <w:style w:type="character" w:customStyle="1" w:styleId="17">
    <w:name w:val="hover23"/>
    <w:basedOn w:val="8"/>
    <w:qFormat/>
    <w:uiPriority w:val="99"/>
  </w:style>
  <w:style w:type="character" w:customStyle="1" w:styleId="18">
    <w:name w:val="hover24"/>
    <w:basedOn w:val="8"/>
    <w:qFormat/>
    <w:uiPriority w:val="99"/>
    <w:rPr>
      <w:color w:val="auto"/>
    </w:rPr>
  </w:style>
  <w:style w:type="paragraph" w:customStyle="1" w:styleId="19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character" w:customStyle="1" w:styleId="20">
    <w:name w:val="fontstyle01"/>
    <w:basedOn w:val="8"/>
    <w:qFormat/>
    <w:uiPriority w:val="99"/>
    <w:rPr>
      <w:rFonts w:ascii="黑体" w:hAnsi="宋体" w:eastAsia="黑体" w:cs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19</Pages>
  <Words>1560</Words>
  <Characters>8897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2021-03-11T01:28:00Z</dcterms:created>
  <dc:creator>Administrator</dc:creator>
  <cp:lastModifiedBy>甜爷</cp:lastModifiedBy>
  <dcterms:modified xsi:type="dcterms:W3CDTF">2021-06-28T02:35:58Z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353DE4B5FF524A1DACD13475AC07EB0A</vt:lpwstr>
  </property>
</Properties>
</file>