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afterLines="50" w:line="600" w:lineRule="exact"/>
        <w:jc w:val="lef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spacing w:after="120" w:afterLines="50" w:line="600" w:lineRule="exact"/>
        <w:jc w:val="center"/>
        <w:rPr>
          <w:rFonts w:ascii="Times New Roman" w:hAnsi="Times New Roman" w:eastAsia="仿宋_GB2312" w:cs="Times New Roman"/>
          <w:kern w:val="0"/>
          <w:sz w:val="24"/>
          <w:szCs w:val="24"/>
        </w:rPr>
      </w:pPr>
      <w:r>
        <w:rPr>
          <w:rFonts w:ascii="Times New Roman" w:hAnsi="Times New Roman" w:eastAsia="方正小标宋_GBK" w:cs="Times New Roman"/>
          <w:kern w:val="0"/>
          <w:sz w:val="36"/>
          <w:szCs w:val="36"/>
        </w:rPr>
        <w:t>2020年度部门整体支出绩效评价基础数据表</w:t>
      </w:r>
    </w:p>
    <w:tbl>
      <w:tblPr>
        <w:tblStyle w:val="8"/>
        <w:tblW w:w="9464" w:type="dxa"/>
        <w:jc w:val="center"/>
        <w:tblInd w:w="0" w:type="dxa"/>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Layout w:type="fixed"/>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编制数</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2020年实际在职人数</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控制率</w:t>
            </w:r>
          </w:p>
        </w:tc>
      </w:tr>
      <w:tr>
        <w:tblPrEx>
          <w:tblLayout w:type="fixed"/>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27</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25</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92.59%</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2019年决算数</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2020年预算数</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2020年决算数</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lang w:val="en-US" w:eastAsia="zh-CN"/>
              </w:rPr>
              <w:t>125.20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118.00</w:t>
            </w:r>
            <w:r>
              <w:rPr>
                <w:rFonts w:ascii="Times New Roman"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32.26</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lang w:val="en-US" w:eastAsia="zh-CN"/>
              </w:rPr>
              <w:t>52.14</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16.00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15.06</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lang w:val="en-US" w:eastAsia="zh-CN"/>
              </w:rPr>
              <w:t>24.53</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Layout w:type="fixed"/>
          <w:tblCellMar>
            <w:top w:w="0" w:type="dxa"/>
            <w:left w:w="108" w:type="dxa"/>
            <w:bottom w:w="0" w:type="dxa"/>
            <w:right w:w="108" w:type="dxa"/>
          </w:tblCellMar>
        </w:tblPrEx>
        <w:trPr>
          <w:trHeight w:val="382"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lang w:val="en-US" w:eastAsia="zh-CN"/>
              </w:rPr>
              <w:t>27.61</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16.00</w:t>
            </w:r>
            <w:r>
              <w:rPr>
                <w:rFonts w:ascii="Times New Roman"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15.06</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lang w:val="en-US" w:eastAsia="zh-CN"/>
              </w:rPr>
              <w:t>48.10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70.00</w:t>
            </w:r>
            <w:r>
              <w:rPr>
                <w:rFonts w:ascii="Times New Roman"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0.20</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lang w:val="en-US" w:eastAsia="zh-CN"/>
              </w:rPr>
              <w:t>24.95</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32.00</w:t>
            </w:r>
            <w:r>
              <w:rPr>
                <w:rFonts w:ascii="Times New Roman"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17.00</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lang w:val="en-US" w:eastAsia="zh-CN"/>
              </w:rPr>
              <w:t>718.87</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846.46</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759.09</w:t>
            </w:r>
          </w:p>
        </w:tc>
      </w:tr>
      <w:tr>
        <w:tblPrEx>
          <w:tblLayout w:type="fixed"/>
          <w:tblCellMar>
            <w:top w:w="0" w:type="dxa"/>
            <w:left w:w="108" w:type="dxa"/>
            <w:bottom w:w="0" w:type="dxa"/>
            <w:right w:w="108" w:type="dxa"/>
          </w:tblCellMar>
        </w:tblPrEx>
        <w:trPr>
          <w:trHeight w:val="529"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1、业务工作经费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lang w:val="en-US" w:eastAsia="zh-CN"/>
              </w:rPr>
              <w:t>624.03</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rPr>
            </w:pPr>
            <w:r>
              <w:rPr>
                <w:rFonts w:hint="eastAsia" w:ascii="Times New Roman" w:hAnsi="Times New Roman" w:eastAsia="仿宋_GB2312" w:cs="Times New Roman"/>
                <w:color w:val="auto"/>
                <w:kern w:val="0"/>
                <w:szCs w:val="21"/>
                <w:lang w:val="en-US" w:eastAsia="zh-CN"/>
              </w:rPr>
              <w:t>478.97</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409.91</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2、运行维护经费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lang w:val="en-US" w:eastAsia="zh-CN"/>
              </w:rPr>
              <w:t>94.84</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367.49</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rPr>
            </w:pPr>
            <w:r>
              <w:rPr>
                <w:rFonts w:hint="eastAsia" w:ascii="Times New Roman" w:hAnsi="Times New Roman" w:eastAsia="仿宋_GB2312" w:cs="Times New Roman"/>
                <w:color w:val="auto"/>
                <w:kern w:val="0"/>
                <w:szCs w:val="21"/>
                <w:lang w:val="en-US" w:eastAsia="zh-CN"/>
              </w:rPr>
              <w:t>349.18</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Layout w:type="fixed"/>
          <w:tblCellMar>
            <w:top w:w="0" w:type="dxa"/>
            <w:left w:w="108" w:type="dxa"/>
            <w:bottom w:w="0" w:type="dxa"/>
            <w:right w:w="108" w:type="dxa"/>
          </w:tblCellMar>
        </w:tblPrEx>
        <w:trPr>
          <w:trHeight w:val="382"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3、省级专项资金（一个专项一行）</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公用经费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lang w:val="en-US" w:eastAsia="zh-CN"/>
              </w:rPr>
              <w:t>74.80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106.27</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105.66</w:t>
            </w:r>
            <w:r>
              <w:rPr>
                <w:rFonts w:ascii="Times New Roman" w:hAnsi="Times New Roman" w:eastAsia="仿宋_GB2312" w:cs="Times New Roman"/>
                <w:color w:val="auto"/>
                <w:kern w:val="0"/>
                <w:szCs w:val="21"/>
              </w:rPr>
              <w:t>　</w:t>
            </w:r>
          </w:p>
        </w:tc>
      </w:tr>
      <w:tr>
        <w:tblPrEx>
          <w:tblLayout w:type="fixed"/>
          <w:tblCellMar>
            <w:top w:w="0" w:type="dxa"/>
            <w:left w:w="108" w:type="dxa"/>
            <w:bottom w:w="0" w:type="dxa"/>
            <w:right w:w="108" w:type="dxa"/>
          </w:tblCellMar>
        </w:tblPrEx>
        <w:trPr>
          <w:trHeight w:val="384"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0.98</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FF0000"/>
                <w:kern w:val="0"/>
                <w:szCs w:val="21"/>
              </w:rPr>
            </w:pPr>
            <w:r>
              <w:rPr>
                <w:rFonts w:hint="eastAsia" w:ascii="Times New Roman" w:hAnsi="Times New Roman" w:eastAsia="仿宋_GB2312" w:cs="Times New Roman"/>
                <w:color w:val="auto"/>
                <w:kern w:val="0"/>
                <w:szCs w:val="21"/>
                <w:lang w:val="en-US" w:eastAsia="zh-CN"/>
              </w:rPr>
              <w:t>1.00</w:t>
            </w:r>
            <w:r>
              <w:rPr>
                <w:rFonts w:ascii="Times New Roman" w:hAnsi="Times New Roman" w:eastAsia="仿宋_GB2312" w:cs="Times New Roman"/>
                <w:color w:val="FF0000"/>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FF0000"/>
                <w:kern w:val="0"/>
                <w:szCs w:val="21"/>
                <w:lang w:val="en-US" w:eastAsia="zh-CN"/>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1.00</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1.98</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FF0000"/>
                <w:kern w:val="0"/>
                <w:szCs w:val="21"/>
              </w:rPr>
            </w:pPr>
            <w:r>
              <w:rPr>
                <w:rFonts w:hint="eastAsia" w:ascii="Times New Roman" w:hAnsi="Times New Roman" w:eastAsia="仿宋_GB2312" w:cs="Times New Roman"/>
                <w:color w:val="auto"/>
                <w:kern w:val="0"/>
                <w:szCs w:val="21"/>
                <w:lang w:val="en-US" w:eastAsia="zh-CN"/>
              </w:rPr>
              <w:t>2.00</w:t>
            </w:r>
            <w:r>
              <w:rPr>
                <w:rFonts w:ascii="Times New Roman" w:hAnsi="Times New Roman" w:eastAsia="仿宋_GB2312" w:cs="Times New Roman"/>
                <w:color w:val="FF0000"/>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FF0000"/>
                <w:kern w:val="0"/>
                <w:szCs w:val="21"/>
                <w:lang w:val="en-US" w:eastAsia="zh-CN"/>
              </w:rPr>
            </w:pPr>
            <w:r>
              <w:rPr>
                <w:rFonts w:ascii="Times New Roman" w:hAnsi="Times New Roman" w:eastAsia="仿宋_GB2312" w:cs="Times New Roman"/>
                <w:color w:val="FF0000"/>
                <w:kern w:val="0"/>
                <w:szCs w:val="21"/>
              </w:rPr>
              <w:t>　</w:t>
            </w:r>
            <w:r>
              <w:rPr>
                <w:rFonts w:hint="eastAsia" w:ascii="Times New Roman" w:hAnsi="Times New Roman" w:eastAsia="仿宋_GB2312" w:cs="Times New Roman"/>
                <w:color w:val="auto"/>
                <w:kern w:val="0"/>
                <w:szCs w:val="21"/>
                <w:lang w:val="en-US" w:eastAsia="zh-CN"/>
              </w:rPr>
              <w:t>2.00</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1.00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FF0000"/>
                <w:kern w:val="0"/>
                <w:szCs w:val="21"/>
              </w:rPr>
            </w:pPr>
            <w:r>
              <w:rPr>
                <w:rFonts w:hint="eastAsia" w:ascii="Times New Roman" w:hAnsi="Times New Roman" w:eastAsia="仿宋_GB2312" w:cs="Times New Roman"/>
                <w:color w:val="auto"/>
                <w:kern w:val="0"/>
                <w:szCs w:val="21"/>
                <w:lang w:val="en-US" w:eastAsia="zh-CN"/>
              </w:rPr>
              <w:t>1.00</w:t>
            </w:r>
            <w:r>
              <w:rPr>
                <w:rFonts w:ascii="Times New Roman" w:hAnsi="Times New Roman" w:eastAsia="仿宋_GB2312" w:cs="Times New Roman"/>
                <w:color w:val="FF0000"/>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FF0000"/>
                <w:kern w:val="0"/>
                <w:szCs w:val="21"/>
                <w:lang w:val="en-US" w:eastAsia="zh-CN"/>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0.83</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政府采购金额</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109.50</w:t>
            </w:r>
            <w:r>
              <w:rPr>
                <w:rFonts w:ascii="Times New Roman"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62.50</w:t>
            </w:r>
          </w:p>
        </w:tc>
      </w:tr>
      <w:tr>
        <w:tblPrEx>
          <w:tblLayout w:type="fixed"/>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楼堂馆所控制情况</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（2020年完工项目）</w:t>
            </w:r>
          </w:p>
        </w:tc>
        <w:tc>
          <w:tcPr>
            <w:tcW w:w="11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批复规模</w:t>
            </w:r>
            <w:r>
              <w:rPr>
                <w:rFonts w:ascii="Times New Roman" w:hAnsi="Times New Roman" w:eastAsia="仿宋_GB2312" w:cs="Times New Roman"/>
                <w:bCs/>
                <w:kern w:val="0"/>
                <w:szCs w:val="21"/>
              </w:rPr>
              <w:br w:type="textWrapping"/>
            </w:r>
            <w:r>
              <w:rPr>
                <w:rFonts w:ascii="Times New Roman" w:hAnsi="Times New Roman" w:eastAsia="仿宋_GB2312" w:cs="Times New Roman"/>
                <w:bCs/>
                <w:kern w:val="0"/>
                <w:szCs w:val="21"/>
              </w:rPr>
              <w:t>（</w:t>
            </w:r>
            <w:r>
              <w:rPr>
                <w:rFonts w:ascii="Times New Roman" w:hAnsi="Times New Roman" w:eastAsia="宋体" w:cs="Times New Roman"/>
                <w:bCs/>
                <w:kern w:val="0"/>
                <w:szCs w:val="21"/>
              </w:rPr>
              <w:t>㎡</w:t>
            </w:r>
            <w:r>
              <w:rPr>
                <w:rFonts w:ascii="Times New Roman" w:hAnsi="Times New Roman" w:eastAsia="仿宋_GB2312" w:cs="Times New Roman"/>
                <w:bCs/>
                <w:kern w:val="0"/>
                <w:szCs w:val="21"/>
              </w:rPr>
              <w:t>）</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实际规模（</w:t>
            </w:r>
            <w:r>
              <w:rPr>
                <w:rFonts w:ascii="Times New Roman" w:hAnsi="Times New Roman" w:eastAsia="宋体" w:cs="Times New Roman"/>
                <w:bCs/>
                <w:kern w:val="0"/>
                <w:szCs w:val="21"/>
              </w:rPr>
              <w:t>㎡</w:t>
            </w:r>
            <w:r>
              <w:rPr>
                <w:rFonts w:ascii="Times New Roman" w:hAnsi="Times New Roman" w:eastAsia="仿宋_GB2312" w:cs="Times New Roman"/>
                <w:bCs/>
                <w:kern w:val="0"/>
                <w:szCs w:val="21"/>
              </w:rPr>
              <w:t>）</w:t>
            </w:r>
          </w:p>
        </w:tc>
        <w:tc>
          <w:tcPr>
            <w:tcW w:w="112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规模控制率</w:t>
            </w:r>
          </w:p>
        </w:tc>
        <w:tc>
          <w:tcPr>
            <w:tcW w:w="111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预算投资（万元）</w:t>
            </w:r>
          </w:p>
        </w:tc>
        <w:tc>
          <w:tcPr>
            <w:tcW w:w="9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实际投资（万元）</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投资概算控制率</w:t>
            </w:r>
          </w:p>
        </w:tc>
      </w:tr>
      <w:tr>
        <w:tblPrEx>
          <w:tblLayout w:type="fixed"/>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Layout w:type="fixed"/>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仿宋" w:hAnsi="仿宋" w:eastAsia="仿宋"/>
                <w:kern w:val="0"/>
                <w:szCs w:val="21"/>
              </w:rPr>
              <w:t>财务管理制度、会议费管理制度、培训费管理办法、差旅费管理办法、关于明确省直党政机关公务活动用餐有关事项的通知等</w:t>
            </w:r>
            <w:r>
              <w:rPr>
                <w:rFonts w:hint="eastAsia" w:ascii="仿宋" w:hAnsi="仿宋" w:eastAsia="仿宋"/>
                <w:kern w:val="0"/>
                <w:szCs w:val="21"/>
                <w:lang w:eastAsia="zh-CN"/>
              </w:rPr>
              <w:t>制度规定。</w:t>
            </w: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 w:val="22"/>
          <w:szCs w:val="24"/>
        </w:rPr>
      </w:pPr>
      <w:r>
        <w:rPr>
          <w:rFonts w:ascii="Times New Roman" w:hAnsi="Times New Roman" w:eastAsia="仿宋_GB2312" w:cs="Times New Roman"/>
          <w:kern w:val="0"/>
          <w:sz w:val="22"/>
          <w:szCs w:val="24"/>
        </w:rPr>
        <w:t>说明：“项目支出”需要填报基本支出以外的所有项目支出情况，“公用经费”填报基本支出中的一般商品和服务支出。</w:t>
      </w:r>
    </w:p>
    <w:p>
      <w:pPr>
        <w:widowControl/>
        <w:jc w:val="left"/>
        <w:rPr>
          <w:rFonts w:ascii="Times New Roman" w:hAnsi="Times New Roman" w:eastAsia="仿宋_GB2312" w:cs="Times New Roman"/>
          <w:kern w:val="0"/>
          <w:sz w:val="22"/>
          <w:szCs w:val="24"/>
        </w:rPr>
      </w:pPr>
    </w:p>
    <w:p>
      <w:pPr>
        <w:widowControl/>
        <w:spacing w:after="120" w:afterLines="50"/>
        <w:jc w:val="left"/>
        <w:rPr>
          <w:rFonts w:hint="eastAsia" w:ascii="Times New Roman" w:hAnsi="Times New Roman" w:eastAsia="黑体" w:cs="Times New Roman"/>
          <w:sz w:val="32"/>
          <w:szCs w:val="32"/>
          <w:lang w:val="en-US" w:eastAsia="zh-CN"/>
        </w:rPr>
      </w:pPr>
      <w:r>
        <w:rPr>
          <w:rFonts w:ascii="Times New Roman" w:hAnsi="Times New Roman" w:eastAsia="仿宋_GB2312" w:cs="Times New Roman"/>
          <w:kern w:val="0"/>
          <w:sz w:val="22"/>
          <w:szCs w:val="24"/>
        </w:rPr>
        <w:t>填表人：</w:t>
      </w:r>
      <w:r>
        <w:rPr>
          <w:rFonts w:hint="eastAsia" w:ascii="Times New Roman" w:hAnsi="Times New Roman" w:eastAsia="仿宋_GB2312" w:cs="Times New Roman"/>
          <w:kern w:val="0"/>
          <w:sz w:val="22"/>
          <w:szCs w:val="24"/>
          <w:lang w:eastAsia="zh-CN"/>
        </w:rPr>
        <w:t>尹湘湘</w:t>
      </w:r>
      <w:r>
        <w:rPr>
          <w:rFonts w:ascii="Times New Roman" w:hAnsi="Times New Roman" w:eastAsia="仿宋_GB2312" w:cs="Times New Roman"/>
          <w:kern w:val="0"/>
          <w:sz w:val="22"/>
          <w:szCs w:val="24"/>
        </w:rPr>
        <w:t xml:space="preserve">    填报日期：</w:t>
      </w:r>
      <w:r>
        <w:rPr>
          <w:rFonts w:hint="eastAsia" w:ascii="Times New Roman" w:hAnsi="Times New Roman" w:eastAsia="仿宋_GB2312" w:cs="Times New Roman"/>
          <w:kern w:val="0"/>
          <w:sz w:val="22"/>
          <w:szCs w:val="24"/>
          <w:lang w:val="en-US" w:eastAsia="zh-CN"/>
        </w:rPr>
        <w:t xml:space="preserve">2021.5.17  </w:t>
      </w:r>
      <w:r>
        <w:rPr>
          <w:rFonts w:ascii="Times New Roman" w:hAnsi="Times New Roman" w:eastAsia="仿宋_GB2312" w:cs="Times New Roman"/>
          <w:kern w:val="0"/>
          <w:sz w:val="22"/>
          <w:szCs w:val="24"/>
        </w:rPr>
        <w:t>联系电话：</w:t>
      </w:r>
      <w:r>
        <w:rPr>
          <w:rFonts w:hint="eastAsia" w:ascii="Times New Roman" w:hAnsi="Times New Roman" w:eastAsia="仿宋_GB2312" w:cs="Times New Roman"/>
          <w:kern w:val="0"/>
          <w:sz w:val="22"/>
          <w:szCs w:val="24"/>
          <w:lang w:val="en-US" w:eastAsia="zh-CN"/>
        </w:rPr>
        <w:t xml:space="preserve">84448623 </w:t>
      </w:r>
      <w:r>
        <w:rPr>
          <w:rFonts w:ascii="Times New Roman" w:hAnsi="Times New Roman" w:eastAsia="仿宋_GB2312" w:cs="Times New Roman"/>
          <w:kern w:val="0"/>
          <w:sz w:val="22"/>
          <w:szCs w:val="24"/>
        </w:rPr>
        <w:t>单位负责人签字：</w:t>
      </w:r>
      <w:r>
        <w:rPr>
          <w:rFonts w:hint="eastAsia" w:ascii="Times New Roman" w:hAnsi="Times New Roman" w:eastAsia="仿宋_GB2312" w:cs="Times New Roman"/>
          <w:kern w:val="0"/>
          <w:sz w:val="22"/>
          <w:szCs w:val="24"/>
          <w:lang w:val="en-US" w:eastAsia="zh-CN"/>
        </w:rPr>
        <w:t>黄芳</w:t>
      </w:r>
      <w:r>
        <w:rPr>
          <w:rFonts w:ascii="Times New Roman" w:hAnsi="Times New Roman" w:eastAsia="仿宋_GB2312" w:cs="Times New Roman"/>
          <w:kern w:val="0"/>
          <w:sz w:val="22"/>
          <w:szCs w:val="24"/>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widowControl/>
        <w:spacing w:after="120" w:afterLines="50"/>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2020年度部门整体支出绩效自评表</w:t>
      </w:r>
    </w:p>
    <w:tbl>
      <w:tblPr>
        <w:tblStyle w:val="8"/>
        <w:tblW w:w="9993" w:type="dxa"/>
        <w:jc w:val="center"/>
        <w:tblInd w:w="0" w:type="dxa"/>
        <w:tblLayout w:type="fixed"/>
        <w:tblCellMar>
          <w:top w:w="0" w:type="dxa"/>
          <w:left w:w="108" w:type="dxa"/>
          <w:bottom w:w="0" w:type="dxa"/>
          <w:right w:w="108" w:type="dxa"/>
        </w:tblCellMar>
      </w:tblPr>
      <w:tblGrid>
        <w:gridCol w:w="1049"/>
        <w:gridCol w:w="805"/>
        <w:gridCol w:w="737"/>
        <w:gridCol w:w="1404"/>
        <w:gridCol w:w="255"/>
        <w:gridCol w:w="1505"/>
        <w:gridCol w:w="1826"/>
        <w:gridCol w:w="737"/>
        <w:gridCol w:w="873"/>
        <w:gridCol w:w="802"/>
      </w:tblGrid>
      <w:tr>
        <w:tblPrEx>
          <w:tblLayout w:type="fixed"/>
          <w:tblCellMar>
            <w:top w:w="0" w:type="dxa"/>
            <w:left w:w="108" w:type="dxa"/>
            <w:bottom w:w="0" w:type="dxa"/>
            <w:right w:w="108" w:type="dxa"/>
          </w:tblCellMar>
        </w:tblPrEx>
        <w:trPr>
          <w:jc w:val="center"/>
        </w:trPr>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省级预算部门名称</w:t>
            </w:r>
          </w:p>
        </w:tc>
        <w:tc>
          <w:tcPr>
            <w:tcW w:w="8944"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湖南省归国华侨联合会</w:t>
            </w: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年度预</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算申请</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（万元）</w:t>
            </w:r>
          </w:p>
        </w:tc>
        <w:tc>
          <w:tcPr>
            <w:tcW w:w="154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p>
        </w:tc>
        <w:tc>
          <w:tcPr>
            <w:tcW w:w="1659"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年初</w:t>
            </w:r>
          </w:p>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预算数</w:t>
            </w:r>
          </w:p>
        </w:tc>
        <w:tc>
          <w:tcPr>
            <w:tcW w:w="150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全年预算数</w:t>
            </w:r>
          </w:p>
        </w:tc>
        <w:tc>
          <w:tcPr>
            <w:tcW w:w="18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全年执行数</w:t>
            </w:r>
          </w:p>
        </w:tc>
        <w:tc>
          <w:tcPr>
            <w:tcW w:w="73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分值</w:t>
            </w:r>
          </w:p>
        </w:tc>
        <w:tc>
          <w:tcPr>
            <w:tcW w:w="87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执行率</w:t>
            </w:r>
          </w:p>
        </w:tc>
        <w:tc>
          <w:tcPr>
            <w:tcW w:w="8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得分</w:t>
            </w:r>
          </w:p>
        </w:tc>
      </w:tr>
      <w:tr>
        <w:tblPrEx>
          <w:tblLayout w:type="fixed"/>
          <w:tblCellMar>
            <w:top w:w="0" w:type="dxa"/>
            <w:left w:w="108" w:type="dxa"/>
            <w:bottom w:w="0" w:type="dxa"/>
            <w:right w:w="108" w:type="dxa"/>
          </w:tblCellMar>
        </w:tblPrEx>
        <w:trPr>
          <w:jc w:val="center"/>
        </w:trPr>
        <w:tc>
          <w:tcPr>
            <w:tcW w:w="1049" w:type="dxa"/>
            <w:vMerge w:val="continue"/>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54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年度资金总额</w:t>
            </w:r>
          </w:p>
        </w:tc>
        <w:tc>
          <w:tcPr>
            <w:tcW w:w="1659"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1588.95</w:t>
            </w:r>
          </w:p>
        </w:tc>
        <w:tc>
          <w:tcPr>
            <w:tcW w:w="1505"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1667.62</w:t>
            </w:r>
          </w:p>
        </w:tc>
        <w:tc>
          <w:tcPr>
            <w:tcW w:w="18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1565.73</w:t>
            </w:r>
          </w:p>
        </w:tc>
        <w:tc>
          <w:tcPr>
            <w:tcW w:w="73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873"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93.89%</w:t>
            </w:r>
          </w:p>
        </w:tc>
        <w:tc>
          <w:tcPr>
            <w:tcW w:w="802"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706"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按收入性质分：</w:t>
            </w:r>
          </w:p>
        </w:tc>
        <w:tc>
          <w:tcPr>
            <w:tcW w:w="4238"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按支出性质分：</w:t>
            </w:r>
          </w:p>
        </w:tc>
      </w:tr>
      <w:tr>
        <w:tblPrEx>
          <w:tblLayout w:type="fixed"/>
          <w:tblCellMar>
            <w:top w:w="0" w:type="dxa"/>
            <w:left w:w="108" w:type="dxa"/>
            <w:bottom w:w="0" w:type="dxa"/>
            <w:right w:w="108" w:type="dxa"/>
          </w:tblCellMar>
        </w:tblPrEx>
        <w:trPr>
          <w:trHeight w:val="90" w:hRule="atLeast"/>
          <w:jc w:val="center"/>
        </w:trPr>
        <w:tc>
          <w:tcPr>
            <w:tcW w:w="1049"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706"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color w:val="000000"/>
                <w:kern w:val="0"/>
                <w:szCs w:val="21"/>
                <w:lang w:val="en-US"/>
              </w:rPr>
            </w:pPr>
            <w:r>
              <w:rPr>
                <w:rFonts w:ascii="Times New Roman" w:hAnsi="Times New Roman" w:eastAsia="仿宋_GB2312" w:cs="Times New Roman"/>
                <w:color w:val="000000"/>
                <w:kern w:val="0"/>
                <w:szCs w:val="21"/>
              </w:rPr>
              <w:t xml:space="preserve">  其中：  一般公共预算：</w:t>
            </w:r>
            <w:r>
              <w:rPr>
                <w:rFonts w:hint="eastAsia" w:ascii="Times New Roman" w:hAnsi="Times New Roman" w:eastAsia="仿宋_GB2312" w:cs="Times New Roman"/>
                <w:szCs w:val="21"/>
                <w:lang w:val="en-US" w:eastAsia="zh-CN"/>
              </w:rPr>
              <w:t>1565.73</w:t>
            </w:r>
          </w:p>
        </w:tc>
        <w:tc>
          <w:tcPr>
            <w:tcW w:w="4238"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其中：基本支出：</w:t>
            </w:r>
            <w:r>
              <w:rPr>
                <w:rFonts w:hint="eastAsia" w:ascii="Times New Roman" w:hAnsi="Times New Roman" w:eastAsia="仿宋_GB2312" w:cs="Times New Roman"/>
                <w:color w:val="000000"/>
                <w:kern w:val="0"/>
                <w:szCs w:val="21"/>
                <w:lang w:val="en-US" w:eastAsia="zh-CN"/>
              </w:rPr>
              <w:t>806.64</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706"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政府性基金拨款：</w:t>
            </w:r>
            <w:r>
              <w:rPr>
                <w:rFonts w:hint="eastAsia" w:ascii="Times New Roman" w:hAnsi="Times New Roman" w:eastAsia="仿宋_GB2312" w:cs="Times New Roman"/>
                <w:color w:val="000000"/>
                <w:kern w:val="0"/>
                <w:szCs w:val="21"/>
                <w:lang w:val="en-US" w:eastAsia="zh-CN"/>
              </w:rPr>
              <w:t>0</w:t>
            </w:r>
          </w:p>
        </w:tc>
        <w:tc>
          <w:tcPr>
            <w:tcW w:w="4238"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项目支出：</w:t>
            </w:r>
            <w:r>
              <w:rPr>
                <w:rFonts w:hint="eastAsia" w:ascii="Times New Roman" w:hAnsi="Times New Roman" w:eastAsia="仿宋_GB2312" w:cs="Times New Roman"/>
                <w:color w:val="000000"/>
                <w:kern w:val="0"/>
                <w:szCs w:val="21"/>
                <w:lang w:val="en-US" w:eastAsia="zh-CN"/>
              </w:rPr>
              <w:t>759.09</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706"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纳入专户管理的非税收入拨款：</w:t>
            </w:r>
            <w:r>
              <w:rPr>
                <w:rFonts w:hint="eastAsia" w:ascii="Times New Roman" w:hAnsi="Times New Roman" w:eastAsia="仿宋_GB2312" w:cs="Times New Roman"/>
                <w:color w:val="000000"/>
                <w:kern w:val="0"/>
                <w:szCs w:val="21"/>
                <w:lang w:val="en-US" w:eastAsia="zh-CN"/>
              </w:rPr>
              <w:t>0</w:t>
            </w:r>
          </w:p>
        </w:tc>
        <w:tc>
          <w:tcPr>
            <w:tcW w:w="4238"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706"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其他资金：</w:t>
            </w:r>
            <w:r>
              <w:rPr>
                <w:rFonts w:hint="eastAsia" w:ascii="Times New Roman" w:hAnsi="Times New Roman" w:eastAsia="仿宋_GB2312" w:cs="Times New Roman"/>
                <w:color w:val="000000"/>
                <w:kern w:val="0"/>
                <w:szCs w:val="21"/>
                <w:lang w:val="en-US" w:eastAsia="zh-CN"/>
              </w:rPr>
              <w:t>0</w:t>
            </w:r>
          </w:p>
        </w:tc>
        <w:tc>
          <w:tcPr>
            <w:tcW w:w="4238"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4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年度总体目标</w:t>
            </w:r>
          </w:p>
        </w:tc>
        <w:tc>
          <w:tcPr>
            <w:tcW w:w="4706"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预期目标</w:t>
            </w:r>
          </w:p>
        </w:tc>
        <w:tc>
          <w:tcPr>
            <w:tcW w:w="423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实际完成情况　</w:t>
            </w:r>
          </w:p>
        </w:tc>
      </w:tr>
      <w:tr>
        <w:tblPrEx>
          <w:tblLayout w:type="fixed"/>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706"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ind w:firstLine="420" w:firstLineChars="200"/>
              <w:jc w:val="left"/>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依据侨联章程履行服务经济发展、依法维护侨益、拓展海外联谊、积极参政议政、弘扬中华文化、参与社会建设等基本职能，积极做好招商引资引智、维权事业、文化交流、海外联谊等工作，为继续发挥侨联优势，密切联系海外侨胞，为富饶美丽幸福新湖南建设凝聚更多力量。</w:t>
            </w:r>
            <w:r>
              <w:rPr>
                <w:rFonts w:hint="eastAsia" w:ascii="仿宋_GB2312" w:hAnsi="仿宋_GB2312" w:eastAsia="仿宋_GB2312" w:cs="仿宋_GB2312"/>
              </w:rPr>
              <w:t>坚决贯彻中央、省委关于侨联工作的指示精神，积极担当作为，充分发挥桥梁纽带作用，</w:t>
            </w:r>
            <w:r>
              <w:rPr>
                <w:rFonts w:hint="eastAsia" w:ascii="仿宋_GB2312" w:hAnsi="仿宋_GB2312" w:eastAsia="仿宋_GB2312" w:cs="仿宋_GB2312"/>
                <w:lang w:eastAsia="zh-CN"/>
              </w:rPr>
              <w:t>全面完成省侨联</w:t>
            </w:r>
            <w:r>
              <w:rPr>
                <w:rFonts w:hint="eastAsia" w:ascii="仿宋_GB2312" w:hAnsi="仿宋_GB2312" w:eastAsia="仿宋_GB2312" w:cs="仿宋_GB2312"/>
                <w:lang w:val="en-US" w:eastAsia="zh-CN"/>
              </w:rPr>
              <w:t>2020</w:t>
            </w:r>
            <w:r>
              <w:rPr>
                <w:rFonts w:hint="eastAsia" w:ascii="仿宋_GB2312" w:hAnsi="仿宋_GB2312" w:eastAsia="仿宋_GB2312" w:cs="仿宋_GB2312"/>
                <w:lang w:eastAsia="zh-CN"/>
              </w:rPr>
              <w:t>年工作要点确定的各项重点工作。</w:t>
            </w:r>
          </w:p>
        </w:tc>
        <w:tc>
          <w:tcPr>
            <w:tcW w:w="423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2020年</w:t>
            </w:r>
            <w:r>
              <w:rPr>
                <w:rFonts w:hint="eastAsia" w:ascii="仿宋_GB2312" w:hAnsi="宋体" w:eastAsia="仿宋_GB2312" w:cs="宋体"/>
                <w:color w:val="000000"/>
                <w:kern w:val="0"/>
                <w:szCs w:val="21"/>
              </w:rPr>
              <w:t>我会</w:t>
            </w:r>
            <w:r>
              <w:rPr>
                <w:rFonts w:hint="eastAsia" w:ascii="仿宋_GB2312" w:hAnsi="宋体" w:eastAsia="仿宋_GB2312" w:cs="宋体"/>
                <w:color w:val="000000"/>
                <w:kern w:val="0"/>
                <w:szCs w:val="21"/>
                <w:lang w:eastAsia="zh-CN"/>
              </w:rPr>
              <w:t>的预算整体</w:t>
            </w:r>
            <w:r>
              <w:rPr>
                <w:rFonts w:hint="eastAsia" w:ascii="仿宋_GB2312" w:hAnsi="宋体" w:eastAsia="仿宋_GB2312" w:cs="宋体"/>
                <w:color w:val="000000"/>
                <w:kern w:val="0"/>
                <w:szCs w:val="21"/>
              </w:rPr>
              <w:t>支出</w:t>
            </w:r>
            <w:r>
              <w:rPr>
                <w:rFonts w:hint="eastAsia" w:ascii="仿宋_GB2312" w:hAnsi="宋体" w:eastAsia="仿宋_GB2312" w:cs="宋体"/>
                <w:color w:val="000000"/>
                <w:kern w:val="0"/>
                <w:szCs w:val="21"/>
                <w:lang w:eastAsia="zh-CN"/>
              </w:rPr>
              <w:t>紧紧</w:t>
            </w:r>
            <w:r>
              <w:rPr>
                <w:rFonts w:hint="eastAsia" w:ascii="仿宋_GB2312" w:hAnsi="宋体" w:eastAsia="仿宋_GB2312" w:cs="宋体"/>
                <w:color w:val="000000"/>
                <w:kern w:val="0"/>
                <w:szCs w:val="21"/>
              </w:rPr>
              <w:t>围绕让</w:t>
            </w:r>
            <w:r>
              <w:rPr>
                <w:rFonts w:hint="eastAsia" w:ascii="仿宋_GB2312" w:hAnsi="宋体" w:eastAsia="仿宋_GB2312" w:cs="宋体"/>
                <w:color w:val="000000"/>
                <w:kern w:val="0"/>
                <w:szCs w:val="21"/>
                <w:lang w:eastAsia="zh-CN"/>
              </w:rPr>
              <w:t>机关运行维护更高效，自身建设稳步发展，海外联谊、文化交流更有实际影响，</w:t>
            </w:r>
            <w:r>
              <w:rPr>
                <w:rFonts w:hint="eastAsia" w:ascii="仿宋_GB2312" w:hAnsi="宋体" w:eastAsia="仿宋_GB2312" w:cs="宋体"/>
                <w:color w:val="000000"/>
                <w:kern w:val="0"/>
                <w:szCs w:val="21"/>
              </w:rPr>
              <w:t>招商引资</w:t>
            </w:r>
            <w:r>
              <w:rPr>
                <w:rFonts w:hint="eastAsia" w:ascii="仿宋_GB2312" w:hAnsi="宋体" w:eastAsia="仿宋_GB2312" w:cs="宋体"/>
                <w:color w:val="000000"/>
                <w:kern w:val="0"/>
                <w:szCs w:val="21"/>
                <w:lang w:eastAsia="zh-CN"/>
              </w:rPr>
              <w:t>落地有实效</w:t>
            </w:r>
            <w:r>
              <w:rPr>
                <w:rFonts w:hint="eastAsia" w:ascii="仿宋_GB2312" w:hAnsi="宋体" w:eastAsia="仿宋_GB2312" w:cs="宋体"/>
                <w:color w:val="000000"/>
                <w:kern w:val="0"/>
                <w:szCs w:val="21"/>
              </w:rPr>
              <w:t>，参政议政、维护侨益更有经济保障，扶侨帮困更有</w:t>
            </w:r>
            <w:r>
              <w:rPr>
                <w:rFonts w:hint="eastAsia" w:ascii="仿宋_GB2312" w:hAnsi="宋体" w:eastAsia="仿宋_GB2312" w:cs="宋体"/>
                <w:color w:val="000000"/>
                <w:kern w:val="0"/>
                <w:szCs w:val="21"/>
                <w:lang w:eastAsia="zh-CN"/>
              </w:rPr>
              <w:t>帮扶成果，扶贫攻坚更有后盾支持</w:t>
            </w:r>
            <w:r>
              <w:rPr>
                <w:rFonts w:hint="eastAsia" w:ascii="仿宋_GB2312" w:hAnsi="宋体" w:eastAsia="仿宋_GB2312" w:cs="宋体"/>
                <w:color w:val="000000"/>
                <w:kern w:val="0"/>
                <w:szCs w:val="21"/>
              </w:rPr>
              <w:t>开展工作</w:t>
            </w:r>
            <w:r>
              <w:rPr>
                <w:rFonts w:hint="eastAsia" w:ascii="仿宋_GB2312" w:hAnsi="宋体" w:eastAsia="仿宋_GB2312" w:cs="宋体"/>
                <w:color w:val="000000"/>
                <w:kern w:val="0"/>
                <w:szCs w:val="21"/>
                <w:lang w:eastAsia="zh-CN"/>
              </w:rPr>
              <w:t>，全年取得了较好成效。</w:t>
            </w:r>
          </w:p>
        </w:tc>
      </w:tr>
      <w:tr>
        <w:tblPrEx>
          <w:tblLayout w:type="fixed"/>
          <w:tblCellMar>
            <w:top w:w="0" w:type="dxa"/>
            <w:left w:w="108" w:type="dxa"/>
            <w:bottom w:w="0" w:type="dxa"/>
            <w:right w:w="108" w:type="dxa"/>
          </w:tblCellMar>
        </w:tblPrEx>
        <w:trPr>
          <w:jc w:val="center"/>
        </w:trPr>
        <w:tc>
          <w:tcPr>
            <w:tcW w:w="1049"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80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一级指标</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二级指标</w:t>
            </w:r>
          </w:p>
        </w:tc>
        <w:tc>
          <w:tcPr>
            <w:tcW w:w="140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三级指标</w:t>
            </w:r>
          </w:p>
        </w:tc>
        <w:tc>
          <w:tcPr>
            <w:tcW w:w="176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指标值</w:t>
            </w:r>
          </w:p>
        </w:tc>
        <w:tc>
          <w:tcPr>
            <w:tcW w:w="182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实际完成值</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分值</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得分</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偏差原因</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w:t>
            </w:r>
            <w:r>
              <w:rPr>
                <w:rFonts w:hint="eastAsia" w:ascii="Times New Roman" w:hAnsi="Times New Roman" w:eastAsia="仿宋_GB2312" w:cs="Times New Roman"/>
                <w:color w:val="000000"/>
                <w:kern w:val="0"/>
                <w:szCs w:val="21"/>
                <w:lang w:eastAsia="zh-CN"/>
              </w:rPr>
              <w:t>析</w:t>
            </w:r>
            <w:r>
              <w:rPr>
                <w:rFonts w:ascii="Times New Roman" w:hAnsi="Times New Roman" w:eastAsia="仿宋_GB2312" w:cs="Times New Roman"/>
                <w:color w:val="000000"/>
                <w:kern w:val="0"/>
                <w:szCs w:val="21"/>
              </w:rPr>
              <w:t>及改进措施</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产出指标</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(50分)</w:t>
            </w:r>
          </w:p>
        </w:tc>
        <w:tc>
          <w:tcPr>
            <w:tcW w:w="737"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数量指标</w:t>
            </w:r>
          </w:p>
        </w:tc>
        <w:tc>
          <w:tcPr>
            <w:tcW w:w="1404" w:type="dxa"/>
            <w:tcBorders>
              <w:top w:val="nil"/>
              <w:left w:val="nil"/>
              <w:bottom w:val="single" w:color="auto" w:sz="4" w:space="0"/>
              <w:right w:val="single" w:color="auto" w:sz="4" w:space="0"/>
            </w:tcBorders>
            <w:shd w:val="clear" w:color="auto" w:fill="auto"/>
            <w:vAlign w:val="top"/>
          </w:tcPr>
          <w:p>
            <w:pPr>
              <w:pStyle w:val="16"/>
              <w:rPr>
                <w:rFonts w:ascii="Times New Roman" w:hAnsi="Times New Roman" w:eastAsia="仿宋_GB2312" w:cs="Times New Roman"/>
                <w:color w:val="000000"/>
                <w:kern w:val="0"/>
                <w:sz w:val="24"/>
                <w:szCs w:val="24"/>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做好参政议政提案办理工作。</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4"/>
                <w:szCs w:val="24"/>
                <w:lang w:eastAsia="zh-CN"/>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积极参政议政，</w:t>
            </w:r>
            <w:r>
              <w:rPr>
                <w:rFonts w:hint="eastAsia" w:ascii="仿宋_GB2312" w:hAnsi="仿宋_GB2312" w:eastAsia="仿宋_GB2312" w:cs="仿宋_GB2312"/>
                <w:color w:val="000000" w:themeColor="text1"/>
                <w:sz w:val="24"/>
                <w:szCs w:val="24"/>
                <w14:textFill>
                  <w14:solidFill>
                    <w14:schemeClr w14:val="tx1"/>
                  </w14:solidFill>
                </w14:textFill>
              </w:rPr>
              <w:t>组织省级侨界人大代表、政协委员撰写、提交建议提案5件以上</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826" w:type="dxa"/>
            <w:tcBorders>
              <w:top w:val="nil"/>
              <w:left w:val="nil"/>
              <w:bottom w:val="single" w:color="auto" w:sz="4" w:space="0"/>
              <w:right w:val="single" w:color="auto" w:sz="4" w:space="0"/>
            </w:tcBorders>
            <w:shd w:val="clear" w:color="auto" w:fill="auto"/>
            <w:vAlign w:val="top"/>
          </w:tcPr>
          <w:p>
            <w:pPr>
              <w:pStyle w:val="16"/>
              <w:rPr>
                <w:rFonts w:hint="eastAsia" w:ascii="Times New Roman" w:hAnsi="Times New Roman" w:eastAsia="仿宋_GB2312" w:cs="Times New Roman"/>
                <w:color w:val="000000"/>
                <w:kern w:val="0"/>
                <w:sz w:val="24"/>
                <w:szCs w:val="24"/>
                <w:lang w:eastAsia="zh-CN"/>
              </w:rPr>
            </w:pPr>
            <w:r>
              <w:rPr>
                <w:rFonts w:hint="eastAsia" w:ascii="仿宋_GB2312" w:hAnsi="仿宋_GB2312" w:eastAsia="仿宋_GB2312" w:cs="仿宋_GB2312"/>
                <w:sz w:val="24"/>
                <w:szCs w:val="24"/>
                <w:lang w:eastAsia="zh-CN"/>
              </w:rPr>
              <w:t>开展参政议政委调研暨召开年会，组织</w:t>
            </w:r>
            <w:r>
              <w:rPr>
                <w:rFonts w:hint="eastAsia" w:ascii="仿宋_GB2312" w:hAnsi="仿宋_GB2312" w:eastAsia="仿宋_GB2312" w:cs="仿宋_GB2312"/>
                <w:sz w:val="24"/>
                <w:szCs w:val="24"/>
              </w:rPr>
              <w:t>撰写、提交建议提案5件以上</w:t>
            </w:r>
            <w:r>
              <w:rPr>
                <w:rFonts w:hint="eastAsia" w:ascii="仿宋_GB2312" w:hAnsi="仿宋_GB2312" w:eastAsia="仿宋_GB2312" w:cs="仿宋_GB2312"/>
                <w:sz w:val="24"/>
                <w:szCs w:val="24"/>
                <w:lang w:eastAsia="zh-CN"/>
              </w:rPr>
              <w:t>。</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top"/>
          </w:tcPr>
          <w:p>
            <w:pPr>
              <w:pStyle w:val="16"/>
              <w:rPr>
                <w:rFonts w:ascii="Times New Roman" w:hAnsi="Times New Roman" w:eastAsia="仿宋_GB2312" w:cs="Times New Roman"/>
                <w:color w:val="000000"/>
                <w:kern w:val="0"/>
                <w:sz w:val="24"/>
                <w:szCs w:val="24"/>
              </w:rPr>
            </w:pPr>
            <w:r>
              <w:rPr>
                <w:rFonts w:hint="eastAsia" w:ascii="仿宋_GB2312" w:hAnsi="仿宋_GB2312" w:eastAsia="仿宋_GB2312" w:cs="仿宋_GB2312"/>
                <w:color w:val="000000"/>
                <w:kern w:val="0"/>
                <w:sz w:val="24"/>
                <w:szCs w:val="24"/>
                <w:lang w:val="en-US" w:eastAsia="zh-CN"/>
              </w:rPr>
              <w:t>做好《侨情专报》信息报送工作。</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4"/>
                <w:szCs w:val="24"/>
              </w:rPr>
            </w:pPr>
            <w:r>
              <w:rPr>
                <w:rFonts w:hint="eastAsia" w:ascii="仿宋_GB2312" w:hAnsi="仿宋_GB2312" w:eastAsia="仿宋_GB2312" w:cs="仿宋_GB2312"/>
                <w:sz w:val="24"/>
                <w:szCs w:val="24"/>
                <w:lang w:eastAsia="zh-CN"/>
              </w:rPr>
              <w:t>《侨情专报》被中国侨联采用10篇以上。</w:t>
            </w:r>
          </w:p>
        </w:tc>
        <w:tc>
          <w:tcPr>
            <w:tcW w:w="1826" w:type="dxa"/>
            <w:tcBorders>
              <w:top w:val="nil"/>
              <w:left w:val="nil"/>
              <w:bottom w:val="single" w:color="auto" w:sz="4" w:space="0"/>
              <w:right w:val="single" w:color="auto" w:sz="4" w:space="0"/>
            </w:tcBorders>
            <w:shd w:val="clear" w:color="auto" w:fill="auto"/>
            <w:vAlign w:val="top"/>
          </w:tcPr>
          <w:p>
            <w:pPr>
              <w:pStyle w:val="16"/>
              <w:rPr>
                <w:rFonts w:ascii="Times New Roman" w:hAnsi="Times New Roman" w:eastAsia="仿宋_GB2312" w:cs="Times New Roman"/>
                <w:color w:val="000000"/>
                <w:kern w:val="0"/>
                <w:sz w:val="24"/>
                <w:szCs w:val="24"/>
              </w:rPr>
            </w:pPr>
            <w:r>
              <w:rPr>
                <w:rFonts w:hint="eastAsia" w:ascii="仿宋_GB2312" w:hAnsi="仿宋_GB2312" w:eastAsia="仿宋_GB2312" w:cs="仿宋_GB2312"/>
                <w:sz w:val="24"/>
                <w:szCs w:val="24"/>
                <w:lang w:eastAsia="zh-CN"/>
              </w:rPr>
              <w:t>已采用</w:t>
            </w:r>
            <w:r>
              <w:rPr>
                <w:rFonts w:hint="eastAsia" w:ascii="仿宋_GB2312" w:hAnsi="仿宋_GB2312" w:eastAsia="仿宋_GB2312" w:cs="仿宋_GB2312"/>
                <w:sz w:val="24"/>
                <w:szCs w:val="24"/>
                <w:lang w:val="en-US" w:eastAsia="zh-CN"/>
              </w:rPr>
              <w:t>15篇。</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开</w:t>
            </w:r>
            <w:r>
              <w:rPr>
                <w:rFonts w:hint="eastAsia" w:ascii="仿宋_GB2312" w:hAnsi="仿宋_GB2312" w:eastAsia="仿宋_GB2312" w:cs="仿宋_GB2312"/>
                <w:color w:val="000000" w:themeColor="text1"/>
                <w:sz w:val="24"/>
                <w:szCs w:val="24"/>
                <w14:textFill>
                  <w14:solidFill>
                    <w14:schemeClr w14:val="tx1"/>
                  </w14:solidFill>
                </w14:textFill>
              </w:rPr>
              <w:t>展“亲情中华、魅力湖南”文化交流品牌活动一次以上</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开</w:t>
            </w:r>
            <w:r>
              <w:rPr>
                <w:rFonts w:hint="eastAsia" w:ascii="仿宋_GB2312" w:hAnsi="仿宋_GB2312" w:eastAsia="仿宋_GB2312" w:cs="仿宋_GB2312"/>
                <w:color w:val="000000" w:themeColor="text1"/>
                <w:sz w:val="24"/>
                <w:szCs w:val="24"/>
                <w14:textFill>
                  <w14:solidFill>
                    <w14:schemeClr w14:val="tx1"/>
                  </w14:solidFill>
                </w14:textFill>
              </w:rPr>
              <w:t>展“亲情中华、魅力湖南”文化交流品牌活动一次以上</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积极承办</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14:textFill>
                  <w14:solidFill>
                    <w14:schemeClr w14:val="tx1"/>
                  </w14:solidFill>
                </w14:textFill>
              </w:rPr>
              <w:t>期“亲情中华·为你讲故事”网上湖南夏令营活动，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34</w:t>
            </w:r>
            <w:r>
              <w:rPr>
                <w:rFonts w:hint="eastAsia" w:ascii="仿宋_GB2312" w:hAnsi="仿宋_GB2312" w:eastAsia="仿宋_GB2312" w:cs="仿宋_GB2312"/>
                <w:color w:val="000000" w:themeColor="text1"/>
                <w:sz w:val="24"/>
                <w:szCs w:val="24"/>
                <w14:textFill>
                  <w14:solidFill>
                    <w14:schemeClr w14:val="tx1"/>
                  </w14:solidFill>
                </w14:textFill>
              </w:rPr>
              <w:t>家海外侨团、华文教育学校，13个国家</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3749</w:t>
            </w:r>
            <w:r>
              <w:rPr>
                <w:rFonts w:hint="eastAsia" w:ascii="仿宋_GB2312" w:hAnsi="仿宋_GB2312" w:eastAsia="仿宋_GB2312" w:cs="仿宋_GB2312"/>
                <w:color w:val="000000" w:themeColor="text1"/>
                <w:sz w:val="24"/>
                <w:szCs w:val="24"/>
                <w14:textFill>
                  <w14:solidFill>
                    <w14:schemeClr w14:val="tx1"/>
                  </w14:solidFill>
                </w14:textFill>
              </w:rPr>
              <w:t>名海外华裔青少年相聚云端，以特别的方式继续中华文化之旅</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3</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rPr>
              <w:t>推进党建带侨建。</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多方联动，</w:t>
            </w:r>
            <w:r>
              <w:rPr>
                <w:rFonts w:hint="eastAsia" w:ascii="仿宋_GB2312" w:hAnsi="仿宋_GB2312" w:eastAsia="仿宋_GB2312" w:cs="仿宋_GB2312"/>
                <w:sz w:val="24"/>
                <w:szCs w:val="24"/>
              </w:rPr>
              <w:t>共抓高校侨联组织建设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强化责任，落实</w:t>
            </w:r>
            <w:r>
              <w:rPr>
                <w:rFonts w:hint="eastAsia" w:ascii="仿宋_GB2312" w:hAnsi="仿宋_GB2312" w:eastAsia="仿宋_GB2312" w:cs="仿宋_GB2312"/>
                <w:sz w:val="24"/>
                <w:szCs w:val="24"/>
                <w:lang w:eastAsia="zh-CN"/>
              </w:rPr>
              <w:t>好</w:t>
            </w:r>
            <w:r>
              <w:rPr>
                <w:rFonts w:hint="eastAsia" w:ascii="仿宋_GB2312" w:hAnsi="仿宋_GB2312" w:eastAsia="仿宋_GB2312" w:cs="仿宋_GB2312"/>
                <w:sz w:val="24"/>
                <w:szCs w:val="24"/>
              </w:rPr>
              <w:t>基层联系点制度</w:t>
            </w:r>
            <w:r>
              <w:rPr>
                <w:rFonts w:hint="eastAsia" w:ascii="仿宋_GB2312" w:hAnsi="仿宋_GB2312" w:eastAsia="仿宋_GB2312" w:cs="仿宋_GB2312"/>
                <w:sz w:val="24"/>
                <w:szCs w:val="24"/>
                <w:lang w:eastAsia="zh-CN"/>
              </w:rPr>
              <w:t>；在职、兼职侨联干部对口联系14个市州和15所高校侨联组织。</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召开市州侨联主要负责人座谈会，下发《省侨联机关干部直接联系基层侨联组织分工表》，35名在职、兼职侨联干部对口联系14个市州和15所高校侨联组织。</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湖南省华侨事务预算专项经费</w:t>
            </w:r>
            <w:r>
              <w:rPr>
                <w:rFonts w:hint="eastAsia" w:ascii="仿宋_GB2312" w:hAnsi="仿宋_GB2312" w:eastAsia="仿宋_GB2312" w:cs="仿宋_GB2312"/>
                <w:color w:val="000000"/>
                <w:kern w:val="0"/>
                <w:sz w:val="24"/>
                <w:szCs w:val="24"/>
                <w:lang w:eastAsia="zh-CN"/>
              </w:rPr>
              <w:t>用于支持基层侨胞之家建设。</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湖南省华侨事务预算专项经费共110万元</w:t>
            </w:r>
            <w:r>
              <w:rPr>
                <w:rFonts w:hint="eastAsia" w:ascii="仿宋_GB2312" w:hAnsi="仿宋_GB2312" w:eastAsia="仿宋_GB2312" w:cs="仿宋_GB2312"/>
                <w:color w:val="auto"/>
                <w:kern w:val="0"/>
                <w:sz w:val="24"/>
                <w:szCs w:val="24"/>
                <w:lang w:eastAsia="zh-CN"/>
              </w:rPr>
              <w:t>，中国侨联支持</w:t>
            </w:r>
            <w:r>
              <w:rPr>
                <w:rFonts w:hint="eastAsia" w:ascii="仿宋_GB2312" w:hAnsi="仿宋_GB2312" w:eastAsia="仿宋_GB2312" w:cs="仿宋_GB2312"/>
                <w:color w:val="auto"/>
                <w:kern w:val="0"/>
                <w:sz w:val="24"/>
                <w:szCs w:val="24"/>
                <w:lang w:val="en-US" w:eastAsia="zh-CN"/>
              </w:rPr>
              <w:t>10万元。</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下拨120万元专项资金支持60个基层侨胞之家建设，与市州建行合作建立了17个“侨胞之家特色服务区”，常德市实现了建行“侨胞之家特色服务区”全覆盖。</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3</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3</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质量指标</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抓好侨界思想政治引领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抓好意识形态阵地建设，开辟抗疫专题专栏，制作抗疫、战贫宣传片。</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省侨联官网、红网湘侨频道、微信公众号、《湖南侨联》杂志等媒体全面提质，浏览量大增，影响力不断提升</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开辟了《共同战“疫”湖南侨界在行动》《海外侨界抗疫人物风采》专题专栏，制作了《万里湘情共抗疫》《万里湘情同扶贫》宣传片、同心抗疫歌曲《生命相依》和一大批抗疫诗歌，鼓舞侨界士气，凝聚侨界力量。</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服务侨商侨企有序复工复产</w:t>
            </w:r>
            <w:r>
              <w:rPr>
                <w:rFonts w:hint="eastAsia" w:ascii="仿宋_GB2312" w:hAnsi="仿宋_GB2312" w:eastAsia="仿宋_GB2312" w:cs="仿宋_GB2312"/>
                <w:color w:val="000000"/>
                <w:kern w:val="0"/>
                <w:sz w:val="24"/>
                <w:szCs w:val="24"/>
                <w:lang w:eastAsia="zh-CN"/>
              </w:rPr>
              <w:t>。</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广泛开展侨企大调研活动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多措并举解决侨企实际困难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支持和推动侨企开展新冠肺炎疫情防控和复工复产工作</w:t>
            </w:r>
            <w:r>
              <w:rPr>
                <w:rFonts w:hint="eastAsia" w:ascii="仿宋_GB2312" w:hAnsi="仿宋_GB2312" w:eastAsia="仿宋_GB2312" w:cs="仿宋_GB2312"/>
                <w:sz w:val="24"/>
                <w:szCs w:val="24"/>
                <w:lang w:eastAsia="zh-CN"/>
              </w:rPr>
              <w:t>。启动“侨e家”线上商城。对接建行湖南省分行开展全面战略合作。</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成效良好。为侨企抱团发展提供新平台。促成了省建行面向侨企的68亿元信贷额度，截至</w:t>
            </w:r>
            <w:r>
              <w:rPr>
                <w:rFonts w:hint="eastAsia" w:ascii="仿宋_GB2312" w:hAnsi="仿宋_GB2312" w:eastAsia="仿宋_GB2312" w:cs="仿宋_GB2312"/>
                <w:color w:val="000000"/>
                <w:kern w:val="0"/>
                <w:sz w:val="24"/>
                <w:szCs w:val="24"/>
                <w:lang w:val="en-US" w:eastAsia="zh-CN"/>
              </w:rPr>
              <w:t>12</w:t>
            </w:r>
            <w:r>
              <w:rPr>
                <w:rFonts w:hint="eastAsia" w:ascii="仿宋_GB2312" w:hAnsi="仿宋_GB2312" w:eastAsia="仿宋_GB2312" w:cs="仿宋_GB2312"/>
                <w:color w:val="000000"/>
                <w:kern w:val="0"/>
                <w:sz w:val="24"/>
                <w:szCs w:val="24"/>
                <w:lang w:eastAsia="zh-CN"/>
              </w:rPr>
              <w:t>月底，已有32家涉侨企业贷款</w:t>
            </w:r>
            <w:r>
              <w:rPr>
                <w:rFonts w:hint="eastAsia" w:ascii="仿宋_GB2312" w:hAnsi="仿宋_GB2312" w:eastAsia="仿宋_GB2312" w:cs="仿宋_GB2312"/>
                <w:color w:val="000000"/>
                <w:kern w:val="0"/>
                <w:sz w:val="24"/>
                <w:szCs w:val="24"/>
                <w:lang w:val="en" w:eastAsia="zh-CN"/>
              </w:rPr>
              <w:t>超4</w:t>
            </w:r>
            <w:r>
              <w:rPr>
                <w:rFonts w:hint="eastAsia" w:ascii="仿宋_GB2312" w:hAnsi="仿宋_GB2312" w:eastAsia="仿宋_GB2312" w:cs="仿宋_GB2312"/>
                <w:color w:val="000000"/>
                <w:kern w:val="0"/>
                <w:sz w:val="24"/>
                <w:szCs w:val="24"/>
                <w:lang w:eastAsia="zh-CN"/>
              </w:rPr>
              <w:t>亿元。</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 w:eastAsia="zh-CN"/>
              </w:rPr>
              <w:t>以侨为桥、以侨引侨，讲好湖南故事。</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组织海外侨领侨胞和侨界青年实地考察</w:t>
            </w:r>
            <w:r>
              <w:rPr>
                <w:rFonts w:hint="eastAsia" w:ascii="仿宋_GB2312" w:hAnsi="仿宋_GB2312" w:eastAsia="仿宋_GB2312" w:cs="仿宋_GB2312"/>
                <w:sz w:val="24"/>
                <w:szCs w:val="24"/>
                <w:lang w:val="en-US" w:eastAsia="zh-CN"/>
              </w:rPr>
              <w:t>湖南经济社会发展的巨大成就和发展机遇，体验湖湘文化的独特魅力和各地的风土人情。通过省情推介、经贸投资项目洽谈、企业考察、文化交流等形式，加强与海外华侨华人的联系，充分发挥海外侨胞独特优势和重要作用，助力中国经济发展，增进海外华侨华人对祖（籍）国的感情。</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成功举办</w:t>
            </w:r>
            <w:r>
              <w:rPr>
                <w:rFonts w:hint="eastAsia" w:ascii="仿宋_GB2312" w:hAnsi="仿宋_GB2312" w:eastAsia="仿宋_GB2312" w:cs="仿宋_GB2312"/>
                <w:sz w:val="24"/>
                <w:szCs w:val="24"/>
                <w:lang w:val="en-US" w:eastAsia="zh-CN"/>
              </w:rPr>
              <w:t>2020</w:t>
            </w:r>
            <w:r>
              <w:rPr>
                <w:rFonts w:hint="eastAsia" w:ascii="仿宋_GB2312" w:hAnsi="仿宋_GB2312" w:eastAsia="仿宋_GB2312" w:cs="仿宋_GB2312"/>
                <w:sz w:val="24"/>
                <w:szCs w:val="24"/>
                <w:lang w:eastAsia="zh-CN"/>
              </w:rPr>
              <w:t>海外侨界青年湖南行和海外侨胞故乡行—走进湖南活动。</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 w:eastAsia="zh-CN" w:bidi="ar-SA"/>
              </w:rPr>
            </w:pPr>
            <w:r>
              <w:rPr>
                <w:rFonts w:hint="eastAsia" w:ascii="仿宋_GB2312" w:hAnsi="仿宋_GB2312" w:eastAsia="仿宋_GB2312" w:cs="仿宋_GB2312"/>
                <w:sz w:val="24"/>
                <w:szCs w:val="24"/>
                <w:lang w:eastAsia="zh-CN"/>
              </w:rPr>
              <w:t>做好机关</w:t>
            </w:r>
            <w:r>
              <w:rPr>
                <w:rFonts w:hint="eastAsia" w:ascii="仿宋_GB2312" w:hAnsi="仿宋_GB2312" w:eastAsia="仿宋_GB2312" w:cs="仿宋_GB2312"/>
                <w:sz w:val="24"/>
                <w:szCs w:val="24"/>
              </w:rPr>
              <w:t>综治工作（平安建设）</w:t>
            </w:r>
            <w:r>
              <w:rPr>
                <w:rFonts w:hint="eastAsia" w:ascii="仿宋_GB2312" w:hAnsi="仿宋_GB2312" w:eastAsia="仿宋_GB2312" w:cs="仿宋_GB2312"/>
                <w:sz w:val="24"/>
                <w:szCs w:val="24"/>
                <w:lang w:eastAsia="zh-CN"/>
              </w:rPr>
              <w:t>。</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综治工作考核等次为合格以上。</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综治工作考核等次为合格。</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 w:eastAsia="zh-CN" w:bidi="ar-SA"/>
              </w:rPr>
            </w:pPr>
            <w:r>
              <w:rPr>
                <w:rFonts w:hint="eastAsia" w:ascii="仿宋_GB2312" w:hAnsi="仿宋_GB2312" w:eastAsia="仿宋_GB2312" w:cs="仿宋_GB2312"/>
                <w:color w:val="000000"/>
                <w:kern w:val="0"/>
                <w:sz w:val="24"/>
                <w:szCs w:val="24"/>
                <w:lang w:eastAsia="zh-CN"/>
              </w:rPr>
              <w:t>做好创先争优工作。</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加强先进支部建设、鼓励先进集体、先进个人。</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省侨联机关第三党支部被评为全省抗击新冠肺炎疫情先进集体和全省先进基层党组织。</w:t>
            </w:r>
            <w:r>
              <w:rPr>
                <w:rFonts w:hint="eastAsia" w:ascii="仿宋_GB2312" w:hAnsi="仿宋_GB2312" w:eastAsia="仿宋_GB2312" w:cs="仿宋_GB2312"/>
                <w:color w:val="000000"/>
                <w:kern w:val="0"/>
                <w:sz w:val="24"/>
                <w:szCs w:val="24"/>
                <w:lang w:eastAsia="zh-CN"/>
              </w:rPr>
              <w:t>省侨联两名干部被评为中国侨联抗疫先进个人，海外侨社团联谊总会、省侨联青年委员会被评为中国侨联抗疫先进集体。荣获中国侨联</w:t>
            </w:r>
            <w:r>
              <w:rPr>
                <w:rFonts w:hint="eastAsia" w:ascii="仿宋_GB2312" w:hAnsi="仿宋_GB2312" w:eastAsia="仿宋_GB2312" w:cs="仿宋_GB2312"/>
                <w:color w:val="000000"/>
                <w:kern w:val="0"/>
                <w:sz w:val="24"/>
                <w:szCs w:val="24"/>
                <w:lang w:val="en-US" w:eastAsia="zh-CN"/>
              </w:rPr>
              <w:t>2020年度</w:t>
            </w:r>
            <w:r>
              <w:rPr>
                <w:rFonts w:hint="eastAsia" w:ascii="仿宋_GB2312" w:hAnsi="仿宋_GB2312" w:eastAsia="仿宋_GB2312" w:cs="仿宋_GB2312"/>
                <w:color w:val="000000"/>
                <w:kern w:val="0"/>
                <w:sz w:val="24"/>
                <w:szCs w:val="24"/>
                <w:lang w:eastAsia="zh-CN"/>
              </w:rPr>
              <w:t>信息工作二等奖。组织参加全国第八届“中国侨界贡献奖”评选，3名侨界科技人才获评一等奖，3名获评二等奖。</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3</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3</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val="en" w:eastAsia="zh-CN" w:bidi="ar-SA"/>
              </w:rPr>
            </w:pP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val="en-US" w:eastAsia="zh-CN" w:bidi="ar-SA"/>
              </w:rPr>
            </w:pP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val="en-US" w:eastAsia="zh-CN" w:bidi="ar-SA"/>
              </w:rPr>
            </w:pP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时效指标</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定期召开省侨联全委会。</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2020年定期召开省侨联八届二次全委会。</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2020年4月9日</w:t>
            </w:r>
            <w:r>
              <w:rPr>
                <w:rFonts w:hint="eastAsia" w:ascii="仿宋_GB2312" w:hAnsi="仿宋_GB2312" w:eastAsia="仿宋_GB2312" w:cs="仿宋_GB2312"/>
                <w:color w:val="000000" w:themeColor="text1"/>
                <w:sz w:val="24"/>
                <w:szCs w:val="24"/>
                <w14:textFill>
                  <w14:solidFill>
                    <w14:schemeClr w14:val="tx1"/>
                  </w14:solidFill>
                </w14:textFill>
              </w:rPr>
              <w:t>召开省侨联</w:t>
            </w:r>
            <w:r>
              <w:rPr>
                <w:rFonts w:hint="eastAsia" w:ascii="仿宋_GB2312" w:hAnsi="仿宋_GB2312" w:eastAsia="仿宋_GB2312" w:cs="仿宋_GB2312"/>
                <w:color w:val="000000" w:themeColor="text1"/>
                <w:sz w:val="24"/>
                <w:szCs w:val="24"/>
                <w:lang w:eastAsia="zh-CN"/>
                <w14:textFill>
                  <w14:solidFill>
                    <w14:schemeClr w14:val="tx1"/>
                  </w14:solidFill>
                </w14:textFill>
              </w:rPr>
              <w:t>八届二次全委会。</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定期对</w:t>
            </w:r>
            <w:r>
              <w:rPr>
                <w:rFonts w:hint="eastAsia" w:ascii="仿宋_GB2312" w:hAnsi="仿宋_GB2312" w:eastAsia="仿宋_GB2312" w:cs="仿宋_GB2312"/>
                <w:color w:val="000000" w:themeColor="text1"/>
                <w:kern w:val="0"/>
                <w:sz w:val="24"/>
                <w:szCs w:val="24"/>
                <w14:textFill>
                  <w14:solidFill>
                    <w14:schemeClr w14:val="tx1"/>
                  </w14:solidFill>
                </w14:textFill>
              </w:rPr>
              <w:t>省侨联法顾委和省华侨公益基金会</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进行</w:t>
            </w:r>
            <w:r>
              <w:rPr>
                <w:rFonts w:hint="eastAsia" w:ascii="仿宋_GB2312" w:hAnsi="仿宋_GB2312" w:eastAsia="仿宋_GB2312" w:cs="仿宋_GB2312"/>
                <w:color w:val="000000" w:themeColor="text1"/>
                <w:kern w:val="0"/>
                <w:sz w:val="24"/>
                <w:szCs w:val="24"/>
                <w14:textFill>
                  <w14:solidFill>
                    <w14:schemeClr w14:val="tx1"/>
                  </w14:solidFill>
                </w14:textFill>
              </w:rPr>
              <w:t>换届</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2020年完成省侨联法顾委和省华侨公益基金会换届工作。</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2020年度</w:t>
            </w:r>
            <w:r>
              <w:rPr>
                <w:rFonts w:hint="eastAsia" w:ascii="仿宋_GB2312" w:hAnsi="仿宋_GB2312" w:eastAsia="仿宋_GB2312" w:cs="仿宋_GB2312"/>
                <w:color w:val="000000" w:themeColor="text1"/>
                <w:kern w:val="0"/>
                <w:sz w:val="24"/>
                <w:szCs w:val="24"/>
                <w14:textFill>
                  <w14:solidFill>
                    <w14:schemeClr w14:val="tx1"/>
                  </w14:solidFill>
                </w14:textFill>
              </w:rPr>
              <w:t>完成了省侨联法顾委换届聘任和省华侨公益基金会换届工作</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定期做好干部队伍能力提升工作。</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本年完成机关内设机构轮岗，做好干部培养、交流工作。</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val="en-US" w:eastAsia="zh-CN"/>
              </w:rPr>
              <w:t>2020年1月，</w:t>
            </w:r>
            <w:r>
              <w:rPr>
                <w:rFonts w:hint="eastAsia" w:ascii="仿宋_GB2312" w:hAnsi="仿宋_GB2312" w:eastAsia="仿宋_GB2312" w:cs="仿宋_GB2312"/>
                <w:sz w:val="24"/>
                <w:szCs w:val="24"/>
              </w:rPr>
              <w:t>为进一步加强侨联干部培养，优化干部队伍结构，按“人岗相适”原则调整8人岗位</w:t>
            </w:r>
            <w:r>
              <w:rPr>
                <w:rFonts w:hint="eastAsia" w:ascii="仿宋_GB2312" w:hAnsi="仿宋_GB2312" w:eastAsia="仿宋_GB2312" w:cs="仿宋_GB2312"/>
                <w:sz w:val="24"/>
                <w:szCs w:val="24"/>
                <w:lang w:eastAsia="zh-CN"/>
              </w:rPr>
              <w:t>。转任 2名干部到省侨联机关任副处长，重用1名驻村扶贫干部任机关副处长，选派1名干部到中国侨联挂职，遴选1名基层侨联干部挂职，敢于担当，有为有位的选人用人导向进一步形成。</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定期召开全省高校侨联组织建设工作座谈会。</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本年召开全省高校侨联组织建设工作座谈会。</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联合省委统战部召开全省高校侨联组织建设工作座谈会，明确责任，形成合力。　</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定期召开</w:t>
            </w:r>
            <w:r>
              <w:rPr>
                <w:rFonts w:hint="eastAsia" w:ascii="仿宋_GB2312" w:hAnsi="仿宋_GB2312" w:eastAsia="仿宋_GB2312" w:cs="仿宋_GB2312"/>
                <w:color w:val="auto"/>
                <w:kern w:val="0"/>
                <w:sz w:val="24"/>
                <w:szCs w:val="24"/>
                <w:lang w:eastAsia="zh-CN"/>
              </w:rPr>
              <w:t>省直单位归侨侨眷代表大会。</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eastAsia="zh-CN"/>
              </w:rPr>
              <w:t>召开省直单位第五次归侨侨眷代表大会。</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召开了</w:t>
            </w:r>
            <w:r>
              <w:rPr>
                <w:rFonts w:hint="eastAsia" w:ascii="仿宋_GB2312" w:hAnsi="仿宋_GB2312" w:eastAsia="仿宋_GB2312" w:cs="仿宋_GB2312"/>
                <w:color w:val="auto"/>
                <w:kern w:val="0"/>
                <w:sz w:val="24"/>
                <w:szCs w:val="24"/>
                <w:lang w:eastAsia="zh-CN"/>
              </w:rPr>
              <w:t>省直单位第五次归侨侨眷代表大会，</w:t>
            </w:r>
            <w:r>
              <w:rPr>
                <w:rFonts w:hint="eastAsia" w:ascii="仿宋_GB2312" w:hAnsi="仿宋_GB2312" w:eastAsia="仿宋_GB2312" w:cs="仿宋_GB2312"/>
                <w:color w:val="auto"/>
                <w:kern w:val="0"/>
                <w:sz w:val="24"/>
                <w:szCs w:val="24"/>
                <w:lang w:val="en-US" w:eastAsia="zh-CN"/>
              </w:rPr>
              <w:t>并</w:t>
            </w:r>
            <w:r>
              <w:rPr>
                <w:rFonts w:hint="eastAsia" w:ascii="仿宋_GB2312" w:hAnsi="仿宋_GB2312" w:eastAsia="仿宋_GB2312" w:cs="仿宋_GB2312"/>
                <w:color w:val="auto"/>
                <w:kern w:val="0"/>
                <w:sz w:val="24"/>
                <w:szCs w:val="24"/>
                <w:lang w:eastAsia="zh-CN"/>
              </w:rPr>
              <w:t>新增省直相关单位归侨侨眷信息2000多人。</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成本指标</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扶侨帮困资金覆盖范围涉及十四个市州及</w:t>
            </w:r>
            <w:r>
              <w:rPr>
                <w:rFonts w:hint="eastAsia" w:ascii="仿宋_GB2312" w:hAnsi="仿宋_GB2312" w:eastAsia="仿宋_GB2312" w:cs="仿宋_GB2312"/>
                <w:sz w:val="24"/>
                <w:szCs w:val="24"/>
                <w:lang w:eastAsia="zh-CN"/>
              </w:rPr>
              <w:t>大部分</w:t>
            </w:r>
            <w:r>
              <w:rPr>
                <w:rFonts w:hint="eastAsia" w:ascii="仿宋_GB2312" w:hAnsi="仿宋_GB2312" w:eastAsia="仿宋_GB2312" w:cs="仿宋_GB2312"/>
                <w:sz w:val="24"/>
                <w:szCs w:val="24"/>
              </w:rPr>
              <w:t>已成立侨联组织的高校。利用扶侨帮困资金至少慰问侨界困难群众数百人</w:t>
            </w:r>
            <w:r>
              <w:rPr>
                <w:rFonts w:hint="eastAsia" w:ascii="仿宋_GB2312" w:hAnsi="仿宋_GB2312" w:eastAsia="仿宋_GB2312" w:cs="仿宋_GB2312"/>
                <w:sz w:val="24"/>
                <w:szCs w:val="24"/>
                <w:lang w:eastAsia="zh-CN"/>
              </w:rPr>
              <w:t>。</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下拨2020年扶侨帮困专项资金</w:t>
            </w:r>
            <w:r>
              <w:rPr>
                <w:rFonts w:hint="eastAsia" w:ascii="仿宋_GB2312" w:hAnsi="仿宋_GB2312" w:eastAsia="仿宋_GB2312" w:cs="仿宋_GB2312"/>
                <w:sz w:val="24"/>
                <w:szCs w:val="24"/>
                <w:lang w:val="en-US" w:eastAsia="zh-CN"/>
              </w:rPr>
              <w:t>88万元</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以</w:t>
            </w:r>
            <w:r>
              <w:rPr>
                <w:rFonts w:hint="eastAsia" w:ascii="仿宋_GB2312" w:hAnsi="仿宋_GB2312" w:eastAsia="仿宋_GB2312" w:cs="仿宋_GB2312"/>
                <w:sz w:val="24"/>
                <w:szCs w:val="24"/>
              </w:rPr>
              <w:t>重点帮扶特困归侨侨眷家庭</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z w:val="24"/>
                <w:szCs w:val="24"/>
              </w:rPr>
              <w:t>走访慰问困难归侨侨眷</w:t>
            </w:r>
            <w:r>
              <w:rPr>
                <w:rFonts w:hint="eastAsia" w:ascii="仿宋_GB2312" w:hAnsi="仿宋_GB2312" w:eastAsia="仿宋_GB2312" w:cs="仿宋_GB2312"/>
                <w:sz w:val="24"/>
                <w:szCs w:val="24"/>
                <w:lang w:eastAsia="zh-CN"/>
              </w:rPr>
              <w:t>的方式，做好侨界困难群众的慰问工作</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日常慰问一次每户</w:t>
            </w:r>
            <w:r>
              <w:rPr>
                <w:rFonts w:hint="eastAsia" w:ascii="仿宋_GB2312" w:hAnsi="仿宋_GB2312" w:eastAsia="仿宋_GB2312" w:cs="仿宋_GB2312"/>
                <w:sz w:val="24"/>
                <w:szCs w:val="24"/>
                <w:lang w:val="en-US" w:eastAsia="zh-CN"/>
              </w:rPr>
              <w:t>500-2000元；重点帮扶对象视情一次性给予每户5000-20000元不等的重点帮扶资金。</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下拨2020年扶侨帮困专项资金，重点帮扶特困归侨侨眷家庭45户，走访慰问困难归侨侨眷家庭500余户。争取中国侨联专项资金10万元，慰问岳阳、常德等5个市州因洪水受灾的</w:t>
            </w:r>
            <w:r>
              <w:rPr>
                <w:rFonts w:hint="eastAsia" w:ascii="仿宋_GB2312" w:hAnsi="仿宋_GB2312" w:eastAsia="仿宋_GB2312" w:cs="仿宋_GB2312"/>
                <w:sz w:val="24"/>
                <w:szCs w:val="24"/>
                <w:lang w:eastAsia="zh-CN"/>
              </w:rPr>
              <w:t>困难</w:t>
            </w:r>
            <w:r>
              <w:rPr>
                <w:rFonts w:hint="eastAsia" w:ascii="仿宋_GB2312" w:hAnsi="仿宋_GB2312" w:eastAsia="仿宋_GB2312" w:cs="仿宋_GB2312"/>
                <w:sz w:val="24"/>
                <w:szCs w:val="24"/>
              </w:rPr>
              <w:t>侨界群众和企业。</w:t>
            </w:r>
          </w:p>
          <w:p>
            <w:pPr>
              <w:widowControl/>
              <w:jc w:val="left"/>
              <w:rPr>
                <w:rFonts w:hint="eastAsia" w:ascii="仿宋_GB2312" w:hAnsi="仿宋_GB2312" w:eastAsia="仿宋_GB2312" w:cs="仿宋_GB2312"/>
                <w:color w:val="000000"/>
                <w:kern w:val="0"/>
                <w:sz w:val="24"/>
                <w:szCs w:val="24"/>
              </w:rPr>
            </w:pP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湖南省华侨事务预算专项经费</w:t>
            </w:r>
            <w:r>
              <w:rPr>
                <w:rFonts w:hint="eastAsia" w:ascii="仿宋_GB2312" w:hAnsi="仿宋_GB2312" w:eastAsia="仿宋_GB2312" w:cs="仿宋_GB2312"/>
                <w:color w:val="000000"/>
                <w:kern w:val="0"/>
                <w:sz w:val="24"/>
                <w:szCs w:val="24"/>
                <w:lang w:eastAsia="zh-CN"/>
              </w:rPr>
              <w:t>用于支持基层侨胞之家建设。</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湖南省华侨事务预算专项经费共110万元</w:t>
            </w:r>
            <w:r>
              <w:rPr>
                <w:rFonts w:hint="eastAsia" w:ascii="仿宋_GB2312" w:hAnsi="仿宋_GB2312" w:eastAsia="仿宋_GB2312" w:cs="仿宋_GB2312"/>
                <w:color w:val="000000"/>
                <w:kern w:val="0"/>
                <w:sz w:val="24"/>
                <w:szCs w:val="24"/>
                <w:lang w:eastAsia="zh-CN"/>
              </w:rPr>
              <w:t>，中国侨联支持</w:t>
            </w:r>
            <w:r>
              <w:rPr>
                <w:rFonts w:hint="eastAsia" w:ascii="仿宋_GB2312" w:hAnsi="仿宋_GB2312" w:eastAsia="仿宋_GB2312" w:cs="仿宋_GB2312"/>
                <w:color w:val="000000"/>
                <w:kern w:val="0"/>
                <w:sz w:val="24"/>
                <w:szCs w:val="24"/>
                <w:lang w:val="en-US" w:eastAsia="zh-CN"/>
              </w:rPr>
              <w:t>10万元。</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共计</w:t>
            </w:r>
            <w:r>
              <w:rPr>
                <w:rFonts w:hint="eastAsia" w:ascii="仿宋_GB2312" w:hAnsi="仿宋_GB2312" w:eastAsia="仿宋_GB2312" w:cs="仿宋_GB2312"/>
                <w:color w:val="000000"/>
                <w:kern w:val="0"/>
                <w:sz w:val="24"/>
                <w:szCs w:val="24"/>
              </w:rPr>
              <w:t>下拨120万元专项资金支持60个基层侨胞之家建设</w:t>
            </w:r>
            <w:r>
              <w:rPr>
                <w:rFonts w:hint="eastAsia" w:ascii="仿宋_GB2312" w:hAnsi="仿宋_GB2312" w:eastAsia="仿宋_GB2312" w:cs="仿宋_GB2312"/>
                <w:color w:val="000000"/>
                <w:kern w:val="0"/>
                <w:sz w:val="24"/>
                <w:szCs w:val="24"/>
                <w:lang w:eastAsia="zh-CN"/>
              </w:rPr>
              <w:t>。</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按照国有资产配置预算及实物限额标准购置资产。</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按照国有资产配置预算及实物限额标准购置资产。</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按照国有资产配置预算及实物限额标准合理购置资产，厉行节约，盘活用好现有资产。</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3</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3</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restart"/>
            <w:tcBorders>
              <w:top w:val="nil"/>
              <w:left w:val="nil"/>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效益指标</w:t>
            </w:r>
          </w:p>
          <w:p>
            <w:pPr>
              <w:widowControl/>
              <w:spacing w:line="240" w:lineRule="exact"/>
              <w:jc w:val="left"/>
              <w:rPr>
                <w:rFonts w:ascii="Times New Roman" w:hAnsi="Times New Roman" w:eastAsia="仿宋_GB2312" w:cs="Times New Roman"/>
                <w:color w:val="000000"/>
                <w:kern w:val="0"/>
                <w:szCs w:val="21"/>
              </w:rPr>
            </w:pPr>
          </w:p>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（30分）</w:t>
            </w:r>
          </w:p>
        </w:tc>
        <w:tc>
          <w:tcPr>
            <w:tcW w:w="737"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经济效益指标</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开展“创业中华·兴业湖南”经济科技品牌活动1次</w:t>
            </w:r>
            <w:r>
              <w:rPr>
                <w:rFonts w:hint="eastAsia" w:ascii="仿宋_GB2312" w:hAnsi="仿宋_GB2312" w:eastAsia="仿宋_GB2312" w:cs="仿宋_GB2312"/>
                <w:sz w:val="24"/>
                <w:szCs w:val="24"/>
                <w:lang w:eastAsia="zh-CN"/>
              </w:rPr>
              <w:t>。</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举办“创业潇湘·智汇星沙”首届星沙海外高层次人才创新创业论坛活动。</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圆满完成。</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开展引资引智活动</w:t>
            </w:r>
            <w:r>
              <w:rPr>
                <w:rFonts w:hint="eastAsia" w:ascii="仿宋_GB2312" w:hAnsi="仿宋_GB2312" w:eastAsia="仿宋_GB2312" w:cs="仿宋_GB2312"/>
                <w:color w:val="000000"/>
                <w:kern w:val="0"/>
                <w:sz w:val="24"/>
                <w:szCs w:val="24"/>
                <w:lang w:val="en-US" w:eastAsia="zh-CN"/>
              </w:rPr>
              <w:t>1次。</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举办“侨系张家界”招商引资引智活动</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联合致公党湖南省委等举办第七届海归论坛</w:t>
            </w:r>
            <w:r>
              <w:rPr>
                <w:rFonts w:hint="eastAsia" w:ascii="仿宋_GB2312" w:hAnsi="仿宋_GB2312" w:eastAsia="仿宋_GB2312" w:cs="仿宋_GB2312"/>
                <w:color w:val="000000"/>
                <w:kern w:val="0"/>
                <w:sz w:val="24"/>
                <w:szCs w:val="24"/>
                <w:lang w:eastAsia="zh-CN"/>
              </w:rPr>
              <w:t>。</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圆满完成，现场签约3个项目。</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24"/>
                <w:szCs w:val="24"/>
              </w:rPr>
            </w:pPr>
          </w:p>
        </w:tc>
        <w:tc>
          <w:tcPr>
            <w:tcW w:w="176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82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社会效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坚决贯彻落实中央和省委“战疫”部署，省市县侨联整体联动，共同抗疫</w:t>
            </w:r>
            <w:r>
              <w:rPr>
                <w:rFonts w:hint="eastAsia" w:ascii="仿宋_GB2312" w:hAnsi="仿宋_GB2312" w:eastAsia="仿宋_GB2312" w:cs="仿宋_GB2312"/>
                <w:color w:val="000000"/>
                <w:kern w:val="0"/>
                <w:sz w:val="24"/>
                <w:szCs w:val="24"/>
                <w:lang w:eastAsia="zh-CN"/>
              </w:rPr>
              <w:t>。</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为缓解我省防疫物资紧缺作贡献</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为外防输入发挥作</w:t>
            </w:r>
            <w:r>
              <w:rPr>
                <w:rFonts w:hint="eastAsia" w:ascii="仿宋_GB2312" w:hAnsi="仿宋_GB2312" w:eastAsia="仿宋_GB2312" w:cs="仿宋_GB2312"/>
                <w:color w:val="000000"/>
                <w:kern w:val="0"/>
                <w:sz w:val="24"/>
                <w:szCs w:val="24"/>
                <w:lang w:eastAsia="zh-CN"/>
              </w:rPr>
              <w:t>用</w:t>
            </w:r>
            <w:r>
              <w:rPr>
                <w:rFonts w:hint="eastAsia" w:ascii="仿宋_GB2312" w:hAnsi="仿宋_GB2312" w:eastAsia="仿宋_GB2312" w:cs="仿宋_GB2312"/>
                <w:color w:val="000000"/>
                <w:kern w:val="0"/>
                <w:sz w:val="24"/>
                <w:szCs w:val="24"/>
              </w:rPr>
              <w:t>。</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多次倡议号召全省侨联系统、归侨侨眷和海外侨胞采购</w:t>
            </w:r>
            <w:r>
              <w:rPr>
                <w:rFonts w:hint="eastAsia" w:ascii="仿宋_GB2312" w:hAnsi="仿宋_GB2312" w:eastAsia="仿宋_GB2312" w:cs="仿宋_GB2312"/>
                <w:color w:val="000000"/>
                <w:kern w:val="0"/>
                <w:sz w:val="24"/>
                <w:szCs w:val="24"/>
                <w:lang w:val="en"/>
              </w:rPr>
              <w:t>捐赠</w:t>
            </w:r>
            <w:r>
              <w:rPr>
                <w:rFonts w:hint="eastAsia" w:ascii="仿宋_GB2312" w:hAnsi="仿宋_GB2312" w:eastAsia="仿宋_GB2312" w:cs="仿宋_GB2312"/>
                <w:color w:val="000000"/>
                <w:kern w:val="0"/>
                <w:sz w:val="24"/>
                <w:szCs w:val="24"/>
              </w:rPr>
              <w:t>抗疫物资，</w:t>
            </w:r>
            <w:r>
              <w:rPr>
                <w:rFonts w:hint="eastAsia" w:ascii="仿宋_GB2312" w:hAnsi="仿宋_GB2312" w:eastAsia="仿宋_GB2312" w:cs="仿宋_GB2312"/>
                <w:color w:val="000000"/>
                <w:kern w:val="0"/>
                <w:sz w:val="24"/>
                <w:szCs w:val="24"/>
                <w:lang w:eastAsia="zh-CN"/>
              </w:rPr>
              <w:t>累计</w:t>
            </w:r>
            <w:r>
              <w:rPr>
                <w:rFonts w:hint="eastAsia" w:ascii="仿宋_GB2312" w:hAnsi="仿宋_GB2312" w:eastAsia="仿宋_GB2312" w:cs="仿宋_GB2312"/>
                <w:color w:val="000000"/>
                <w:kern w:val="0"/>
                <w:sz w:val="24"/>
                <w:szCs w:val="24"/>
              </w:rPr>
              <w:t>捐款捐物6000多万元。根据海外疫情</w:t>
            </w:r>
            <w:r>
              <w:rPr>
                <w:rFonts w:hint="eastAsia" w:ascii="仿宋_GB2312" w:hAnsi="仿宋_GB2312" w:eastAsia="仿宋_GB2312" w:cs="仿宋_GB2312"/>
                <w:color w:val="000000"/>
                <w:kern w:val="0"/>
                <w:sz w:val="24"/>
                <w:szCs w:val="24"/>
                <w:lang w:val="en"/>
              </w:rPr>
              <w:t>发展</w:t>
            </w:r>
            <w:r>
              <w:rPr>
                <w:rFonts w:hint="eastAsia" w:ascii="仿宋_GB2312" w:hAnsi="仿宋_GB2312" w:eastAsia="仿宋_GB2312" w:cs="仿宋_GB2312"/>
                <w:color w:val="000000"/>
                <w:kern w:val="0"/>
                <w:sz w:val="24"/>
                <w:szCs w:val="24"/>
              </w:rPr>
              <w:t>及</w:t>
            </w:r>
            <w:r>
              <w:rPr>
                <w:rFonts w:hint="eastAsia" w:ascii="仿宋_GB2312" w:hAnsi="仿宋_GB2312" w:eastAsia="仿宋_GB2312" w:cs="仿宋_GB2312"/>
                <w:color w:val="000000"/>
                <w:kern w:val="0"/>
                <w:sz w:val="24"/>
                <w:szCs w:val="24"/>
                <w:lang w:val="en"/>
              </w:rPr>
              <w:t>海外侨团</w:t>
            </w:r>
            <w:r>
              <w:rPr>
                <w:rFonts w:hint="eastAsia" w:ascii="仿宋_GB2312" w:hAnsi="仿宋_GB2312" w:eastAsia="仿宋_GB2312" w:cs="仿宋_GB2312"/>
                <w:color w:val="000000"/>
                <w:kern w:val="0"/>
                <w:sz w:val="24"/>
                <w:szCs w:val="24"/>
              </w:rPr>
              <w:t>前期支持捐赠情况，代表省委</w:t>
            </w:r>
            <w:r>
              <w:rPr>
                <w:rFonts w:hint="eastAsia" w:ascii="仿宋_GB2312" w:hAnsi="仿宋_GB2312" w:eastAsia="仿宋_GB2312" w:cs="仿宋_GB2312"/>
                <w:color w:val="000000"/>
                <w:kern w:val="0"/>
                <w:sz w:val="24"/>
                <w:szCs w:val="24"/>
                <w:lang w:val="en"/>
              </w:rPr>
              <w:t>省政府</w:t>
            </w:r>
            <w:r>
              <w:rPr>
                <w:rFonts w:hint="eastAsia" w:ascii="仿宋_GB2312" w:hAnsi="仿宋_GB2312" w:eastAsia="仿宋_GB2312" w:cs="仿宋_GB2312"/>
                <w:color w:val="000000"/>
                <w:kern w:val="0"/>
                <w:sz w:val="24"/>
                <w:szCs w:val="24"/>
              </w:rPr>
              <w:t>向海外40多个国家和地区湘籍侨团侨胞捐赠抗疫物资1000余万元。</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trHeight w:val="1545" w:hRule="atLeast"/>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pStyle w:val="2"/>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积极承办中国侨联活动。</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加强联谊联络中，扩大湖南侨联海外“朋友圈”。</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成功承办中国侨联</w:t>
            </w:r>
            <w:r>
              <w:rPr>
                <w:rFonts w:hint="eastAsia" w:ascii="仿宋_GB2312" w:hAnsi="仿宋_GB2312" w:eastAsia="仿宋_GB2312" w:cs="仿宋_GB2312"/>
                <w:color w:val="auto"/>
                <w:kern w:val="0"/>
                <w:sz w:val="24"/>
                <w:szCs w:val="24"/>
                <w:lang w:val="en-US" w:eastAsia="zh-CN"/>
              </w:rPr>
              <w:t>2020</w:t>
            </w:r>
            <w:r>
              <w:rPr>
                <w:rFonts w:hint="eastAsia" w:ascii="仿宋_GB2312" w:hAnsi="仿宋_GB2312" w:eastAsia="仿宋_GB2312" w:cs="仿宋_GB2312"/>
                <w:color w:val="auto"/>
                <w:kern w:val="0"/>
                <w:sz w:val="24"/>
                <w:szCs w:val="24"/>
                <w:lang w:eastAsia="zh-CN"/>
              </w:rPr>
              <w:t>海外侨领研修班湖南现场教学活动。</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助力脱贫攻坚。</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定点结对帮扶，发动侨界助力脱贫攻坚。</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省侨联定点帮扶郴州市安仁县</w:t>
            </w:r>
            <w:r>
              <w:rPr>
                <w:rFonts w:hint="eastAsia" w:ascii="仿宋_GB2312" w:hAnsi="仿宋_GB2312" w:eastAsia="仿宋_GB2312" w:cs="仿宋_GB2312"/>
                <w:color w:val="000000" w:themeColor="text1"/>
                <w:sz w:val="24"/>
                <w:szCs w:val="24"/>
                <w14:textFill>
                  <w14:solidFill>
                    <w14:schemeClr w14:val="tx1"/>
                  </w14:solidFill>
                </w14:textFill>
              </w:rPr>
              <w:t>赤滩村</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发动省侨商会、省华侨公益基金会等为</w:t>
            </w:r>
            <w:r>
              <w:rPr>
                <w:rFonts w:hint="eastAsia" w:ascii="仿宋_GB2312" w:hAnsi="仿宋_GB2312" w:eastAsia="仿宋_GB2312" w:cs="仿宋_GB2312"/>
                <w:color w:val="000000" w:themeColor="text1"/>
                <w:sz w:val="24"/>
                <w:szCs w:val="24"/>
                <w14:textFill>
                  <w14:solidFill>
                    <w14:schemeClr w14:val="tx1"/>
                  </w14:solidFill>
                </w14:textFill>
              </w:rPr>
              <w:t>赤滩村</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捐款100多万，建设了赤滩小学、农村饮水工程等项目。推进“千侨帮千户”工程，发动侨界助力脱贫攻坚资金累计超过16亿元。</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rPr>
              <w:t>不断擦亮“慈善中华·爱心湖南”品牌</w:t>
            </w:r>
            <w:r>
              <w:rPr>
                <w:rFonts w:hint="eastAsia" w:ascii="仿宋_GB2312" w:hAnsi="仿宋_GB2312" w:eastAsia="仿宋_GB2312" w:cs="仿宋_GB2312"/>
                <w:sz w:val="24"/>
                <w:szCs w:val="24"/>
                <w:lang w:eastAsia="zh-CN"/>
              </w:rPr>
              <w:t>，助</w:t>
            </w:r>
            <w:r>
              <w:rPr>
                <w:rFonts w:hint="eastAsia" w:ascii="仿宋_GB2312" w:hAnsi="仿宋_GB2312" w:eastAsia="仿宋_GB2312" w:cs="仿宋_GB2312"/>
                <w:sz w:val="24"/>
                <w:szCs w:val="24"/>
              </w:rPr>
              <w:t>力扶贫帮困</w:t>
            </w:r>
            <w:r>
              <w:rPr>
                <w:rFonts w:hint="eastAsia" w:ascii="仿宋_GB2312" w:hAnsi="仿宋_GB2312" w:eastAsia="仿宋_GB2312" w:cs="仿宋_GB2312"/>
                <w:sz w:val="24"/>
                <w:szCs w:val="24"/>
                <w:lang w:eastAsia="zh-CN"/>
              </w:rPr>
              <w:t>。</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rPr>
              <w:t>全省各级侨联扎实推进驻村帮扶</w:t>
            </w:r>
            <w:r>
              <w:rPr>
                <w:rFonts w:hint="eastAsia" w:ascii="仿宋_GB2312" w:hAnsi="仿宋_GB2312" w:eastAsia="仿宋_GB2312" w:cs="仿宋_GB2312"/>
                <w:sz w:val="24"/>
                <w:szCs w:val="24"/>
                <w:lang w:eastAsia="zh-CN"/>
              </w:rPr>
              <w:t>工作；</w:t>
            </w:r>
            <w:r>
              <w:rPr>
                <w:rFonts w:hint="eastAsia" w:ascii="仿宋_GB2312" w:hAnsi="仿宋_GB2312" w:eastAsia="仿宋_GB2312" w:cs="仿宋_GB2312"/>
                <w:sz w:val="24"/>
                <w:szCs w:val="24"/>
              </w:rPr>
              <w:t>深入开展“千侨帮千户”工程</w:t>
            </w:r>
            <w:r>
              <w:rPr>
                <w:rFonts w:hint="eastAsia" w:ascii="仿宋_GB2312" w:hAnsi="仿宋_GB2312" w:eastAsia="仿宋_GB2312" w:cs="仿宋_GB2312"/>
                <w:sz w:val="24"/>
                <w:szCs w:val="24"/>
                <w:lang w:eastAsia="zh-CN"/>
              </w:rPr>
              <w:t>，广泛联系慈善组织、爱心人士，积极助学助教助困。</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全面做好侨界决胜脱贫攻坚收官工作。系统梳理“千侨帮千户”工程的主要成效和经验启示，总结好湖南侨联系统和海内外侨界共助精准脱贫工作。</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全面梳理侨界帮扶成效</w:t>
            </w:r>
            <w:r>
              <w:rPr>
                <w:rFonts w:hint="eastAsia" w:ascii="仿宋_GB2312" w:hAnsi="仿宋_GB2312" w:eastAsia="仿宋_GB2312" w:cs="仿宋_GB2312"/>
                <w:color w:val="000000"/>
                <w:kern w:val="0"/>
                <w:sz w:val="24"/>
                <w:szCs w:val="24"/>
                <w:lang w:eastAsia="zh-CN"/>
              </w:rPr>
              <w:t>。</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召开湖南侨界助力脱贫攻坚座谈会，系统总结“千侨帮千户”工程成效。</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召开湖南侨界助力脱贫攻坚座谈会</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四年多来，共发动侨界助力脱贫攻坚资金累计超过16亿元</w:t>
            </w:r>
            <w:r>
              <w:rPr>
                <w:rFonts w:hint="eastAsia" w:ascii="仿宋_GB2312" w:hAnsi="仿宋_GB2312" w:eastAsia="仿宋_GB2312" w:cs="仿宋_GB2312"/>
                <w:color w:val="000000"/>
                <w:kern w:val="0"/>
                <w:sz w:val="24"/>
                <w:szCs w:val="24"/>
                <w:lang w:eastAsia="zh-CN"/>
              </w:rPr>
              <w:t>。推出“湘小侨·扶贫村走访记”“扶贫印记”“聚侨心·促脱贫”等栏目,开设“2020，坚决打赢脱贫攻坚战”专题，推送报道了</w:t>
            </w:r>
            <w:r>
              <w:rPr>
                <w:rFonts w:hint="eastAsia" w:ascii="仿宋_GB2312" w:hAnsi="仿宋_GB2312" w:eastAsia="仿宋_GB2312" w:cs="仿宋_GB2312"/>
                <w:color w:val="000000"/>
                <w:kern w:val="0"/>
                <w:sz w:val="24"/>
                <w:szCs w:val="24"/>
                <w:lang w:val="en-US" w:eastAsia="zh-CN"/>
              </w:rPr>
              <w:t>40余</w:t>
            </w:r>
            <w:r>
              <w:rPr>
                <w:rFonts w:hint="eastAsia" w:ascii="仿宋_GB2312" w:hAnsi="仿宋_GB2312" w:eastAsia="仿宋_GB2312" w:cs="仿宋_GB2312"/>
                <w:color w:val="000000"/>
                <w:kern w:val="0"/>
                <w:sz w:val="24"/>
                <w:szCs w:val="24"/>
                <w:lang w:eastAsia="zh-CN"/>
              </w:rPr>
              <w:t>位侨界脱贫攻坚先进典型事迹。</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生态效益指标</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助力同心抗疫。</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同心抗疫，为全球抗疫做出侨界贡献。</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在抗疫最紧张时期，</w:t>
            </w:r>
            <w:r>
              <w:rPr>
                <w:rFonts w:hint="eastAsia" w:ascii="仿宋_GB2312" w:hAnsi="仿宋_GB2312" w:eastAsia="仿宋_GB2312" w:cs="仿宋_GB2312"/>
                <w:color w:val="000000"/>
                <w:kern w:val="0"/>
                <w:sz w:val="24"/>
                <w:szCs w:val="24"/>
              </w:rPr>
              <w:t>全省侨联系统、归侨侨眷和海外侨胞采购</w:t>
            </w:r>
            <w:r>
              <w:rPr>
                <w:rFonts w:hint="eastAsia" w:ascii="仿宋_GB2312" w:hAnsi="仿宋_GB2312" w:eastAsia="仿宋_GB2312" w:cs="仿宋_GB2312"/>
                <w:color w:val="000000"/>
                <w:kern w:val="0"/>
                <w:sz w:val="24"/>
                <w:szCs w:val="24"/>
                <w:lang w:val="en"/>
              </w:rPr>
              <w:t>捐赠</w:t>
            </w:r>
            <w:r>
              <w:rPr>
                <w:rFonts w:hint="eastAsia" w:ascii="仿宋_GB2312" w:hAnsi="仿宋_GB2312" w:eastAsia="仿宋_GB2312" w:cs="仿宋_GB2312"/>
                <w:color w:val="000000"/>
                <w:kern w:val="0"/>
                <w:sz w:val="24"/>
                <w:szCs w:val="24"/>
              </w:rPr>
              <w:t>抗疫物资</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代表省委</w:t>
            </w:r>
            <w:r>
              <w:rPr>
                <w:rFonts w:hint="eastAsia" w:ascii="仿宋_GB2312" w:hAnsi="仿宋_GB2312" w:eastAsia="仿宋_GB2312" w:cs="仿宋_GB2312"/>
                <w:color w:val="000000"/>
                <w:kern w:val="0"/>
                <w:sz w:val="24"/>
                <w:szCs w:val="24"/>
                <w:lang w:val="en"/>
              </w:rPr>
              <w:t>省政府</w:t>
            </w:r>
            <w:r>
              <w:rPr>
                <w:rFonts w:hint="eastAsia" w:ascii="仿宋_GB2312" w:hAnsi="仿宋_GB2312" w:eastAsia="仿宋_GB2312" w:cs="仿宋_GB2312"/>
                <w:color w:val="000000"/>
                <w:kern w:val="0"/>
                <w:sz w:val="24"/>
                <w:szCs w:val="24"/>
              </w:rPr>
              <w:t>向海外40多个国家和地区湘籍侨团侨胞捐赠抗疫物资</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lang w:eastAsia="zh-CN"/>
              </w:rPr>
              <w:t>为全球抗疫做出侨界贡献。</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themeColor="text1"/>
                <w:kern w:val="0"/>
                <w:sz w:val="24"/>
                <w:szCs w:val="24"/>
                <w14:textFill>
                  <w14:solidFill>
                    <w14:schemeClr w14:val="tx1"/>
                  </w14:solidFill>
                </w14:textFill>
              </w:rPr>
              <w:t>助力美丽乡村建设和生态环境治理</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助</w:t>
            </w:r>
            <w:r>
              <w:rPr>
                <w:rFonts w:hint="eastAsia" w:ascii="仿宋_GB2312" w:hAnsi="仿宋_GB2312" w:eastAsia="仿宋_GB2312" w:cs="仿宋_GB2312"/>
                <w:color w:val="000000" w:themeColor="text1"/>
                <w:sz w:val="24"/>
                <w:szCs w:val="24"/>
                <w:lang w:eastAsia="zh-CN"/>
                <w14:textFill>
                  <w14:solidFill>
                    <w14:schemeClr w14:val="tx1"/>
                  </w14:solidFill>
                </w14:textFill>
              </w:rPr>
              <w:t>力</w:t>
            </w:r>
            <w:r>
              <w:rPr>
                <w:rFonts w:hint="eastAsia" w:ascii="仿宋_GB2312" w:hAnsi="仿宋_GB2312" w:eastAsia="仿宋_GB2312" w:cs="仿宋_GB2312"/>
                <w:color w:val="000000" w:themeColor="text1"/>
                <w:sz w:val="24"/>
                <w:szCs w:val="24"/>
                <w14:textFill>
                  <w14:solidFill>
                    <w14:schemeClr w14:val="tx1"/>
                  </w14:solidFill>
                </w14:textFill>
              </w:rPr>
              <w:t>美丽乡村建设，争取资金用于省侨联定点扶贫村赤滩村的生态旅游项目开发和农村饮水工程等项目建设，提升人居环境质量，推动生态环境持续改善。</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争取资金142万元用于赤滩村“小桂林”旅游景区项目建设，改善良乡村容貌，推动生态环境质量持续提升。争取财政、水利、交通等部门上百万资金支持，用于入村道路拓宽、农村饮水工程等项目建设，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成功创建省级同心美丽乡村</w:t>
            </w: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做好节约型机关创建工作。</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开展宣传教育，推行垃圾分类。</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推动机关健全节约能源资源管理制度，提高能源资源利用效率，推行绿色办公，实施垃圾分类，达到节约型机关标准。</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trHeight w:val="480" w:hRule="atLeast"/>
          <w:jc w:val="center"/>
        </w:trPr>
        <w:tc>
          <w:tcPr>
            <w:tcW w:w="1049"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80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3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可持续影响指标</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举办</w:t>
            </w:r>
            <w:r>
              <w:rPr>
                <w:rFonts w:hint="eastAsia" w:ascii="仿宋_GB2312" w:hAnsi="仿宋_GB2312" w:eastAsia="仿宋_GB2312" w:cs="仿宋_GB2312"/>
                <w:sz w:val="24"/>
                <w:szCs w:val="24"/>
              </w:rPr>
              <w:t>基层侨联干部培训班</w:t>
            </w:r>
            <w:r>
              <w:rPr>
                <w:rFonts w:hint="eastAsia" w:ascii="仿宋_GB2312" w:hAnsi="仿宋_GB2312" w:eastAsia="仿宋_GB2312" w:cs="仿宋_GB2312"/>
                <w:sz w:val="24"/>
                <w:szCs w:val="24"/>
                <w:lang w:eastAsia="zh-CN"/>
              </w:rPr>
              <w:t>。</w:t>
            </w:r>
          </w:p>
        </w:tc>
        <w:tc>
          <w:tcPr>
            <w:tcW w:w="1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举办</w:t>
            </w:r>
            <w:r>
              <w:rPr>
                <w:rFonts w:hint="eastAsia" w:ascii="仿宋_GB2312" w:hAnsi="仿宋_GB2312" w:eastAsia="仿宋_GB2312" w:cs="仿宋_GB2312"/>
                <w:sz w:val="24"/>
                <w:szCs w:val="24"/>
              </w:rPr>
              <w:t>基层侨联干部培训班</w:t>
            </w:r>
            <w:r>
              <w:rPr>
                <w:rFonts w:hint="eastAsia" w:ascii="仿宋_GB2312" w:hAnsi="仿宋_GB2312" w:eastAsia="仿宋_GB2312" w:cs="仿宋_GB2312"/>
                <w:sz w:val="24"/>
                <w:szCs w:val="24"/>
                <w:lang w:eastAsia="zh-CN"/>
              </w:rPr>
              <w:t>。</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举办</w:t>
            </w:r>
            <w:r>
              <w:rPr>
                <w:rFonts w:hint="eastAsia" w:ascii="仿宋_GB2312" w:hAnsi="仿宋_GB2312" w:eastAsia="仿宋_GB2312" w:cs="仿宋_GB2312"/>
                <w:sz w:val="24"/>
                <w:szCs w:val="24"/>
              </w:rPr>
              <w:t>基层侨联干部培训班</w:t>
            </w:r>
            <w:r>
              <w:rPr>
                <w:rFonts w:hint="eastAsia" w:ascii="仿宋_GB2312" w:hAnsi="仿宋_GB2312" w:eastAsia="仿宋_GB2312" w:cs="仿宋_GB2312"/>
                <w:sz w:val="24"/>
                <w:szCs w:val="24"/>
                <w:lang w:eastAsia="zh-CN"/>
              </w:rPr>
              <w:t>。</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val="en-US" w:eastAsia="zh-CN"/>
              </w:rPr>
              <w:t>推动涉侨纠纷调解工作规范化、常态化。</w:t>
            </w:r>
          </w:p>
        </w:tc>
        <w:tc>
          <w:tcPr>
            <w:tcW w:w="1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val="en-US" w:eastAsia="zh-CN"/>
              </w:rPr>
              <w:t>妥善处理涉侨纠纷、建立多元化纠纷解决机制。</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val="en-US" w:eastAsia="zh-CN"/>
              </w:rPr>
              <w:t>成立湖南省侨联ADR调解中心。鼓励归侨、侨胞、侨眷利用以调解为代表的替代性纠纷解决机制来化解矛盾、消除纠纷。</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7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2.5</w:t>
            </w:r>
          </w:p>
        </w:tc>
        <w:tc>
          <w:tcPr>
            <w:tcW w:w="8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73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24"/>
                <w:szCs w:val="24"/>
              </w:rPr>
            </w:pP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3"/>
                <w:szCs w:val="13"/>
                <w:lang w:val="en-US" w:eastAsia="zh-CN" w:bidi="ar-SA"/>
              </w:rPr>
            </w:pP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trHeight w:val="480" w:hRule="atLeast"/>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满意度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（10分）</w:t>
            </w:r>
          </w:p>
        </w:tc>
        <w:tc>
          <w:tcPr>
            <w:tcW w:w="737"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服务对象满意度指标</w:t>
            </w: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依法维护侨益。</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依法做好维权工作。通过官网、官微</w:t>
            </w:r>
            <w:r>
              <w:rPr>
                <w:rFonts w:hint="eastAsia" w:ascii="仿宋_GB2312" w:hAnsi="仿宋_GB2312" w:eastAsia="仿宋_GB2312" w:cs="仿宋_GB2312"/>
                <w:sz w:val="24"/>
                <w:szCs w:val="24"/>
              </w:rPr>
              <w:t>进行侨务理论、涉侨政策法规宣传</w:t>
            </w:r>
            <w:r>
              <w:rPr>
                <w:rFonts w:hint="eastAsia" w:ascii="仿宋_GB2312" w:hAnsi="仿宋_GB2312" w:eastAsia="仿宋_GB2312" w:cs="仿宋_GB2312"/>
                <w:sz w:val="24"/>
                <w:szCs w:val="24"/>
                <w:lang w:eastAsia="zh-CN"/>
              </w:rPr>
              <w:t>。组织侨联工作人员学法及通过考试。服务对象满意度高。</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进行侨务理论、涉侨政策法规宣传，开展普法进社区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高校活动，召开《侨法》颁布30周年座谈会</w:t>
            </w:r>
            <w:r>
              <w:rPr>
                <w:rFonts w:hint="eastAsia" w:ascii="仿宋_GB2312" w:hAnsi="仿宋_GB2312" w:eastAsia="仿宋_GB2312" w:cs="仿宋_GB2312"/>
                <w:sz w:val="24"/>
                <w:szCs w:val="24"/>
                <w:lang w:eastAsia="zh-CN"/>
              </w:rPr>
              <w:t>。接访对象满意度高。</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5</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5</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1049"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深入基层调研，服务侨界群众，组织老干活动。</w:t>
            </w:r>
          </w:p>
        </w:tc>
        <w:tc>
          <w:tcPr>
            <w:tcW w:w="17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深入基层调研，服务侨界群众，组织老干活动，服务对象满意度高。</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坚持群众路线，深入基层调研、走访，多次召开座谈会，主动听取基层群众的意见。开展老干活动，慰问、帮扶困难老党员。</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104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805"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737"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140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176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82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trHeight w:val="266" w:hRule="atLeast"/>
          <w:jc w:val="center"/>
        </w:trPr>
        <w:tc>
          <w:tcPr>
            <w:tcW w:w="7581"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总分</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100</w:t>
            </w:r>
          </w:p>
        </w:tc>
        <w:tc>
          <w:tcPr>
            <w:tcW w:w="87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bl>
    <w:p>
      <w:pPr>
        <w:widowControl/>
        <w:spacing w:line="240" w:lineRule="exact"/>
        <w:jc w:val="left"/>
        <w:rPr>
          <w:rFonts w:ascii="Times New Roman" w:hAnsi="Times New Roman" w:eastAsia="仿宋_GB2312" w:cs="Times New Roman"/>
          <w:kern w:val="0"/>
          <w:szCs w:val="21"/>
        </w:rPr>
      </w:pPr>
    </w:p>
    <w:p>
      <w:pPr>
        <w:widowControl/>
        <w:spacing w:line="600" w:lineRule="exact"/>
        <w:jc w:val="left"/>
        <w:rPr>
          <w:rFonts w:hint="eastAsia" w:ascii="Times New Roman" w:hAnsi="Times New Roman" w:eastAsia="黑体" w:cs="Times New Roman"/>
          <w:sz w:val="32"/>
          <w:szCs w:val="32"/>
          <w:lang w:val="en-US" w:eastAsia="zh-CN"/>
        </w:rPr>
      </w:pPr>
      <w:r>
        <w:rPr>
          <w:rFonts w:ascii="Times New Roman" w:hAnsi="Times New Roman" w:eastAsia="仿宋_GB2312" w:cs="Times New Roman"/>
          <w:kern w:val="0"/>
          <w:szCs w:val="21"/>
        </w:rPr>
        <w:t>填表人：</w:t>
      </w:r>
      <w:r>
        <w:rPr>
          <w:rFonts w:hint="eastAsia" w:ascii="Times New Roman" w:hAnsi="Times New Roman" w:eastAsia="仿宋_GB2312" w:cs="Times New Roman"/>
          <w:kern w:val="0"/>
          <w:szCs w:val="21"/>
          <w:lang w:eastAsia="zh-CN"/>
        </w:rPr>
        <w:t>尹湘湘</w:t>
      </w:r>
      <w:r>
        <w:rPr>
          <w:rFonts w:ascii="Times New Roman" w:hAnsi="Times New Roman" w:eastAsia="仿宋_GB2312" w:cs="Times New Roman"/>
          <w:kern w:val="0"/>
          <w:szCs w:val="21"/>
        </w:rPr>
        <w:t xml:space="preserve">   填报日期：</w:t>
      </w:r>
      <w:r>
        <w:rPr>
          <w:rFonts w:hint="eastAsia" w:ascii="Times New Roman" w:hAnsi="Times New Roman" w:eastAsia="仿宋_GB2312" w:cs="Times New Roman"/>
          <w:kern w:val="0"/>
          <w:szCs w:val="21"/>
          <w:lang w:val="en-US" w:eastAsia="zh-CN"/>
        </w:rPr>
        <w:t xml:space="preserve">2021年5月17日  </w:t>
      </w:r>
      <w:r>
        <w:rPr>
          <w:rFonts w:ascii="Times New Roman" w:hAnsi="Times New Roman" w:eastAsia="仿宋_GB2312" w:cs="Times New Roman"/>
          <w:kern w:val="0"/>
          <w:szCs w:val="21"/>
        </w:rPr>
        <w:t>联系电话：</w:t>
      </w:r>
      <w:r>
        <w:rPr>
          <w:rFonts w:hint="eastAsia" w:ascii="Times New Roman" w:hAnsi="Times New Roman" w:eastAsia="仿宋_GB2312" w:cs="Times New Roman"/>
          <w:kern w:val="0"/>
          <w:szCs w:val="21"/>
          <w:lang w:val="en-US" w:eastAsia="zh-CN"/>
        </w:rPr>
        <w:t>84448623</w:t>
      </w:r>
      <w:r>
        <w:rPr>
          <w:rFonts w:ascii="Times New Roman" w:hAnsi="Times New Roman" w:eastAsia="仿宋_GB2312" w:cs="Times New Roman"/>
          <w:kern w:val="0"/>
          <w:szCs w:val="21"/>
        </w:rPr>
        <w:t xml:space="preserve"> 单位负责人签字：</w:t>
      </w:r>
      <w:r>
        <w:rPr>
          <w:rFonts w:hint="eastAsia" w:ascii="Times New Roman" w:hAnsi="Times New Roman" w:eastAsia="仿宋_GB2312" w:cs="Times New Roman"/>
          <w:kern w:val="0"/>
          <w:szCs w:val="21"/>
          <w:lang w:val="en-US" w:eastAsia="zh-CN"/>
        </w:rPr>
        <w:t>黄芳</w:t>
      </w:r>
      <w:r>
        <w:rPr>
          <w:rFonts w:ascii="Times New Roman" w:hAnsi="Times New Roman" w:eastAsia="仿宋_GB2312" w:cs="Times New Roman"/>
          <w:kern w:val="0"/>
          <w:szCs w:val="21"/>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widowControl/>
        <w:spacing w:line="600" w:lineRule="exact"/>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2020年度项目支出绩效自评表</w:t>
      </w:r>
    </w:p>
    <w:tbl>
      <w:tblPr>
        <w:tblStyle w:val="8"/>
        <w:tblW w:w="10220" w:type="dxa"/>
        <w:jc w:val="center"/>
        <w:tblInd w:w="0" w:type="dxa"/>
        <w:tblLayout w:type="fixed"/>
        <w:tblCellMar>
          <w:top w:w="0" w:type="dxa"/>
          <w:left w:w="108" w:type="dxa"/>
          <w:bottom w:w="0" w:type="dxa"/>
          <w:right w:w="108" w:type="dxa"/>
        </w:tblCellMar>
      </w:tblPr>
      <w:tblGrid>
        <w:gridCol w:w="1061"/>
        <w:gridCol w:w="695"/>
        <w:gridCol w:w="654"/>
        <w:gridCol w:w="1310"/>
        <w:gridCol w:w="1772"/>
        <w:gridCol w:w="2032"/>
        <w:gridCol w:w="614"/>
        <w:gridCol w:w="995"/>
        <w:gridCol w:w="1087"/>
      </w:tblGrid>
      <w:tr>
        <w:tblPrEx>
          <w:tblLayout w:type="fixed"/>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项目支</w:t>
            </w:r>
          </w:p>
          <w:p>
            <w:pPr>
              <w:widowControl/>
              <w:spacing w:line="26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出名称</w:t>
            </w:r>
          </w:p>
        </w:tc>
        <w:tc>
          <w:tcPr>
            <w:tcW w:w="9159"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lang w:eastAsia="zh-CN"/>
              </w:rPr>
              <w:t>业务工作经费</w:t>
            </w:r>
            <w:r>
              <w:rPr>
                <w:rFonts w:hint="eastAsia" w:ascii="仿宋_GB2312" w:hAnsi="宋体" w:eastAsia="仿宋_GB2312" w:cs="宋体"/>
                <w:color w:val="000000"/>
                <w:kern w:val="0"/>
                <w:szCs w:val="21"/>
              </w:rPr>
              <w:t>　</w:t>
            </w: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主管部门</w:t>
            </w:r>
          </w:p>
        </w:tc>
        <w:tc>
          <w:tcPr>
            <w:tcW w:w="4431"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2032"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实施单位</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仿宋_GB2312" w:hAnsi="宋体" w:eastAsia="仿宋_GB2312" w:cs="宋体"/>
                <w:color w:val="000000"/>
                <w:kern w:val="0"/>
                <w:szCs w:val="21"/>
                <w:lang w:eastAsia="zh-CN"/>
              </w:rPr>
              <w:t>湖南省归国华侨联合会</w:t>
            </w:r>
          </w:p>
        </w:tc>
      </w:tr>
      <w:tr>
        <w:tblPrEx>
          <w:tblLayout w:type="fixed"/>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项目资金</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（万元）</w:t>
            </w:r>
          </w:p>
        </w:tc>
        <w:tc>
          <w:tcPr>
            <w:tcW w:w="134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年初</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预算数</w:t>
            </w: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全年</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预算数</w:t>
            </w:r>
          </w:p>
        </w:tc>
        <w:tc>
          <w:tcPr>
            <w:tcW w:w="203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全年</w:t>
            </w:r>
          </w:p>
          <w:p>
            <w:pPr>
              <w:jc w:val="center"/>
              <w:rPr>
                <w:rFonts w:ascii="Times New Roman" w:hAnsi="Times New Roman" w:eastAsia="仿宋_GB2312" w:cs="Times New Roman"/>
                <w:szCs w:val="21"/>
              </w:rPr>
            </w:pPr>
            <w:r>
              <w:rPr>
                <w:rFonts w:ascii="Times New Roman" w:hAnsi="Times New Roman" w:eastAsia="仿宋_GB2312" w:cs="Times New Roman"/>
                <w:szCs w:val="21"/>
              </w:rPr>
              <w:t>执行数</w:t>
            </w:r>
          </w:p>
        </w:tc>
        <w:tc>
          <w:tcPr>
            <w:tcW w:w="61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分值</w:t>
            </w:r>
          </w:p>
        </w:tc>
        <w:tc>
          <w:tcPr>
            <w:tcW w:w="99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执行率</w:t>
            </w:r>
          </w:p>
        </w:tc>
        <w:tc>
          <w:tcPr>
            <w:tcW w:w="108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得分</w:t>
            </w:r>
          </w:p>
        </w:tc>
      </w:tr>
      <w:tr>
        <w:tblPrEx>
          <w:tblLayout w:type="fixed"/>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134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年度资金总额　</w:t>
            </w:r>
          </w:p>
        </w:tc>
        <w:tc>
          <w:tcPr>
            <w:tcW w:w="131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515.00</w:t>
            </w: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478.97</w:t>
            </w:r>
          </w:p>
        </w:tc>
        <w:tc>
          <w:tcPr>
            <w:tcW w:w="203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rPr>
            </w:pPr>
            <w:r>
              <w:rPr>
                <w:rFonts w:hint="eastAsia" w:ascii="Times New Roman" w:hAnsi="Times New Roman" w:eastAsia="仿宋_GB2312" w:cs="Times New Roman"/>
                <w:color w:val="000000"/>
                <w:kern w:val="0"/>
                <w:szCs w:val="21"/>
                <w:lang w:val="en-US" w:eastAsia="zh-CN"/>
              </w:rPr>
              <w:t>409.91</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85.58%</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w:t>
            </w:r>
          </w:p>
        </w:tc>
      </w:tr>
      <w:tr>
        <w:tblPrEx>
          <w:tblLayout w:type="fixed"/>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134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其中：当年财政拨款　</w:t>
            </w:r>
          </w:p>
        </w:tc>
        <w:tc>
          <w:tcPr>
            <w:tcW w:w="131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515.00</w:t>
            </w: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476.00</w:t>
            </w:r>
          </w:p>
        </w:tc>
        <w:tc>
          <w:tcPr>
            <w:tcW w:w="203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408.19</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212" w:hRule="atLeast"/>
          <w:jc w:val="center"/>
        </w:trPr>
        <w:tc>
          <w:tcPr>
            <w:tcW w:w="106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134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上年结转资金　</w:t>
            </w:r>
          </w:p>
        </w:tc>
        <w:tc>
          <w:tcPr>
            <w:tcW w:w="131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2.97</w:t>
            </w:r>
          </w:p>
        </w:tc>
        <w:tc>
          <w:tcPr>
            <w:tcW w:w="203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1.72</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134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其他资金</w:t>
            </w:r>
          </w:p>
        </w:tc>
        <w:tc>
          <w:tcPr>
            <w:tcW w:w="131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203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年度总体目标</w:t>
            </w:r>
          </w:p>
        </w:tc>
        <w:tc>
          <w:tcPr>
            <w:tcW w:w="443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预期目标</w:t>
            </w:r>
          </w:p>
        </w:tc>
        <w:tc>
          <w:tcPr>
            <w:tcW w:w="472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实际完成情况　</w:t>
            </w:r>
          </w:p>
        </w:tc>
      </w:tr>
      <w:tr>
        <w:tblPrEx>
          <w:tblLayout w:type="fixed"/>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4431" w:type="dxa"/>
            <w:gridSpan w:val="4"/>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依据侨联章程履行服务经济发展、依法维护侨益、拓展海外联谊、积极参政议政、弘扬中华文化、参与社会建设等基本职能，积极做好招商引资引智、维权事业、文化交流、海外联谊等工作，为继续发挥侨联优势，密切联系海外侨胞，为富饶美丽幸福新湖南建设凝聚更多力量。</w:t>
            </w:r>
            <w:r>
              <w:rPr>
                <w:rFonts w:hint="eastAsia" w:ascii="仿宋_GB2312" w:hAnsi="仿宋_GB2312" w:eastAsia="仿宋_GB2312" w:cs="仿宋_GB2312"/>
              </w:rPr>
              <w:t>坚决贯彻中央、省委关于侨联工作的指示精神，积极担当作为，充分发挥桥梁纽带作用，</w:t>
            </w:r>
            <w:r>
              <w:rPr>
                <w:rFonts w:hint="eastAsia" w:ascii="仿宋_GB2312" w:hAnsi="仿宋_GB2312" w:eastAsia="仿宋_GB2312" w:cs="仿宋_GB2312"/>
                <w:lang w:eastAsia="zh-CN"/>
              </w:rPr>
              <w:t>全面完成省侨联</w:t>
            </w:r>
            <w:r>
              <w:rPr>
                <w:rFonts w:hint="eastAsia" w:ascii="仿宋_GB2312" w:hAnsi="仿宋_GB2312" w:eastAsia="仿宋_GB2312" w:cs="仿宋_GB2312"/>
                <w:lang w:val="en-US" w:eastAsia="zh-CN"/>
              </w:rPr>
              <w:t>2020</w:t>
            </w:r>
            <w:r>
              <w:rPr>
                <w:rFonts w:hint="eastAsia" w:ascii="仿宋_GB2312" w:hAnsi="仿宋_GB2312" w:eastAsia="仿宋_GB2312" w:cs="仿宋_GB2312"/>
                <w:lang w:eastAsia="zh-CN"/>
              </w:rPr>
              <w:t>年工作要点确定的各项重点工作。</w:t>
            </w:r>
            <w:r>
              <w:rPr>
                <w:rFonts w:ascii="Times New Roman" w:hAnsi="Times New Roman" w:eastAsia="仿宋_GB2312" w:cs="Times New Roman"/>
                <w:color w:val="000000"/>
                <w:kern w:val="0"/>
                <w:szCs w:val="21"/>
              </w:rPr>
              <w:t>　　</w:t>
            </w:r>
          </w:p>
        </w:tc>
        <w:tc>
          <w:tcPr>
            <w:tcW w:w="4728"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ascii="Times New Roman" w:hAnsi="Times New Roman" w:eastAsia="仿宋_GB2312" w:cs="Times New Roman"/>
                <w:color w:val="000000"/>
                <w:kern w:val="0"/>
                <w:szCs w:val="21"/>
              </w:rPr>
              <w:t>　</w:t>
            </w:r>
            <w:r>
              <w:rPr>
                <w:rFonts w:hint="eastAsia" w:ascii="仿宋_GB2312" w:hAnsi="宋体" w:eastAsia="仿宋_GB2312" w:cs="宋体"/>
                <w:color w:val="000000"/>
                <w:kern w:val="0"/>
                <w:szCs w:val="21"/>
              </w:rPr>
              <w:t>我会</w:t>
            </w:r>
            <w:r>
              <w:rPr>
                <w:rFonts w:hint="eastAsia" w:ascii="仿宋_GB2312" w:hAnsi="宋体" w:eastAsia="仿宋_GB2312" w:cs="宋体"/>
                <w:color w:val="000000"/>
                <w:kern w:val="0"/>
                <w:szCs w:val="21"/>
                <w:lang w:eastAsia="zh-CN"/>
              </w:rPr>
              <w:t>的业务工作经费</w:t>
            </w:r>
            <w:r>
              <w:rPr>
                <w:rFonts w:hint="eastAsia" w:ascii="仿宋_GB2312" w:hAnsi="宋体" w:eastAsia="仿宋_GB2312" w:cs="宋体"/>
                <w:color w:val="000000"/>
                <w:kern w:val="0"/>
                <w:szCs w:val="21"/>
              </w:rPr>
              <w:t>支出</w:t>
            </w:r>
            <w:r>
              <w:rPr>
                <w:rFonts w:hint="eastAsia" w:ascii="仿宋_GB2312" w:hAnsi="宋体" w:eastAsia="仿宋_GB2312" w:cs="宋体"/>
                <w:color w:val="000000"/>
                <w:kern w:val="0"/>
                <w:szCs w:val="21"/>
                <w:lang w:eastAsia="zh-CN"/>
              </w:rPr>
              <w:t>紧紧</w:t>
            </w:r>
            <w:r>
              <w:rPr>
                <w:rFonts w:hint="eastAsia" w:ascii="仿宋_GB2312" w:hAnsi="宋体" w:eastAsia="仿宋_GB2312" w:cs="宋体"/>
                <w:color w:val="000000"/>
                <w:kern w:val="0"/>
                <w:szCs w:val="21"/>
              </w:rPr>
              <w:t>围绕让</w:t>
            </w:r>
            <w:r>
              <w:rPr>
                <w:rFonts w:hint="eastAsia" w:ascii="仿宋_GB2312" w:hAnsi="宋体" w:eastAsia="仿宋_GB2312" w:cs="宋体"/>
                <w:color w:val="000000"/>
                <w:kern w:val="0"/>
                <w:szCs w:val="21"/>
                <w:lang w:eastAsia="zh-CN"/>
              </w:rPr>
              <w:t>海外联谊、文化交流更有实际影响，</w:t>
            </w:r>
            <w:r>
              <w:rPr>
                <w:rFonts w:hint="eastAsia" w:ascii="仿宋_GB2312" w:hAnsi="宋体" w:eastAsia="仿宋_GB2312" w:cs="宋体"/>
                <w:color w:val="000000"/>
                <w:kern w:val="0"/>
                <w:szCs w:val="21"/>
              </w:rPr>
              <w:t>招商引资</w:t>
            </w:r>
            <w:r>
              <w:rPr>
                <w:rFonts w:hint="eastAsia" w:ascii="仿宋_GB2312" w:hAnsi="宋体" w:eastAsia="仿宋_GB2312" w:cs="宋体"/>
                <w:color w:val="000000"/>
                <w:kern w:val="0"/>
                <w:szCs w:val="21"/>
                <w:lang w:eastAsia="zh-CN"/>
              </w:rPr>
              <w:t>落地有实效</w:t>
            </w:r>
            <w:r>
              <w:rPr>
                <w:rFonts w:hint="eastAsia" w:ascii="仿宋_GB2312" w:hAnsi="宋体" w:eastAsia="仿宋_GB2312" w:cs="宋体"/>
                <w:color w:val="000000"/>
                <w:kern w:val="0"/>
                <w:szCs w:val="21"/>
              </w:rPr>
              <w:t>，参政议政、维护侨益更有经济保障，扶侨帮困更有</w:t>
            </w:r>
            <w:r>
              <w:rPr>
                <w:rFonts w:hint="eastAsia" w:ascii="仿宋_GB2312" w:hAnsi="宋体" w:eastAsia="仿宋_GB2312" w:cs="宋体"/>
                <w:color w:val="000000"/>
                <w:kern w:val="0"/>
                <w:szCs w:val="21"/>
                <w:lang w:eastAsia="zh-CN"/>
              </w:rPr>
              <w:t>帮扶成果，扶贫攻坚更有后盾支持</w:t>
            </w:r>
            <w:r>
              <w:rPr>
                <w:rFonts w:hint="eastAsia" w:ascii="仿宋_GB2312" w:hAnsi="宋体" w:eastAsia="仿宋_GB2312" w:cs="宋体"/>
                <w:color w:val="000000"/>
                <w:kern w:val="0"/>
                <w:szCs w:val="21"/>
              </w:rPr>
              <w:t>开展工作</w:t>
            </w:r>
            <w:r>
              <w:rPr>
                <w:rFonts w:hint="eastAsia" w:ascii="仿宋_GB2312" w:hAnsi="宋体" w:eastAsia="仿宋_GB2312" w:cs="宋体"/>
                <w:color w:val="000000"/>
                <w:kern w:val="0"/>
                <w:szCs w:val="21"/>
                <w:lang w:eastAsia="zh-CN"/>
              </w:rPr>
              <w:t>，全年取得了较好成效。</w:t>
            </w:r>
          </w:p>
          <w:p>
            <w:pPr>
              <w:widowControl/>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61"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6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一级指标</w:t>
            </w:r>
          </w:p>
        </w:tc>
        <w:tc>
          <w:tcPr>
            <w:tcW w:w="6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二级指标</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三级指标</w:t>
            </w:r>
          </w:p>
        </w:tc>
        <w:tc>
          <w:tcPr>
            <w:tcW w:w="17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指标值</w:t>
            </w:r>
          </w:p>
        </w:tc>
        <w:tc>
          <w:tcPr>
            <w:tcW w:w="20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完成值</w:t>
            </w:r>
          </w:p>
        </w:tc>
        <w:tc>
          <w:tcPr>
            <w:tcW w:w="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分值</w:t>
            </w:r>
          </w:p>
        </w:tc>
        <w:tc>
          <w:tcPr>
            <w:tcW w:w="9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得分</w:t>
            </w:r>
          </w:p>
        </w:tc>
        <w:tc>
          <w:tcPr>
            <w:tcW w:w="10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偏差原因</w:t>
            </w:r>
          </w:p>
          <w:p>
            <w:pPr>
              <w:widowControl/>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w:t>
            </w:r>
            <w:r>
              <w:rPr>
                <w:rFonts w:hint="eastAsia" w:ascii="Times New Roman" w:hAnsi="Times New Roman" w:eastAsia="仿宋_GB2312" w:cs="Times New Roman"/>
                <w:color w:val="000000"/>
                <w:kern w:val="0"/>
                <w:szCs w:val="21"/>
                <w:lang w:eastAsia="zh-CN"/>
              </w:rPr>
              <w:t>析</w:t>
            </w:r>
            <w:r>
              <w:rPr>
                <w:rFonts w:ascii="Times New Roman" w:hAnsi="Times New Roman" w:eastAsia="仿宋_GB2312" w:cs="Times New Roman"/>
                <w:color w:val="000000"/>
                <w:kern w:val="0"/>
                <w:szCs w:val="21"/>
              </w:rPr>
              <w:t>及改进措施</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产出指标</w:t>
            </w: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(50分)</w:t>
            </w:r>
          </w:p>
        </w:tc>
        <w:tc>
          <w:tcPr>
            <w:tcW w:w="654"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数量指标</w:t>
            </w:r>
          </w:p>
        </w:tc>
        <w:tc>
          <w:tcPr>
            <w:tcW w:w="1310" w:type="dxa"/>
            <w:tcBorders>
              <w:top w:val="nil"/>
              <w:left w:val="nil"/>
              <w:bottom w:val="single" w:color="auto" w:sz="4" w:space="0"/>
              <w:right w:val="single" w:color="auto" w:sz="4" w:space="0"/>
            </w:tcBorders>
            <w:shd w:val="clear" w:color="auto" w:fill="auto"/>
            <w:vAlign w:val="top"/>
          </w:tcPr>
          <w:p>
            <w:pPr>
              <w:pStyle w:val="16"/>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做好参政议政提案办理工作。</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积极参政议政，</w:t>
            </w:r>
            <w:r>
              <w:rPr>
                <w:rFonts w:hint="eastAsia" w:ascii="仿宋_GB2312" w:hAnsi="仿宋_GB2312" w:eastAsia="仿宋_GB2312" w:cs="仿宋_GB2312"/>
                <w:color w:val="000000" w:themeColor="text1"/>
                <w:sz w:val="24"/>
                <w:szCs w:val="24"/>
                <w14:textFill>
                  <w14:solidFill>
                    <w14:schemeClr w14:val="tx1"/>
                  </w14:solidFill>
                </w14:textFill>
              </w:rPr>
              <w:t>组织省级侨界人大代表、政协委员撰写、提交建议提案5件以上</w:t>
            </w:r>
          </w:p>
        </w:tc>
        <w:tc>
          <w:tcPr>
            <w:tcW w:w="2032" w:type="dxa"/>
            <w:tcBorders>
              <w:top w:val="nil"/>
              <w:left w:val="nil"/>
              <w:bottom w:val="single" w:color="auto" w:sz="4" w:space="0"/>
              <w:right w:val="single" w:color="auto" w:sz="4" w:space="0"/>
            </w:tcBorders>
            <w:shd w:val="clear" w:color="auto" w:fill="auto"/>
            <w:vAlign w:val="top"/>
          </w:tcPr>
          <w:p>
            <w:pPr>
              <w:pStyle w:val="16"/>
              <w:rPr>
                <w:rFonts w:hint="eastAsia" w:ascii="仿宋_GB2312" w:hAnsi="仿宋_GB2312" w:eastAsia="仿宋_GB2312" w:cs="仿宋_GB2312"/>
                <w:kern w:val="0"/>
                <w:sz w:val="24"/>
                <w:szCs w:val="24"/>
                <w:lang w:val="zh-CN" w:eastAsia="zh-CN" w:bidi="zh-CN"/>
              </w:rPr>
            </w:pPr>
            <w:r>
              <w:rPr>
                <w:rFonts w:hint="eastAsia" w:ascii="仿宋_GB2312" w:hAnsi="仿宋_GB2312" w:eastAsia="仿宋_GB2312" w:cs="仿宋_GB2312"/>
                <w:sz w:val="24"/>
                <w:szCs w:val="24"/>
                <w:lang w:eastAsia="zh-CN"/>
              </w:rPr>
              <w:t>已组织</w:t>
            </w:r>
            <w:r>
              <w:rPr>
                <w:rFonts w:hint="eastAsia" w:ascii="仿宋_GB2312" w:hAnsi="仿宋_GB2312" w:eastAsia="仿宋_GB2312" w:cs="仿宋_GB2312"/>
                <w:sz w:val="24"/>
                <w:szCs w:val="24"/>
              </w:rPr>
              <w:t>撰写、提交建议提案5件以上</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continue"/>
            <w:tcBorders>
              <w:left w:val="nil"/>
              <w:right w:val="single" w:color="auto" w:sz="4" w:space="0"/>
            </w:tcBorders>
            <w:shd w:val="clear" w:color="auto" w:fill="auto"/>
            <w:vAlign w:val="center"/>
          </w:tcPr>
          <w:p>
            <w:pPr>
              <w:jc w:val="center"/>
              <w:rPr>
                <w:rFonts w:ascii="Times New Roman" w:hAnsi="Times New Roman" w:eastAsia="仿宋_GB2312" w:cs="Times New Roman"/>
                <w:color w:val="000000"/>
                <w:kern w:val="0"/>
                <w:szCs w:val="21"/>
              </w:rPr>
            </w:pPr>
          </w:p>
        </w:tc>
        <w:tc>
          <w:tcPr>
            <w:tcW w:w="1310" w:type="dxa"/>
            <w:tcBorders>
              <w:top w:val="nil"/>
              <w:left w:val="nil"/>
              <w:bottom w:val="single" w:color="auto" w:sz="4" w:space="0"/>
              <w:right w:val="single" w:color="auto" w:sz="4" w:space="0"/>
            </w:tcBorders>
            <w:shd w:val="clear" w:color="auto" w:fill="auto"/>
            <w:vAlign w:val="top"/>
          </w:tcPr>
          <w:p>
            <w:pPr>
              <w:pStyle w:val="16"/>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做好《侨情专报》信息报送工作。</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《侨情专报》被中国侨联采用10篇以上</w:t>
            </w:r>
          </w:p>
        </w:tc>
        <w:tc>
          <w:tcPr>
            <w:tcW w:w="2032" w:type="dxa"/>
            <w:tcBorders>
              <w:top w:val="nil"/>
              <w:left w:val="nil"/>
              <w:bottom w:val="single" w:color="auto" w:sz="4" w:space="0"/>
              <w:right w:val="single" w:color="auto" w:sz="4" w:space="0"/>
            </w:tcBorders>
            <w:shd w:val="clear" w:color="auto" w:fill="auto"/>
            <w:vAlign w:val="top"/>
          </w:tcPr>
          <w:p>
            <w:pPr>
              <w:pStyle w:val="16"/>
              <w:rPr>
                <w:rFonts w:hint="eastAsia" w:ascii="仿宋_GB2312" w:hAnsi="仿宋_GB2312" w:eastAsia="仿宋_GB2312" w:cs="仿宋_GB2312"/>
                <w:kern w:val="0"/>
                <w:sz w:val="24"/>
                <w:szCs w:val="24"/>
                <w:lang w:val="en-US" w:eastAsia="zh-CN" w:bidi="zh-CN"/>
              </w:rPr>
            </w:pPr>
            <w:r>
              <w:rPr>
                <w:rFonts w:hint="eastAsia" w:ascii="仿宋_GB2312" w:hAnsi="仿宋_GB2312" w:eastAsia="仿宋_GB2312" w:cs="仿宋_GB2312"/>
                <w:sz w:val="24"/>
                <w:szCs w:val="24"/>
                <w:lang w:eastAsia="zh-CN"/>
              </w:rPr>
              <w:t>已采用</w:t>
            </w:r>
            <w:r>
              <w:rPr>
                <w:rFonts w:hint="eastAsia" w:ascii="仿宋_GB2312" w:hAnsi="仿宋_GB2312" w:eastAsia="仿宋_GB2312" w:cs="仿宋_GB2312"/>
                <w:sz w:val="24"/>
                <w:szCs w:val="24"/>
                <w:lang w:val="en-US" w:eastAsia="zh-CN"/>
              </w:rPr>
              <w:t>15篇</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开</w:t>
            </w:r>
            <w:r>
              <w:rPr>
                <w:rFonts w:hint="eastAsia" w:ascii="仿宋_GB2312" w:hAnsi="仿宋_GB2312" w:eastAsia="仿宋_GB2312" w:cs="仿宋_GB2312"/>
                <w:color w:val="000000" w:themeColor="text1"/>
                <w:sz w:val="24"/>
                <w:szCs w:val="24"/>
                <w14:textFill>
                  <w14:solidFill>
                    <w14:schemeClr w14:val="tx1"/>
                  </w14:solidFill>
                </w14:textFill>
              </w:rPr>
              <w:t>展“亲情中华、魅力湖南”文化交流品牌活动一次以上</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开</w:t>
            </w:r>
            <w:r>
              <w:rPr>
                <w:rFonts w:hint="eastAsia" w:ascii="仿宋_GB2312" w:hAnsi="仿宋_GB2312" w:eastAsia="仿宋_GB2312" w:cs="仿宋_GB2312"/>
                <w:color w:val="000000" w:themeColor="text1"/>
                <w:sz w:val="24"/>
                <w:szCs w:val="24"/>
                <w14:textFill>
                  <w14:solidFill>
                    <w14:schemeClr w14:val="tx1"/>
                  </w14:solidFill>
                </w14:textFill>
              </w:rPr>
              <w:t>展“亲情中华、魅力湖南”文化交流品牌活动一次以上</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积极承办</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14:textFill>
                  <w14:solidFill>
                    <w14:schemeClr w14:val="tx1"/>
                  </w14:solidFill>
                </w14:textFill>
              </w:rPr>
              <w:t>期“亲情中华·为你讲故事”网上湖南夏令营活动，25家海外侨团、华文教育学校，13个国家</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3749</w:t>
            </w:r>
            <w:r>
              <w:rPr>
                <w:rFonts w:hint="eastAsia" w:ascii="仿宋_GB2312" w:hAnsi="仿宋_GB2312" w:eastAsia="仿宋_GB2312" w:cs="仿宋_GB2312"/>
                <w:color w:val="000000" w:themeColor="text1"/>
                <w:sz w:val="24"/>
                <w:szCs w:val="24"/>
                <w14:textFill>
                  <w14:solidFill>
                    <w14:schemeClr w14:val="tx1"/>
                  </w14:solidFill>
                </w14:textFill>
              </w:rPr>
              <w:t>名海外华裔青少年相聚云端，以特别的方式继续中华文化之旅</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质量指标</w:t>
            </w: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抓好侨界思想政治引领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抓好意识形态阵地建设，开辟抗疫专题专栏，制作抗疫、战贫宣传片。</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省侨联官网、红网湘侨频道、微信公众号、《湖南侨联》杂志等媒体全面提质，浏览量大增，影响力不断提升</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开辟了《共同战“疫”湖南侨界在行动》《海外侨界抗疫人物风采》专题专栏，制作了《万里湘情共抗疫》《万里湘情同扶贫》宣传片、同心抗疫歌曲《生命相依》和一大批抗疫诗歌，鼓舞侨界士气，凝聚侨界力量。</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continue"/>
            <w:tcBorders>
              <w:left w:val="nil"/>
              <w:right w:val="single" w:color="auto" w:sz="4" w:space="0"/>
            </w:tcBorders>
            <w:shd w:val="clear" w:color="auto" w:fill="auto"/>
            <w:vAlign w:val="center"/>
          </w:tcPr>
          <w:p>
            <w:pPr>
              <w:jc w:val="center"/>
              <w:rPr>
                <w:rFonts w:ascii="Times New Roman" w:hAnsi="Times New Roman" w:eastAsia="仿宋_GB2312" w:cs="Times New Roman"/>
                <w:color w:val="000000"/>
                <w:kern w:val="0"/>
                <w:szCs w:val="21"/>
              </w:rPr>
            </w:pP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服务侨商侨企有序复工复产</w:t>
            </w:r>
            <w:r>
              <w:rPr>
                <w:rFonts w:hint="eastAsia" w:ascii="仿宋_GB2312" w:hAnsi="仿宋_GB2312" w:eastAsia="仿宋_GB2312" w:cs="仿宋_GB2312"/>
                <w:color w:val="000000"/>
                <w:kern w:val="0"/>
                <w:sz w:val="24"/>
                <w:szCs w:val="24"/>
                <w:lang w:eastAsia="zh-CN"/>
              </w:rPr>
              <w:t>。</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rPr>
              <w:t>广泛开展侨企大调研活动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多措并举解决侨企实际困难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支持和推动侨企开展新冠肺炎疫情防控和复工复产工作</w:t>
            </w:r>
            <w:r>
              <w:rPr>
                <w:rFonts w:hint="eastAsia" w:ascii="仿宋_GB2312" w:hAnsi="仿宋_GB2312" w:eastAsia="仿宋_GB2312" w:cs="仿宋_GB2312"/>
                <w:sz w:val="24"/>
                <w:szCs w:val="24"/>
                <w:lang w:eastAsia="zh-CN"/>
              </w:rPr>
              <w:t>。启动“侨e家”线上商城。对接建行湖南省分行开展全面战略合作。</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成效良好。为侨企抱团发展提供新平台。促成了省建行面向侨企的68亿元信贷额度，截至</w:t>
            </w:r>
            <w:r>
              <w:rPr>
                <w:rFonts w:hint="eastAsia" w:ascii="仿宋_GB2312" w:hAnsi="仿宋_GB2312" w:eastAsia="仿宋_GB2312" w:cs="仿宋_GB2312"/>
                <w:color w:val="000000"/>
                <w:kern w:val="0"/>
                <w:sz w:val="24"/>
                <w:szCs w:val="24"/>
                <w:lang w:val="en-US" w:eastAsia="zh-CN"/>
              </w:rPr>
              <w:t>12</w:t>
            </w:r>
            <w:r>
              <w:rPr>
                <w:rFonts w:hint="eastAsia" w:ascii="仿宋_GB2312" w:hAnsi="仿宋_GB2312" w:eastAsia="仿宋_GB2312" w:cs="仿宋_GB2312"/>
                <w:color w:val="000000"/>
                <w:kern w:val="0"/>
                <w:sz w:val="24"/>
                <w:szCs w:val="24"/>
                <w:lang w:eastAsia="zh-CN"/>
              </w:rPr>
              <w:t>月底，已有32家涉侨企业贷款</w:t>
            </w:r>
            <w:r>
              <w:rPr>
                <w:rFonts w:hint="eastAsia" w:ascii="仿宋_GB2312" w:hAnsi="仿宋_GB2312" w:eastAsia="仿宋_GB2312" w:cs="仿宋_GB2312"/>
                <w:color w:val="000000"/>
                <w:kern w:val="0"/>
                <w:sz w:val="24"/>
                <w:szCs w:val="24"/>
                <w:lang w:val="en" w:eastAsia="zh-CN"/>
              </w:rPr>
              <w:t>超4</w:t>
            </w:r>
            <w:r>
              <w:rPr>
                <w:rFonts w:hint="eastAsia" w:ascii="仿宋_GB2312" w:hAnsi="仿宋_GB2312" w:eastAsia="仿宋_GB2312" w:cs="仿宋_GB2312"/>
                <w:color w:val="000000"/>
                <w:kern w:val="0"/>
                <w:sz w:val="24"/>
                <w:szCs w:val="24"/>
                <w:lang w:eastAsia="zh-CN"/>
              </w:rPr>
              <w:t>亿元。</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 w:eastAsia="zh-CN"/>
              </w:rPr>
              <w:t>以侨为桥、以侨引侨，讲好湖南故事。</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组织海外侨领侨胞和侨界青年实地考察</w:t>
            </w:r>
            <w:r>
              <w:rPr>
                <w:rFonts w:hint="eastAsia" w:ascii="仿宋_GB2312" w:hAnsi="仿宋_GB2312" w:eastAsia="仿宋_GB2312" w:cs="仿宋_GB2312"/>
                <w:sz w:val="24"/>
                <w:szCs w:val="24"/>
                <w:lang w:val="en-US" w:eastAsia="zh-CN"/>
              </w:rPr>
              <w:t>湖南经济社会发展的巨大成就和发展机遇，体验湖湘文化的独特魅力和各地的风土人情。通过省情推介、经贸投资项目洽谈、企业考察、文化交流等形式，加强与海外华侨华人的联系，充分发挥海外侨胞独特优势和重要作用，助力中国经济发展，增进海外华侨华人对祖（籍）国的感情。</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成功举办</w:t>
            </w:r>
            <w:r>
              <w:rPr>
                <w:rFonts w:hint="eastAsia" w:ascii="仿宋_GB2312" w:hAnsi="仿宋_GB2312" w:eastAsia="仿宋_GB2312" w:cs="仿宋_GB2312"/>
                <w:sz w:val="24"/>
                <w:szCs w:val="24"/>
                <w:lang w:val="en-US" w:eastAsia="zh-CN"/>
              </w:rPr>
              <w:t>2020</w:t>
            </w:r>
            <w:r>
              <w:rPr>
                <w:rFonts w:hint="eastAsia" w:ascii="仿宋_GB2312" w:hAnsi="仿宋_GB2312" w:eastAsia="仿宋_GB2312" w:cs="仿宋_GB2312"/>
                <w:sz w:val="24"/>
                <w:szCs w:val="24"/>
                <w:lang w:eastAsia="zh-CN"/>
              </w:rPr>
              <w:t>海外侨界青年湖南行和海外侨胞故乡行—走进湖南活动。</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时效指标</w:t>
            </w: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定期召开省侨联全委会。</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2020年年初召开省侨联八届二次全委会。</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2020年4月9日</w:t>
            </w:r>
            <w:r>
              <w:rPr>
                <w:rFonts w:hint="eastAsia" w:ascii="仿宋_GB2312" w:hAnsi="仿宋_GB2312" w:eastAsia="仿宋_GB2312" w:cs="仿宋_GB2312"/>
                <w:color w:val="000000" w:themeColor="text1"/>
                <w:sz w:val="24"/>
                <w:szCs w:val="24"/>
                <w14:textFill>
                  <w14:solidFill>
                    <w14:schemeClr w14:val="tx1"/>
                  </w14:solidFill>
                </w14:textFill>
              </w:rPr>
              <w:t>召开省侨联</w:t>
            </w:r>
            <w:r>
              <w:rPr>
                <w:rFonts w:hint="eastAsia" w:ascii="仿宋_GB2312" w:hAnsi="仿宋_GB2312" w:eastAsia="仿宋_GB2312" w:cs="仿宋_GB2312"/>
                <w:color w:val="000000" w:themeColor="text1"/>
                <w:sz w:val="24"/>
                <w:szCs w:val="24"/>
                <w:lang w:eastAsia="zh-CN"/>
                <w14:textFill>
                  <w14:solidFill>
                    <w14:schemeClr w14:val="tx1"/>
                  </w14:solidFill>
                </w14:textFill>
              </w:rPr>
              <w:t>八届二次全委会。</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trHeight w:val="90" w:hRule="atLeast"/>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continue"/>
            <w:tcBorders>
              <w:left w:val="nil"/>
              <w:right w:val="single" w:color="auto" w:sz="4" w:space="0"/>
            </w:tcBorders>
            <w:shd w:val="clear" w:color="auto" w:fill="auto"/>
            <w:vAlign w:val="center"/>
          </w:tcPr>
          <w:p>
            <w:pPr>
              <w:jc w:val="center"/>
              <w:rPr>
                <w:rFonts w:ascii="Times New Roman" w:hAnsi="Times New Roman" w:eastAsia="仿宋_GB2312" w:cs="Times New Roman"/>
                <w:color w:val="000000"/>
                <w:kern w:val="0"/>
                <w:szCs w:val="21"/>
              </w:rPr>
            </w:pP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定期对</w:t>
            </w:r>
            <w:r>
              <w:rPr>
                <w:rFonts w:hint="eastAsia" w:ascii="仿宋_GB2312" w:hAnsi="仿宋_GB2312" w:eastAsia="仿宋_GB2312" w:cs="仿宋_GB2312"/>
                <w:color w:val="000000" w:themeColor="text1"/>
                <w:kern w:val="0"/>
                <w:sz w:val="24"/>
                <w:szCs w:val="24"/>
                <w14:textFill>
                  <w14:solidFill>
                    <w14:schemeClr w14:val="tx1"/>
                  </w14:solidFill>
                </w14:textFill>
              </w:rPr>
              <w:t>省侨联法顾委和省华侨公益基金会</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进行</w:t>
            </w:r>
            <w:r>
              <w:rPr>
                <w:rFonts w:hint="eastAsia" w:ascii="仿宋_GB2312" w:hAnsi="仿宋_GB2312" w:eastAsia="仿宋_GB2312" w:cs="仿宋_GB2312"/>
                <w:color w:val="000000" w:themeColor="text1"/>
                <w:kern w:val="0"/>
                <w:sz w:val="24"/>
                <w:szCs w:val="24"/>
                <w14:textFill>
                  <w14:solidFill>
                    <w14:schemeClr w14:val="tx1"/>
                  </w14:solidFill>
                </w14:textFill>
              </w:rPr>
              <w:t>换届</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2020年完成省侨联法顾委和省华侨公益基金会换届工作。</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2020年度</w:t>
            </w:r>
            <w:r>
              <w:rPr>
                <w:rFonts w:hint="eastAsia" w:ascii="仿宋_GB2312" w:hAnsi="仿宋_GB2312" w:eastAsia="仿宋_GB2312" w:cs="仿宋_GB2312"/>
                <w:color w:val="000000" w:themeColor="text1"/>
                <w:kern w:val="0"/>
                <w:sz w:val="24"/>
                <w:szCs w:val="24"/>
                <w14:textFill>
                  <w14:solidFill>
                    <w14:schemeClr w14:val="tx1"/>
                  </w14:solidFill>
                </w14:textFill>
              </w:rPr>
              <w:t>完成了省侨联法顾委换届聘任和省华侨公益基金会换届工作</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p>
        </w:tc>
        <w:tc>
          <w:tcPr>
            <w:tcW w:w="61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c>
          <w:tcPr>
            <w:tcW w:w="9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成本指标</w:t>
            </w: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扶侨帮困资金覆盖范围涉及十四个市州及</w:t>
            </w:r>
            <w:r>
              <w:rPr>
                <w:rFonts w:hint="eastAsia" w:ascii="仿宋_GB2312" w:hAnsi="仿宋_GB2312" w:eastAsia="仿宋_GB2312" w:cs="仿宋_GB2312"/>
                <w:sz w:val="24"/>
                <w:szCs w:val="24"/>
                <w:lang w:eastAsia="zh-CN"/>
              </w:rPr>
              <w:t>大部分</w:t>
            </w:r>
            <w:r>
              <w:rPr>
                <w:rFonts w:hint="eastAsia" w:ascii="仿宋_GB2312" w:hAnsi="仿宋_GB2312" w:eastAsia="仿宋_GB2312" w:cs="仿宋_GB2312"/>
                <w:sz w:val="24"/>
                <w:szCs w:val="24"/>
              </w:rPr>
              <w:t>已成立侨联组织的高校。利用扶侨帮困资金至少慰问侨界困难群众数百人</w:t>
            </w:r>
            <w:r>
              <w:rPr>
                <w:rFonts w:hint="eastAsia" w:ascii="仿宋_GB2312" w:hAnsi="仿宋_GB2312" w:eastAsia="仿宋_GB2312" w:cs="仿宋_GB2312"/>
                <w:sz w:val="24"/>
                <w:szCs w:val="24"/>
                <w:lang w:eastAsia="zh-CN"/>
              </w:rPr>
              <w:t>。</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下拨2020年扶侨帮困专项资金</w:t>
            </w:r>
            <w:r>
              <w:rPr>
                <w:rFonts w:hint="eastAsia" w:ascii="仿宋_GB2312" w:hAnsi="仿宋_GB2312" w:eastAsia="仿宋_GB2312" w:cs="仿宋_GB2312"/>
                <w:sz w:val="24"/>
                <w:szCs w:val="24"/>
                <w:lang w:val="en-US" w:eastAsia="zh-CN"/>
              </w:rPr>
              <w:t>88万元</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以</w:t>
            </w:r>
            <w:r>
              <w:rPr>
                <w:rFonts w:hint="eastAsia" w:ascii="仿宋_GB2312" w:hAnsi="仿宋_GB2312" w:eastAsia="仿宋_GB2312" w:cs="仿宋_GB2312"/>
                <w:sz w:val="24"/>
                <w:szCs w:val="24"/>
              </w:rPr>
              <w:t>重点帮扶特困归侨侨眷家庭</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z w:val="24"/>
                <w:szCs w:val="24"/>
              </w:rPr>
              <w:t>走访慰问困难归侨侨眷</w:t>
            </w:r>
            <w:r>
              <w:rPr>
                <w:rFonts w:hint="eastAsia" w:ascii="仿宋_GB2312" w:hAnsi="仿宋_GB2312" w:eastAsia="仿宋_GB2312" w:cs="仿宋_GB2312"/>
                <w:sz w:val="24"/>
                <w:szCs w:val="24"/>
                <w:lang w:eastAsia="zh-CN"/>
              </w:rPr>
              <w:t>的方式，做好侨界困难群众的慰问工作</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日常慰问一次每户</w:t>
            </w:r>
            <w:r>
              <w:rPr>
                <w:rFonts w:hint="eastAsia" w:ascii="仿宋_GB2312" w:hAnsi="仿宋_GB2312" w:eastAsia="仿宋_GB2312" w:cs="仿宋_GB2312"/>
                <w:sz w:val="24"/>
                <w:szCs w:val="24"/>
                <w:lang w:val="en-US" w:eastAsia="zh-CN"/>
              </w:rPr>
              <w:t>500-2000元；重点帮扶对象视情一次性给予每户5000-20000元不等的重点帮扶资金。</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下拨2020年扶侨帮困专项资金，重点帮扶特困归侨侨眷家庭45户，走访慰问困难归侨侨眷家庭500余户。争取中国侨联专项资金10万元，慰问岳阳、常德等5个市州因洪水受灾的</w:t>
            </w:r>
            <w:r>
              <w:rPr>
                <w:rFonts w:hint="eastAsia" w:ascii="仿宋_GB2312" w:hAnsi="仿宋_GB2312" w:eastAsia="仿宋_GB2312" w:cs="仿宋_GB2312"/>
                <w:sz w:val="24"/>
                <w:szCs w:val="24"/>
                <w:lang w:eastAsia="zh-CN"/>
              </w:rPr>
              <w:t>困难</w:t>
            </w:r>
            <w:r>
              <w:rPr>
                <w:rFonts w:hint="eastAsia" w:ascii="仿宋_GB2312" w:hAnsi="仿宋_GB2312" w:eastAsia="仿宋_GB2312" w:cs="仿宋_GB2312"/>
                <w:sz w:val="24"/>
                <w:szCs w:val="24"/>
              </w:rPr>
              <w:t>侨界群众和企业。</w:t>
            </w:r>
          </w:p>
          <w:p>
            <w:pPr>
              <w:widowControl/>
              <w:jc w:val="left"/>
              <w:rPr>
                <w:rFonts w:hint="eastAsia" w:ascii="仿宋_GB2312" w:hAnsi="仿宋_GB2312" w:eastAsia="仿宋_GB2312" w:cs="仿宋_GB2312"/>
                <w:color w:val="000000"/>
                <w:kern w:val="0"/>
                <w:sz w:val="24"/>
                <w:szCs w:val="24"/>
              </w:rPr>
            </w:pP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湖南省华侨事务预算专项经费</w:t>
            </w:r>
            <w:r>
              <w:rPr>
                <w:rFonts w:hint="eastAsia" w:ascii="仿宋_GB2312" w:hAnsi="仿宋_GB2312" w:eastAsia="仿宋_GB2312" w:cs="仿宋_GB2312"/>
                <w:color w:val="000000"/>
                <w:kern w:val="0"/>
                <w:sz w:val="24"/>
                <w:szCs w:val="24"/>
                <w:lang w:eastAsia="zh-CN"/>
              </w:rPr>
              <w:t>用于支持基层侨胞之家建设。</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湖南省华侨事务预算专项经费共110万元</w:t>
            </w:r>
            <w:r>
              <w:rPr>
                <w:rFonts w:hint="eastAsia" w:ascii="仿宋_GB2312" w:hAnsi="仿宋_GB2312" w:eastAsia="仿宋_GB2312" w:cs="仿宋_GB2312"/>
                <w:color w:val="000000"/>
                <w:kern w:val="0"/>
                <w:sz w:val="24"/>
                <w:szCs w:val="24"/>
                <w:lang w:eastAsia="zh-CN"/>
              </w:rPr>
              <w:t>，中国侨联支持</w:t>
            </w:r>
            <w:r>
              <w:rPr>
                <w:rFonts w:hint="eastAsia" w:ascii="仿宋_GB2312" w:hAnsi="仿宋_GB2312" w:eastAsia="仿宋_GB2312" w:cs="仿宋_GB2312"/>
                <w:color w:val="000000"/>
                <w:kern w:val="0"/>
                <w:sz w:val="24"/>
                <w:szCs w:val="24"/>
                <w:lang w:val="en-US" w:eastAsia="zh-CN"/>
              </w:rPr>
              <w:t>10万元。</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共计</w:t>
            </w:r>
            <w:r>
              <w:rPr>
                <w:rFonts w:hint="eastAsia" w:ascii="仿宋_GB2312" w:hAnsi="仿宋_GB2312" w:eastAsia="仿宋_GB2312" w:cs="仿宋_GB2312"/>
                <w:color w:val="000000"/>
                <w:kern w:val="0"/>
                <w:sz w:val="24"/>
                <w:szCs w:val="24"/>
              </w:rPr>
              <w:t>下拨120万元专项资金支持60个基层侨胞之家建设</w:t>
            </w:r>
            <w:r>
              <w:rPr>
                <w:rFonts w:hint="eastAsia" w:ascii="仿宋_GB2312" w:hAnsi="仿宋_GB2312" w:eastAsia="仿宋_GB2312" w:cs="仿宋_GB2312"/>
                <w:color w:val="000000"/>
                <w:kern w:val="0"/>
                <w:sz w:val="24"/>
                <w:szCs w:val="24"/>
                <w:lang w:eastAsia="zh-CN"/>
              </w:rPr>
              <w:t>。</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5</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c>
          <w:tcPr>
            <w:tcW w:w="654"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61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restart"/>
            <w:tcBorders>
              <w:top w:val="nil"/>
              <w:left w:val="nil"/>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效益指标</w:t>
            </w: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（30分）</w:t>
            </w:r>
          </w:p>
        </w:tc>
        <w:tc>
          <w:tcPr>
            <w:tcW w:w="654"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经济效益指标</w:t>
            </w: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rPr>
              <w:t>开展“创业中华·兴业湖南”经济科技品牌活动1次</w:t>
            </w:r>
            <w:r>
              <w:rPr>
                <w:rFonts w:hint="eastAsia" w:ascii="仿宋_GB2312" w:hAnsi="仿宋_GB2312" w:eastAsia="仿宋_GB2312" w:cs="仿宋_GB2312"/>
                <w:sz w:val="24"/>
                <w:szCs w:val="24"/>
                <w:lang w:eastAsia="zh-CN"/>
              </w:rPr>
              <w:t>。</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rPr>
              <w:t>举办“创业潇湘·智汇星沙”首届星沙海外高层次人才创新创业论坛活动。</w:t>
            </w:r>
          </w:p>
        </w:tc>
        <w:tc>
          <w:tcPr>
            <w:tcW w:w="20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圆满完成。</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trHeight w:val="842" w:hRule="atLeast"/>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continue"/>
            <w:tcBorders>
              <w:left w:val="nil"/>
              <w:right w:val="single" w:color="auto" w:sz="4" w:space="0"/>
            </w:tcBorders>
            <w:shd w:val="clear" w:color="auto" w:fill="auto"/>
            <w:vAlign w:val="center"/>
          </w:tcPr>
          <w:p>
            <w:pPr>
              <w:jc w:val="center"/>
              <w:rPr>
                <w:rFonts w:ascii="Times New Roman" w:hAnsi="Times New Roman" w:eastAsia="仿宋_GB2312" w:cs="Times New Roman"/>
                <w:color w:val="000000"/>
                <w:kern w:val="0"/>
                <w:szCs w:val="21"/>
              </w:rPr>
            </w:pP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开展引资引智活动</w:t>
            </w:r>
            <w:r>
              <w:rPr>
                <w:rFonts w:hint="eastAsia" w:ascii="仿宋_GB2312" w:hAnsi="仿宋_GB2312" w:eastAsia="仿宋_GB2312" w:cs="仿宋_GB2312"/>
                <w:color w:val="000000"/>
                <w:kern w:val="0"/>
                <w:sz w:val="24"/>
                <w:szCs w:val="24"/>
                <w:lang w:val="en-US" w:eastAsia="zh-CN"/>
              </w:rPr>
              <w:t>1次。</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举办“侨系张家界”招商引资引智活动</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联合致公党湖南省委等举办第七届海归论坛</w:t>
            </w:r>
            <w:r>
              <w:rPr>
                <w:rFonts w:hint="eastAsia" w:ascii="仿宋_GB2312" w:hAnsi="仿宋_GB2312" w:eastAsia="仿宋_GB2312" w:cs="仿宋_GB2312"/>
                <w:color w:val="000000"/>
                <w:kern w:val="0"/>
                <w:sz w:val="24"/>
                <w:szCs w:val="24"/>
                <w:lang w:eastAsia="zh-CN"/>
              </w:rPr>
              <w:t>。</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圆满完成，现场签约3个项目。</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3</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3</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rPr>
            </w:pP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eastAsia="zh-CN"/>
              </w:rPr>
            </w:pP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eastAsia="zh-CN"/>
              </w:rPr>
            </w:pPr>
          </w:p>
        </w:tc>
        <w:tc>
          <w:tcPr>
            <w:tcW w:w="614"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p>
        </w:tc>
        <w:tc>
          <w:tcPr>
            <w:tcW w:w="9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社会效益指标</w:t>
            </w: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坚决贯彻落实中央和省委“战疫”部署，省市县侨联整体联动，共同抗疫</w:t>
            </w:r>
            <w:r>
              <w:rPr>
                <w:rFonts w:hint="eastAsia" w:ascii="仿宋_GB2312" w:hAnsi="仿宋_GB2312" w:eastAsia="仿宋_GB2312" w:cs="仿宋_GB2312"/>
                <w:color w:val="000000"/>
                <w:kern w:val="0"/>
                <w:sz w:val="24"/>
                <w:szCs w:val="24"/>
                <w:lang w:eastAsia="zh-CN"/>
              </w:rPr>
              <w:t>。</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为缓解我省防疫物资紧缺作贡献</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为外防输入发挥作</w:t>
            </w:r>
            <w:r>
              <w:rPr>
                <w:rFonts w:hint="eastAsia" w:ascii="仿宋_GB2312" w:hAnsi="仿宋_GB2312" w:eastAsia="仿宋_GB2312" w:cs="仿宋_GB2312"/>
                <w:color w:val="000000"/>
                <w:kern w:val="0"/>
                <w:sz w:val="24"/>
                <w:szCs w:val="24"/>
                <w:lang w:eastAsia="zh-CN"/>
              </w:rPr>
              <w:t>用</w:t>
            </w:r>
            <w:r>
              <w:rPr>
                <w:rFonts w:hint="eastAsia" w:ascii="仿宋_GB2312" w:hAnsi="仿宋_GB2312" w:eastAsia="仿宋_GB2312" w:cs="仿宋_GB2312"/>
                <w:color w:val="000000"/>
                <w:kern w:val="0"/>
                <w:sz w:val="24"/>
                <w:szCs w:val="24"/>
              </w:rPr>
              <w:t>。</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多次倡议号召全省侨联系统、归侨侨眷和海外侨胞采购</w:t>
            </w:r>
            <w:r>
              <w:rPr>
                <w:rFonts w:hint="eastAsia" w:ascii="仿宋_GB2312" w:hAnsi="仿宋_GB2312" w:eastAsia="仿宋_GB2312" w:cs="仿宋_GB2312"/>
                <w:color w:val="000000"/>
                <w:kern w:val="0"/>
                <w:sz w:val="24"/>
                <w:szCs w:val="24"/>
                <w:lang w:val="en"/>
              </w:rPr>
              <w:t>捐赠</w:t>
            </w:r>
            <w:r>
              <w:rPr>
                <w:rFonts w:hint="eastAsia" w:ascii="仿宋_GB2312" w:hAnsi="仿宋_GB2312" w:eastAsia="仿宋_GB2312" w:cs="仿宋_GB2312"/>
                <w:color w:val="000000"/>
                <w:kern w:val="0"/>
                <w:sz w:val="24"/>
                <w:szCs w:val="24"/>
              </w:rPr>
              <w:t>抗疫物资，</w:t>
            </w:r>
            <w:r>
              <w:rPr>
                <w:rFonts w:hint="eastAsia" w:ascii="仿宋_GB2312" w:hAnsi="仿宋_GB2312" w:eastAsia="仿宋_GB2312" w:cs="仿宋_GB2312"/>
                <w:color w:val="000000"/>
                <w:kern w:val="0"/>
                <w:sz w:val="24"/>
                <w:szCs w:val="24"/>
                <w:lang w:eastAsia="zh-CN"/>
              </w:rPr>
              <w:t>累计</w:t>
            </w:r>
            <w:r>
              <w:rPr>
                <w:rFonts w:hint="eastAsia" w:ascii="仿宋_GB2312" w:hAnsi="仿宋_GB2312" w:eastAsia="仿宋_GB2312" w:cs="仿宋_GB2312"/>
                <w:color w:val="000000"/>
                <w:kern w:val="0"/>
                <w:sz w:val="24"/>
                <w:szCs w:val="24"/>
              </w:rPr>
              <w:t>捐款捐物6000多万元。根据海外疫情</w:t>
            </w:r>
            <w:r>
              <w:rPr>
                <w:rFonts w:hint="eastAsia" w:ascii="仿宋_GB2312" w:hAnsi="仿宋_GB2312" w:eastAsia="仿宋_GB2312" w:cs="仿宋_GB2312"/>
                <w:color w:val="000000"/>
                <w:kern w:val="0"/>
                <w:sz w:val="24"/>
                <w:szCs w:val="24"/>
                <w:lang w:val="en"/>
              </w:rPr>
              <w:t>发展</w:t>
            </w:r>
            <w:r>
              <w:rPr>
                <w:rFonts w:hint="eastAsia" w:ascii="仿宋_GB2312" w:hAnsi="仿宋_GB2312" w:eastAsia="仿宋_GB2312" w:cs="仿宋_GB2312"/>
                <w:color w:val="000000"/>
                <w:kern w:val="0"/>
                <w:sz w:val="24"/>
                <w:szCs w:val="24"/>
              </w:rPr>
              <w:t>及</w:t>
            </w:r>
            <w:r>
              <w:rPr>
                <w:rFonts w:hint="eastAsia" w:ascii="仿宋_GB2312" w:hAnsi="仿宋_GB2312" w:eastAsia="仿宋_GB2312" w:cs="仿宋_GB2312"/>
                <w:color w:val="000000"/>
                <w:kern w:val="0"/>
                <w:sz w:val="24"/>
                <w:szCs w:val="24"/>
                <w:lang w:val="en"/>
              </w:rPr>
              <w:t>海外侨团</w:t>
            </w:r>
            <w:r>
              <w:rPr>
                <w:rFonts w:hint="eastAsia" w:ascii="仿宋_GB2312" w:hAnsi="仿宋_GB2312" w:eastAsia="仿宋_GB2312" w:cs="仿宋_GB2312"/>
                <w:color w:val="000000"/>
                <w:kern w:val="0"/>
                <w:sz w:val="24"/>
                <w:szCs w:val="24"/>
              </w:rPr>
              <w:t>前期支持捐赠情况，代表省委</w:t>
            </w:r>
            <w:r>
              <w:rPr>
                <w:rFonts w:hint="eastAsia" w:ascii="仿宋_GB2312" w:hAnsi="仿宋_GB2312" w:eastAsia="仿宋_GB2312" w:cs="仿宋_GB2312"/>
                <w:color w:val="000000"/>
                <w:kern w:val="0"/>
                <w:sz w:val="24"/>
                <w:szCs w:val="24"/>
                <w:lang w:val="en"/>
              </w:rPr>
              <w:t>省政府</w:t>
            </w:r>
            <w:r>
              <w:rPr>
                <w:rFonts w:hint="eastAsia" w:ascii="仿宋_GB2312" w:hAnsi="仿宋_GB2312" w:eastAsia="仿宋_GB2312" w:cs="仿宋_GB2312"/>
                <w:color w:val="000000"/>
                <w:kern w:val="0"/>
                <w:sz w:val="24"/>
                <w:szCs w:val="24"/>
              </w:rPr>
              <w:t>向海外40多个国家和地区湘籍侨团侨胞捐赠抗疫物资1000余万元。</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3</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continue"/>
            <w:tcBorders>
              <w:left w:val="nil"/>
              <w:right w:val="single" w:color="auto" w:sz="4" w:space="0"/>
            </w:tcBorders>
            <w:shd w:val="clear" w:color="auto" w:fill="auto"/>
            <w:vAlign w:val="center"/>
          </w:tcPr>
          <w:p>
            <w:pPr>
              <w:jc w:val="center"/>
              <w:rPr>
                <w:rFonts w:ascii="Times New Roman" w:hAnsi="Times New Roman" w:eastAsia="仿宋_GB2312" w:cs="Times New Roman"/>
                <w:color w:val="000000"/>
                <w:kern w:val="0"/>
                <w:szCs w:val="21"/>
              </w:rPr>
            </w:pPr>
          </w:p>
        </w:tc>
        <w:tc>
          <w:tcPr>
            <w:tcW w:w="1310" w:type="dxa"/>
            <w:tcBorders>
              <w:top w:val="nil"/>
              <w:left w:val="nil"/>
              <w:bottom w:val="single" w:color="auto" w:sz="4" w:space="0"/>
              <w:right w:val="single" w:color="auto" w:sz="4" w:space="0"/>
            </w:tcBorders>
            <w:shd w:val="clear" w:color="auto" w:fill="auto"/>
            <w:vAlign w:val="center"/>
          </w:tcPr>
          <w:p>
            <w:pPr>
              <w:pStyle w:val="2"/>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积极承办中国侨联活动。</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加强联谊联络中，扩大湖南侨联海外“朋友圈”。</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成功承办中国侨联</w:t>
            </w:r>
            <w:r>
              <w:rPr>
                <w:rFonts w:hint="eastAsia" w:ascii="仿宋_GB2312" w:hAnsi="仿宋_GB2312" w:eastAsia="仿宋_GB2312" w:cs="仿宋_GB2312"/>
                <w:color w:val="auto"/>
                <w:kern w:val="0"/>
                <w:sz w:val="24"/>
                <w:szCs w:val="24"/>
                <w:lang w:val="en-US" w:eastAsia="zh-CN"/>
              </w:rPr>
              <w:t>2020</w:t>
            </w:r>
            <w:r>
              <w:rPr>
                <w:rFonts w:hint="eastAsia" w:ascii="仿宋_GB2312" w:hAnsi="仿宋_GB2312" w:eastAsia="仿宋_GB2312" w:cs="仿宋_GB2312"/>
                <w:color w:val="auto"/>
                <w:kern w:val="0"/>
                <w:sz w:val="24"/>
                <w:szCs w:val="24"/>
                <w:lang w:eastAsia="zh-CN"/>
              </w:rPr>
              <w:t>海外侨领研修班湖南现场教学活动。</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3</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continue"/>
            <w:tcBorders>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助力脱贫攻坚。</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定点结对帮扶，发动侨界助力脱贫攻坚。</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省侨联定点帮扶郴州市安仁县</w:t>
            </w:r>
            <w:r>
              <w:rPr>
                <w:rFonts w:hint="eastAsia" w:ascii="仿宋_GB2312" w:hAnsi="仿宋_GB2312" w:eastAsia="仿宋_GB2312" w:cs="仿宋_GB2312"/>
                <w:color w:val="000000" w:themeColor="text1"/>
                <w:sz w:val="24"/>
                <w:szCs w:val="24"/>
                <w14:textFill>
                  <w14:solidFill>
                    <w14:schemeClr w14:val="tx1"/>
                  </w14:solidFill>
                </w14:textFill>
              </w:rPr>
              <w:t>赤滩村</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发动省侨商会、省华侨公益基金会等为</w:t>
            </w:r>
            <w:r>
              <w:rPr>
                <w:rFonts w:hint="eastAsia" w:ascii="仿宋_GB2312" w:hAnsi="仿宋_GB2312" w:eastAsia="仿宋_GB2312" w:cs="仿宋_GB2312"/>
                <w:color w:val="000000" w:themeColor="text1"/>
                <w:sz w:val="24"/>
                <w:szCs w:val="24"/>
                <w14:textFill>
                  <w14:solidFill>
                    <w14:schemeClr w14:val="tx1"/>
                  </w14:solidFill>
                </w14:textFill>
              </w:rPr>
              <w:t>赤滩村</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捐款100多万，建设了赤滩小学、农村饮水工程等项目。推进“千侨帮千户”工程，发动侨界助力脱贫攻坚资金累计超过16亿元。</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3</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eastAsia="zh-CN"/>
              </w:rPr>
              <w:t>进一步摸清省直单位归侨侨眷信息，为侨服务。</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eastAsia="zh-CN"/>
              </w:rPr>
              <w:t>进一步摸清省直单位归侨侨眷信息，为侨服务。</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召开</w:t>
            </w:r>
            <w:r>
              <w:rPr>
                <w:rFonts w:hint="eastAsia" w:ascii="仿宋_GB2312" w:hAnsi="仿宋_GB2312" w:eastAsia="仿宋_GB2312" w:cs="仿宋_GB2312"/>
                <w:color w:val="auto"/>
                <w:kern w:val="0"/>
                <w:sz w:val="24"/>
                <w:szCs w:val="24"/>
                <w:lang w:eastAsia="zh-CN"/>
              </w:rPr>
              <w:t>省直单位第五次归侨侨眷代表大会，</w:t>
            </w:r>
            <w:r>
              <w:rPr>
                <w:rFonts w:hint="eastAsia" w:ascii="仿宋_GB2312" w:hAnsi="仿宋_GB2312" w:eastAsia="仿宋_GB2312" w:cs="仿宋_GB2312"/>
                <w:color w:val="auto"/>
                <w:kern w:val="0"/>
                <w:sz w:val="24"/>
                <w:szCs w:val="24"/>
                <w:lang w:val="en-US" w:eastAsia="zh-CN"/>
              </w:rPr>
              <w:t>并</w:t>
            </w:r>
            <w:r>
              <w:rPr>
                <w:rFonts w:hint="eastAsia" w:ascii="仿宋_GB2312" w:hAnsi="仿宋_GB2312" w:eastAsia="仿宋_GB2312" w:cs="仿宋_GB2312"/>
                <w:color w:val="auto"/>
                <w:kern w:val="0"/>
                <w:sz w:val="24"/>
                <w:szCs w:val="24"/>
                <w:lang w:eastAsia="zh-CN"/>
              </w:rPr>
              <w:t>新增省直相关单位归侨侨眷信息2000多人，为紧密联系省直机关的归侨侨眷筑牢基础。</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3</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生态效益指标</w:t>
            </w: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助力同心抗疫。</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同心抗疫，为全球抗疫做出侨界贡献。</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根据海外疫情</w:t>
            </w:r>
            <w:r>
              <w:rPr>
                <w:rFonts w:hint="eastAsia" w:ascii="仿宋_GB2312" w:hAnsi="仿宋_GB2312" w:eastAsia="仿宋_GB2312" w:cs="仿宋_GB2312"/>
                <w:color w:val="000000"/>
                <w:kern w:val="0"/>
                <w:sz w:val="24"/>
                <w:szCs w:val="24"/>
                <w:lang w:val="en"/>
              </w:rPr>
              <w:t>发展</w:t>
            </w:r>
            <w:r>
              <w:rPr>
                <w:rFonts w:hint="eastAsia" w:ascii="仿宋_GB2312" w:hAnsi="仿宋_GB2312" w:eastAsia="仿宋_GB2312" w:cs="仿宋_GB2312"/>
                <w:color w:val="000000"/>
                <w:kern w:val="0"/>
                <w:sz w:val="24"/>
                <w:szCs w:val="24"/>
              </w:rPr>
              <w:t>及</w:t>
            </w:r>
            <w:r>
              <w:rPr>
                <w:rFonts w:hint="eastAsia" w:ascii="仿宋_GB2312" w:hAnsi="仿宋_GB2312" w:eastAsia="仿宋_GB2312" w:cs="仿宋_GB2312"/>
                <w:color w:val="000000"/>
                <w:kern w:val="0"/>
                <w:sz w:val="24"/>
                <w:szCs w:val="24"/>
                <w:lang w:val="en"/>
              </w:rPr>
              <w:t>海外侨团</w:t>
            </w:r>
            <w:r>
              <w:rPr>
                <w:rFonts w:hint="eastAsia" w:ascii="仿宋_GB2312" w:hAnsi="仿宋_GB2312" w:eastAsia="仿宋_GB2312" w:cs="仿宋_GB2312"/>
                <w:color w:val="000000"/>
                <w:kern w:val="0"/>
                <w:sz w:val="24"/>
                <w:szCs w:val="24"/>
              </w:rPr>
              <w:t>前期支持捐赠情况，代表省委</w:t>
            </w:r>
            <w:r>
              <w:rPr>
                <w:rFonts w:hint="eastAsia" w:ascii="仿宋_GB2312" w:hAnsi="仿宋_GB2312" w:eastAsia="仿宋_GB2312" w:cs="仿宋_GB2312"/>
                <w:color w:val="000000"/>
                <w:kern w:val="0"/>
                <w:sz w:val="24"/>
                <w:szCs w:val="24"/>
                <w:lang w:val="en"/>
              </w:rPr>
              <w:t>省政府</w:t>
            </w:r>
            <w:r>
              <w:rPr>
                <w:rFonts w:hint="eastAsia" w:ascii="仿宋_GB2312" w:hAnsi="仿宋_GB2312" w:eastAsia="仿宋_GB2312" w:cs="仿宋_GB2312"/>
                <w:color w:val="auto"/>
                <w:kern w:val="0"/>
                <w:sz w:val="24"/>
                <w:szCs w:val="24"/>
                <w:lang w:val="en" w:eastAsia="zh-CN"/>
              </w:rPr>
              <w:t>及组织全省侨联系统</w:t>
            </w:r>
            <w:r>
              <w:rPr>
                <w:rFonts w:hint="eastAsia" w:ascii="仿宋_GB2312" w:hAnsi="仿宋_GB2312" w:eastAsia="仿宋_GB2312" w:cs="仿宋_GB2312"/>
                <w:color w:val="auto"/>
                <w:kern w:val="0"/>
                <w:sz w:val="24"/>
                <w:szCs w:val="24"/>
              </w:rPr>
              <w:t>向</w:t>
            </w:r>
            <w:r>
              <w:rPr>
                <w:rFonts w:hint="eastAsia" w:ascii="仿宋_GB2312" w:hAnsi="仿宋_GB2312" w:eastAsia="仿宋_GB2312" w:cs="仿宋_GB2312"/>
                <w:color w:val="000000"/>
                <w:kern w:val="0"/>
                <w:sz w:val="24"/>
                <w:szCs w:val="24"/>
              </w:rPr>
              <w:t>海外40多个国家和地区湘籍侨团侨胞捐赠抗疫物资1000余万元。</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3</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助力美丽乡村建设和生态环境治理</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助</w:t>
            </w:r>
            <w:r>
              <w:rPr>
                <w:rFonts w:hint="eastAsia" w:ascii="仿宋_GB2312" w:hAnsi="仿宋_GB2312" w:eastAsia="仿宋_GB2312" w:cs="仿宋_GB2312"/>
                <w:color w:val="000000" w:themeColor="text1"/>
                <w:sz w:val="24"/>
                <w:szCs w:val="24"/>
                <w:lang w:eastAsia="zh-CN"/>
                <w14:textFill>
                  <w14:solidFill>
                    <w14:schemeClr w14:val="tx1"/>
                  </w14:solidFill>
                </w14:textFill>
              </w:rPr>
              <w:t>力</w:t>
            </w:r>
            <w:r>
              <w:rPr>
                <w:rFonts w:hint="eastAsia" w:ascii="仿宋_GB2312" w:hAnsi="仿宋_GB2312" w:eastAsia="仿宋_GB2312" w:cs="仿宋_GB2312"/>
                <w:color w:val="000000" w:themeColor="text1"/>
                <w:sz w:val="24"/>
                <w:szCs w:val="24"/>
                <w14:textFill>
                  <w14:solidFill>
                    <w14:schemeClr w14:val="tx1"/>
                  </w14:solidFill>
                </w14:textFill>
              </w:rPr>
              <w:t>美丽乡村建设，争取资金用于省侨联定点扶贫村赤滩村的生态旅游项目开发和农村饮水工程等项目建设，提升人居环境质量，推动生态环境持续改善。</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争取资金142万元用于赤滩村“小桂林”旅游景区项目建设，改善良乡村容貌，推动生态环境质量持续提升。争取财政、水利、交通等部门上百万资金支持，用于入村道路拓宽、农村饮水工程等项目建设，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成功创建省级同心美丽乡村</w:t>
            </w: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3</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695"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65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可持续影响指标</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举办</w:t>
            </w:r>
            <w:r>
              <w:rPr>
                <w:rFonts w:hint="eastAsia" w:ascii="仿宋_GB2312" w:hAnsi="仿宋_GB2312" w:eastAsia="仿宋_GB2312" w:cs="仿宋_GB2312"/>
                <w:sz w:val="24"/>
                <w:szCs w:val="24"/>
              </w:rPr>
              <w:t>基层侨联干部培训班</w:t>
            </w:r>
            <w:r>
              <w:rPr>
                <w:rFonts w:hint="eastAsia" w:ascii="仿宋_GB2312" w:hAnsi="仿宋_GB2312" w:eastAsia="仿宋_GB2312" w:cs="仿宋_GB2312"/>
                <w:sz w:val="24"/>
                <w:szCs w:val="24"/>
                <w:lang w:eastAsia="zh-CN"/>
              </w:rPr>
              <w:t>。</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举办</w:t>
            </w:r>
            <w:r>
              <w:rPr>
                <w:rFonts w:hint="eastAsia" w:ascii="仿宋_GB2312" w:hAnsi="仿宋_GB2312" w:eastAsia="仿宋_GB2312" w:cs="仿宋_GB2312"/>
                <w:sz w:val="24"/>
                <w:szCs w:val="24"/>
              </w:rPr>
              <w:t>基层侨联干部培训班</w:t>
            </w:r>
            <w:r>
              <w:rPr>
                <w:rFonts w:hint="eastAsia" w:ascii="仿宋_GB2312" w:hAnsi="仿宋_GB2312" w:eastAsia="仿宋_GB2312" w:cs="仿宋_GB2312"/>
                <w:sz w:val="24"/>
                <w:szCs w:val="24"/>
                <w:lang w:eastAsia="zh-CN"/>
              </w:rPr>
              <w:t>。</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举办</w:t>
            </w:r>
            <w:r>
              <w:rPr>
                <w:rFonts w:hint="eastAsia" w:ascii="仿宋_GB2312" w:hAnsi="仿宋_GB2312" w:eastAsia="仿宋_GB2312" w:cs="仿宋_GB2312"/>
                <w:sz w:val="24"/>
                <w:szCs w:val="24"/>
              </w:rPr>
              <w:t>基层侨联干部培训班</w:t>
            </w:r>
            <w:r>
              <w:rPr>
                <w:rFonts w:hint="eastAsia" w:ascii="仿宋_GB2312" w:hAnsi="仿宋_GB2312" w:eastAsia="仿宋_GB2312" w:cs="仿宋_GB2312"/>
                <w:sz w:val="24"/>
                <w:szCs w:val="24"/>
                <w:lang w:eastAsia="zh-CN"/>
              </w:rPr>
              <w:t>。</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3</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54"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3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val="en-US" w:eastAsia="zh-CN"/>
              </w:rPr>
              <w:t>推动涉侨纠纷调解工作规范化、常态化。</w:t>
            </w:r>
          </w:p>
        </w:tc>
        <w:tc>
          <w:tcPr>
            <w:tcW w:w="177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val="en-US" w:eastAsia="zh-CN"/>
              </w:rPr>
              <w:t>妥善处理涉侨纠纷、建立多元化纠纷解决机制。</w:t>
            </w:r>
          </w:p>
        </w:tc>
        <w:tc>
          <w:tcPr>
            <w:tcW w:w="203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val="en-US" w:eastAsia="zh-CN"/>
              </w:rPr>
              <w:t>成立湖南省侨联ADR调解中心。鼓励归侨、侨胞、侨眷利用以调解为代表的替代性纠纷解决机制来化解矛盾、消除纠纷。</w:t>
            </w:r>
          </w:p>
        </w:tc>
        <w:tc>
          <w:tcPr>
            <w:tcW w:w="6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w:t>
            </w:r>
          </w:p>
        </w:tc>
        <w:tc>
          <w:tcPr>
            <w:tcW w:w="9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3</w:t>
            </w: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695" w:type="dxa"/>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满意度指标</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（10分）</w:t>
            </w:r>
          </w:p>
        </w:tc>
        <w:tc>
          <w:tcPr>
            <w:tcW w:w="654" w:type="dxa"/>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服务对象满意度指标</w:t>
            </w:r>
          </w:p>
        </w:tc>
        <w:tc>
          <w:tcPr>
            <w:tcW w:w="13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依法维护侨益。</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依法做好维权工作。通过官网、官微</w:t>
            </w:r>
            <w:r>
              <w:rPr>
                <w:rFonts w:hint="eastAsia" w:ascii="仿宋_GB2312" w:hAnsi="仿宋_GB2312" w:eastAsia="仿宋_GB2312" w:cs="仿宋_GB2312"/>
                <w:sz w:val="24"/>
                <w:szCs w:val="24"/>
              </w:rPr>
              <w:t>进行侨务理论、涉侨政策法规宣传</w:t>
            </w:r>
            <w:r>
              <w:rPr>
                <w:rFonts w:hint="eastAsia" w:ascii="仿宋_GB2312" w:hAnsi="仿宋_GB2312" w:eastAsia="仿宋_GB2312" w:cs="仿宋_GB2312"/>
                <w:sz w:val="24"/>
                <w:szCs w:val="24"/>
                <w:lang w:eastAsia="zh-CN"/>
              </w:rPr>
              <w:t>。组织侨联工作人员学法及通过考试。服务对象满意度高。</w:t>
            </w:r>
          </w:p>
        </w:tc>
        <w:tc>
          <w:tcPr>
            <w:tcW w:w="20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进行侨务理论、涉侨政策法规宣传，开展普法进社区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高校活动，召开《侨法》颁布30周年座谈会</w:t>
            </w:r>
            <w:r>
              <w:rPr>
                <w:rFonts w:hint="eastAsia" w:ascii="仿宋_GB2312" w:hAnsi="仿宋_GB2312" w:eastAsia="仿宋_GB2312" w:cs="仿宋_GB2312"/>
                <w:sz w:val="24"/>
                <w:szCs w:val="24"/>
                <w:lang w:eastAsia="zh-CN"/>
              </w:rPr>
              <w:t>。接访对象满意度高。</w:t>
            </w:r>
          </w:p>
        </w:tc>
        <w:tc>
          <w:tcPr>
            <w:tcW w:w="61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752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总分</w:t>
            </w:r>
          </w:p>
        </w:tc>
        <w:tc>
          <w:tcPr>
            <w:tcW w:w="61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99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100</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r>
    </w:tbl>
    <w:p>
      <w:pPr>
        <w:spacing w:line="600" w:lineRule="exac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填表人：</w:t>
      </w:r>
      <w:r>
        <w:rPr>
          <w:rFonts w:hint="eastAsia" w:ascii="仿宋_GB2312" w:eastAsia="仿宋_GB2312"/>
          <w:kern w:val="0"/>
          <w:szCs w:val="21"/>
          <w:lang w:eastAsia="zh-CN"/>
        </w:rPr>
        <w:t>尹湘湘</w:t>
      </w:r>
      <w:r>
        <w:rPr>
          <w:rFonts w:ascii="Times New Roman" w:hAnsi="Times New Roman" w:eastAsia="仿宋_GB2312" w:cs="Times New Roman"/>
          <w:kern w:val="0"/>
          <w:szCs w:val="21"/>
        </w:rPr>
        <w:t xml:space="preserve">  填报日期：</w:t>
      </w:r>
      <w:r>
        <w:rPr>
          <w:rFonts w:hint="eastAsia" w:ascii="仿宋_GB2312" w:hAnsi="仿宋_GB2312" w:eastAsia="仿宋_GB2312" w:cs="仿宋_GB2312"/>
          <w:kern w:val="0"/>
          <w:sz w:val="22"/>
          <w:lang w:val="en-US" w:eastAsia="zh-CN"/>
        </w:rPr>
        <w:t>2021.5.17</w:t>
      </w:r>
      <w:r>
        <w:rPr>
          <w:rFonts w:ascii="Times New Roman" w:hAnsi="Times New Roman" w:eastAsia="仿宋_GB2312" w:cs="Times New Roman"/>
          <w:kern w:val="0"/>
          <w:szCs w:val="21"/>
        </w:rPr>
        <w:t xml:space="preserve">   联系电话：</w:t>
      </w:r>
      <w:r>
        <w:rPr>
          <w:rFonts w:hint="eastAsia" w:ascii="仿宋_GB2312" w:eastAsia="仿宋_GB2312"/>
          <w:kern w:val="0"/>
          <w:szCs w:val="21"/>
          <w:lang w:val="en-US" w:eastAsia="zh-CN"/>
        </w:rPr>
        <w:t>84448623</w:t>
      </w:r>
      <w:r>
        <w:rPr>
          <w:rFonts w:ascii="Times New Roman" w:hAnsi="Times New Roman" w:eastAsia="仿宋_GB2312" w:cs="Times New Roman"/>
          <w:kern w:val="0"/>
          <w:szCs w:val="21"/>
        </w:rPr>
        <w:t xml:space="preserve">    单位负责人签字：</w:t>
      </w:r>
      <w:r>
        <w:rPr>
          <w:rFonts w:hint="eastAsia" w:ascii="Times New Roman" w:hAnsi="Times New Roman" w:eastAsia="仿宋_GB2312" w:cs="Times New Roman"/>
          <w:kern w:val="0"/>
          <w:szCs w:val="21"/>
          <w:lang w:val="en-US" w:eastAsia="zh-CN"/>
        </w:rPr>
        <w:t>黄芳</w:t>
      </w:r>
    </w:p>
    <w:p>
      <w:pPr>
        <w:spacing w:line="600" w:lineRule="exact"/>
        <w:rPr>
          <w:rFonts w:ascii="Times New Roman" w:hAnsi="Times New Roman" w:eastAsia="仿宋_GB2312" w:cs="Times New Roman"/>
          <w:kern w:val="0"/>
          <w:szCs w:val="21"/>
        </w:rPr>
      </w:pPr>
    </w:p>
    <w:p>
      <w:pPr>
        <w:spacing w:line="600" w:lineRule="exact"/>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p>
      <w:pPr>
        <w:rPr>
          <w:rFonts w:ascii="Times New Roman" w:hAnsi="Times New Roman" w:eastAsia="仿宋_GB2312" w:cs="Times New Roman"/>
          <w:kern w:val="0"/>
          <w:szCs w:val="21"/>
        </w:rPr>
      </w:pPr>
    </w:p>
    <w:p>
      <w:pPr>
        <w:pStyle w:val="2"/>
        <w:rPr>
          <w:rFonts w:ascii="Times New Roman" w:hAnsi="Times New Roman" w:eastAsia="仿宋_GB2312" w:cs="Times New Roman"/>
          <w:kern w:val="0"/>
          <w:szCs w:val="21"/>
        </w:rPr>
      </w:pPr>
    </w:p>
    <w:p>
      <w:pPr>
        <w:rPr>
          <w:rFonts w:ascii="Times New Roman" w:hAnsi="Times New Roman" w:eastAsia="仿宋_GB2312" w:cs="Times New Roman"/>
          <w:kern w:val="0"/>
          <w:szCs w:val="21"/>
        </w:rPr>
      </w:pPr>
    </w:p>
    <w:p>
      <w:pPr>
        <w:pStyle w:val="2"/>
      </w:pPr>
    </w:p>
    <w:p>
      <w:pPr>
        <w:widowControl/>
        <w:spacing w:line="600" w:lineRule="exact"/>
        <w:jc w:val="left"/>
        <w:rPr>
          <w:rFonts w:ascii="Times New Roman" w:hAnsi="Times New Roman" w:eastAsia="黑体" w:cs="Times New Roman"/>
          <w:sz w:val="32"/>
          <w:szCs w:val="32"/>
        </w:rPr>
      </w:pPr>
    </w:p>
    <w:p>
      <w:pPr>
        <w:widowControl/>
        <w:spacing w:line="600" w:lineRule="exact"/>
        <w:jc w:val="left"/>
        <w:rPr>
          <w:rFonts w:ascii="Times New Roman" w:hAnsi="Times New Roman" w:eastAsia="黑体" w:cs="Times New Roman"/>
          <w:sz w:val="32"/>
          <w:szCs w:val="32"/>
        </w:rPr>
      </w:pPr>
    </w:p>
    <w:p>
      <w:pPr>
        <w:widowControl/>
        <w:spacing w:line="600" w:lineRule="exact"/>
        <w:jc w:val="left"/>
        <w:rPr>
          <w:rFonts w:ascii="Times New Roman" w:hAnsi="Times New Roman" w:eastAsia="黑体" w:cs="Times New Roman"/>
          <w:sz w:val="32"/>
          <w:szCs w:val="32"/>
        </w:rPr>
      </w:pPr>
    </w:p>
    <w:p>
      <w:pPr>
        <w:widowControl/>
        <w:spacing w:line="600" w:lineRule="exact"/>
        <w:jc w:val="left"/>
        <w:rPr>
          <w:rFonts w:ascii="Times New Roman" w:hAnsi="Times New Roman" w:eastAsia="黑体" w:cs="Times New Roman"/>
          <w:sz w:val="32"/>
          <w:szCs w:val="32"/>
        </w:rPr>
      </w:pPr>
    </w:p>
    <w:p>
      <w:pPr>
        <w:widowControl/>
        <w:spacing w:line="600" w:lineRule="exact"/>
        <w:jc w:val="lef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widowControl/>
        <w:spacing w:line="600" w:lineRule="exact"/>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2020年度项目支出绩效自评表</w:t>
      </w:r>
    </w:p>
    <w:tbl>
      <w:tblPr>
        <w:tblStyle w:val="8"/>
        <w:tblW w:w="9851" w:type="dxa"/>
        <w:jc w:val="center"/>
        <w:tblInd w:w="0" w:type="dxa"/>
        <w:tblLayout w:type="fixed"/>
        <w:tblCellMar>
          <w:top w:w="0" w:type="dxa"/>
          <w:left w:w="108" w:type="dxa"/>
          <w:bottom w:w="0" w:type="dxa"/>
          <w:right w:w="108" w:type="dxa"/>
        </w:tblCellMar>
      </w:tblPr>
      <w:tblGrid>
        <w:gridCol w:w="1049"/>
        <w:gridCol w:w="775"/>
        <w:gridCol w:w="736"/>
        <w:gridCol w:w="1201"/>
        <w:gridCol w:w="1581"/>
        <w:gridCol w:w="1855"/>
        <w:gridCol w:w="763"/>
        <w:gridCol w:w="887"/>
        <w:gridCol w:w="1004"/>
      </w:tblGrid>
      <w:tr>
        <w:tblPrEx>
          <w:tblLayout w:type="fixed"/>
          <w:tblCellMar>
            <w:top w:w="0" w:type="dxa"/>
            <w:left w:w="108" w:type="dxa"/>
            <w:bottom w:w="0" w:type="dxa"/>
            <w:right w:w="108" w:type="dxa"/>
          </w:tblCellMar>
        </w:tblPrEx>
        <w:trPr>
          <w:jc w:val="center"/>
        </w:trPr>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项目支</w:t>
            </w:r>
          </w:p>
          <w:p>
            <w:pPr>
              <w:widowControl/>
              <w:spacing w:line="26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出名称</w:t>
            </w:r>
          </w:p>
        </w:tc>
        <w:tc>
          <w:tcPr>
            <w:tcW w:w="8802"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lang w:eastAsia="zh-CN"/>
              </w:rPr>
              <w:t>运行维护经费</w:t>
            </w:r>
            <w:r>
              <w:rPr>
                <w:rFonts w:hint="eastAsia" w:ascii="仿宋_GB2312" w:hAnsi="宋体" w:eastAsia="仿宋_GB2312" w:cs="宋体"/>
                <w:color w:val="000000"/>
                <w:kern w:val="0"/>
                <w:szCs w:val="21"/>
              </w:rPr>
              <w:t>　</w:t>
            </w: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主管部门</w:t>
            </w:r>
          </w:p>
        </w:tc>
        <w:tc>
          <w:tcPr>
            <w:tcW w:w="4293"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85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实施单位</w:t>
            </w:r>
          </w:p>
        </w:tc>
        <w:tc>
          <w:tcPr>
            <w:tcW w:w="265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仿宋_GB2312" w:hAnsi="宋体" w:eastAsia="仿宋_GB2312" w:cs="宋体"/>
                <w:color w:val="000000"/>
                <w:kern w:val="0"/>
                <w:szCs w:val="21"/>
                <w:lang w:eastAsia="zh-CN"/>
              </w:rPr>
              <w:t>湖南省归国华侨联合会</w:t>
            </w:r>
          </w:p>
        </w:tc>
      </w:tr>
      <w:tr>
        <w:tblPrEx>
          <w:tblLayout w:type="fixed"/>
          <w:tblCellMar>
            <w:top w:w="0" w:type="dxa"/>
            <w:left w:w="108" w:type="dxa"/>
            <w:bottom w:w="0" w:type="dxa"/>
            <w:right w:w="108" w:type="dxa"/>
          </w:tblCellMar>
        </w:tblPrEx>
        <w:trPr>
          <w:jc w:val="center"/>
        </w:trPr>
        <w:tc>
          <w:tcPr>
            <w:tcW w:w="10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项目资金</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（万元）</w:t>
            </w:r>
          </w:p>
        </w:tc>
        <w:tc>
          <w:tcPr>
            <w:tcW w:w="151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年初</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预算数</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全年</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预算数</w:t>
            </w:r>
          </w:p>
        </w:tc>
        <w:tc>
          <w:tcPr>
            <w:tcW w:w="185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全年</w:t>
            </w:r>
          </w:p>
          <w:p>
            <w:pPr>
              <w:jc w:val="center"/>
              <w:rPr>
                <w:rFonts w:ascii="Times New Roman" w:hAnsi="Times New Roman" w:eastAsia="仿宋_GB2312" w:cs="Times New Roman"/>
                <w:szCs w:val="21"/>
              </w:rPr>
            </w:pPr>
            <w:r>
              <w:rPr>
                <w:rFonts w:ascii="Times New Roman" w:hAnsi="Times New Roman" w:eastAsia="仿宋_GB2312" w:cs="Times New Roman"/>
                <w:szCs w:val="21"/>
              </w:rPr>
              <w:t>执行数</w:t>
            </w:r>
          </w:p>
        </w:tc>
        <w:tc>
          <w:tcPr>
            <w:tcW w:w="76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分值</w:t>
            </w:r>
          </w:p>
        </w:tc>
        <w:tc>
          <w:tcPr>
            <w:tcW w:w="88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执行率</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得分</w:t>
            </w:r>
          </w:p>
        </w:tc>
      </w:tr>
      <w:tr>
        <w:tblPrEx>
          <w:tblLayout w:type="fixed"/>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151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年度资金总额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365.32</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367.49</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349.18</w:t>
            </w:r>
          </w:p>
        </w:tc>
        <w:tc>
          <w:tcPr>
            <w:tcW w:w="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95.02%</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w:t>
            </w:r>
          </w:p>
        </w:tc>
      </w:tr>
      <w:tr>
        <w:tblPrEx>
          <w:tblLayout w:type="fixed"/>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151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其中：当年财政拨款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365.32</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366.32</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348.14</w:t>
            </w:r>
          </w:p>
        </w:tc>
        <w:tc>
          <w:tcPr>
            <w:tcW w:w="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257" w:hRule="atLeast"/>
          <w:jc w:val="center"/>
        </w:trPr>
        <w:tc>
          <w:tcPr>
            <w:tcW w:w="10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151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上年结转资金　</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1.17</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1.04</w:t>
            </w:r>
          </w:p>
        </w:tc>
        <w:tc>
          <w:tcPr>
            <w:tcW w:w="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151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其他资金</w:t>
            </w:r>
          </w:p>
        </w:tc>
        <w:tc>
          <w:tcPr>
            <w:tcW w:w="120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年度总体目标</w:t>
            </w:r>
          </w:p>
        </w:tc>
        <w:tc>
          <w:tcPr>
            <w:tcW w:w="429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预期目标</w:t>
            </w:r>
          </w:p>
        </w:tc>
        <w:tc>
          <w:tcPr>
            <w:tcW w:w="450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实际完成情况　</w:t>
            </w:r>
          </w:p>
        </w:tc>
      </w:tr>
      <w:tr>
        <w:tblPrEx>
          <w:tblLayout w:type="fixed"/>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4293" w:type="dxa"/>
            <w:gridSpan w:val="4"/>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依据侨联章程履行服务经济发展、依法维护侨益、拓展海外联谊、积极参政议政、弘扬中华文化、参与社会建设等基本职能，积极做好招商引资引智、维权事业、文化交流、海外联谊等工作，为继续发挥侨联优势，密切联系海外侨胞，为富饶美丽幸福新湖南建设凝聚更多力量。</w:t>
            </w:r>
            <w:r>
              <w:rPr>
                <w:rFonts w:hint="eastAsia" w:ascii="仿宋_GB2312" w:hAnsi="仿宋_GB2312" w:eastAsia="仿宋_GB2312" w:cs="仿宋_GB2312"/>
              </w:rPr>
              <w:t>坚决贯彻中央、省委关于侨联工作的指示精神，积极担当作为，充分发挥桥梁纽带作用，</w:t>
            </w:r>
            <w:r>
              <w:rPr>
                <w:rFonts w:hint="eastAsia" w:ascii="仿宋_GB2312" w:hAnsi="仿宋_GB2312" w:eastAsia="仿宋_GB2312" w:cs="仿宋_GB2312"/>
                <w:lang w:eastAsia="zh-CN"/>
              </w:rPr>
              <w:t>全面完成省侨联</w:t>
            </w:r>
            <w:r>
              <w:rPr>
                <w:rFonts w:hint="eastAsia" w:ascii="仿宋_GB2312" w:hAnsi="仿宋_GB2312" w:eastAsia="仿宋_GB2312" w:cs="仿宋_GB2312"/>
                <w:lang w:val="en-US" w:eastAsia="zh-CN"/>
              </w:rPr>
              <w:t>2020</w:t>
            </w:r>
            <w:r>
              <w:rPr>
                <w:rFonts w:hint="eastAsia" w:ascii="仿宋_GB2312" w:hAnsi="仿宋_GB2312" w:eastAsia="仿宋_GB2312" w:cs="仿宋_GB2312"/>
                <w:lang w:eastAsia="zh-CN"/>
              </w:rPr>
              <w:t>年工作要点确定的各项重点工作。</w:t>
            </w:r>
            <w:r>
              <w:rPr>
                <w:rFonts w:ascii="Times New Roman" w:hAnsi="Times New Roman" w:eastAsia="仿宋_GB2312" w:cs="Times New Roman"/>
                <w:color w:val="000000"/>
                <w:kern w:val="0"/>
                <w:szCs w:val="21"/>
              </w:rPr>
              <w:t>　　</w:t>
            </w:r>
          </w:p>
        </w:tc>
        <w:tc>
          <w:tcPr>
            <w:tcW w:w="450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ascii="Times New Roman" w:hAnsi="Times New Roman" w:eastAsia="仿宋_GB2312" w:cs="Times New Roman"/>
                <w:color w:val="000000"/>
                <w:kern w:val="0"/>
                <w:szCs w:val="21"/>
              </w:rPr>
              <w:t>　</w:t>
            </w:r>
            <w:r>
              <w:rPr>
                <w:rFonts w:hint="eastAsia" w:ascii="仿宋_GB2312" w:hAnsi="宋体" w:eastAsia="仿宋_GB2312" w:cs="宋体"/>
                <w:color w:val="000000"/>
                <w:kern w:val="0"/>
                <w:szCs w:val="21"/>
              </w:rPr>
              <w:t>我会</w:t>
            </w:r>
            <w:r>
              <w:rPr>
                <w:rFonts w:hint="eastAsia" w:ascii="仿宋_GB2312" w:hAnsi="宋体" w:eastAsia="仿宋_GB2312" w:cs="宋体"/>
                <w:color w:val="000000"/>
                <w:kern w:val="0"/>
                <w:szCs w:val="21"/>
                <w:lang w:eastAsia="zh-CN"/>
              </w:rPr>
              <w:t>的运行维护经费</w:t>
            </w:r>
            <w:r>
              <w:rPr>
                <w:rFonts w:hint="eastAsia" w:ascii="仿宋_GB2312" w:hAnsi="宋体" w:eastAsia="仿宋_GB2312" w:cs="宋体"/>
                <w:color w:val="000000"/>
                <w:kern w:val="0"/>
                <w:szCs w:val="21"/>
              </w:rPr>
              <w:t>支出</w:t>
            </w:r>
            <w:r>
              <w:rPr>
                <w:rFonts w:hint="eastAsia" w:ascii="仿宋_GB2312" w:hAnsi="宋体" w:eastAsia="仿宋_GB2312" w:cs="宋体"/>
                <w:color w:val="000000"/>
                <w:kern w:val="0"/>
                <w:szCs w:val="21"/>
                <w:lang w:eastAsia="zh-CN"/>
              </w:rPr>
              <w:t>紧紧</w:t>
            </w:r>
            <w:r>
              <w:rPr>
                <w:rFonts w:hint="eastAsia" w:ascii="仿宋_GB2312" w:hAnsi="宋体" w:eastAsia="仿宋_GB2312" w:cs="宋体"/>
                <w:color w:val="000000"/>
                <w:kern w:val="0"/>
                <w:szCs w:val="21"/>
              </w:rPr>
              <w:t>围绕让</w:t>
            </w:r>
            <w:r>
              <w:rPr>
                <w:rFonts w:hint="eastAsia" w:ascii="仿宋_GB2312" w:hAnsi="宋体" w:eastAsia="仿宋_GB2312" w:cs="宋体"/>
                <w:color w:val="000000"/>
                <w:kern w:val="0"/>
                <w:szCs w:val="21"/>
                <w:lang w:eastAsia="zh-CN"/>
              </w:rPr>
              <w:t>机关运行维护更高效，自身建设稳步发展更有后盾支持</w:t>
            </w:r>
            <w:r>
              <w:rPr>
                <w:rFonts w:hint="eastAsia" w:ascii="仿宋_GB2312" w:hAnsi="宋体" w:eastAsia="仿宋_GB2312" w:cs="宋体"/>
                <w:color w:val="000000"/>
                <w:kern w:val="0"/>
                <w:szCs w:val="21"/>
              </w:rPr>
              <w:t>开展工作</w:t>
            </w:r>
            <w:r>
              <w:rPr>
                <w:rFonts w:hint="eastAsia" w:ascii="仿宋_GB2312" w:hAnsi="宋体" w:eastAsia="仿宋_GB2312" w:cs="宋体"/>
                <w:color w:val="000000"/>
                <w:kern w:val="0"/>
                <w:szCs w:val="21"/>
                <w:lang w:eastAsia="zh-CN"/>
              </w:rPr>
              <w:t>，全年取得了较好成效。</w:t>
            </w:r>
          </w:p>
          <w:p>
            <w:pPr>
              <w:widowControl/>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49"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77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一级指标</w:t>
            </w:r>
          </w:p>
        </w:tc>
        <w:tc>
          <w:tcPr>
            <w:tcW w:w="7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二级指标</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三级指标</w:t>
            </w:r>
          </w:p>
        </w:tc>
        <w:tc>
          <w:tcPr>
            <w:tcW w:w="15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指标值</w:t>
            </w:r>
          </w:p>
        </w:tc>
        <w:tc>
          <w:tcPr>
            <w:tcW w:w="18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完成值</w:t>
            </w:r>
          </w:p>
        </w:tc>
        <w:tc>
          <w:tcPr>
            <w:tcW w:w="7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分值</w:t>
            </w:r>
          </w:p>
        </w:tc>
        <w:tc>
          <w:tcPr>
            <w:tcW w:w="8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得分</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偏差原因分析及改进措施</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产出指标</w:t>
            </w:r>
          </w:p>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(50分)</w:t>
            </w:r>
          </w:p>
        </w:tc>
        <w:tc>
          <w:tcPr>
            <w:tcW w:w="736"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数量指标</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推进党建带侨建。</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sz w:val="24"/>
                <w:szCs w:val="24"/>
                <w:lang w:eastAsia="zh-CN"/>
              </w:rPr>
              <w:t>多方联动，</w:t>
            </w:r>
            <w:r>
              <w:rPr>
                <w:rFonts w:hint="eastAsia" w:ascii="仿宋_GB2312" w:hAnsi="仿宋_GB2312" w:eastAsia="仿宋_GB2312" w:cs="仿宋_GB2312"/>
                <w:sz w:val="24"/>
                <w:szCs w:val="24"/>
              </w:rPr>
              <w:t>共抓高校侨联组织建设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强化责任，落实</w:t>
            </w:r>
            <w:r>
              <w:rPr>
                <w:rFonts w:hint="eastAsia" w:ascii="仿宋_GB2312" w:hAnsi="仿宋_GB2312" w:eastAsia="仿宋_GB2312" w:cs="仿宋_GB2312"/>
                <w:sz w:val="24"/>
                <w:szCs w:val="24"/>
                <w:lang w:eastAsia="zh-CN"/>
              </w:rPr>
              <w:t>好</w:t>
            </w:r>
            <w:r>
              <w:rPr>
                <w:rFonts w:hint="eastAsia" w:ascii="仿宋_GB2312" w:hAnsi="仿宋_GB2312" w:eastAsia="仿宋_GB2312" w:cs="仿宋_GB2312"/>
                <w:sz w:val="24"/>
                <w:szCs w:val="24"/>
              </w:rPr>
              <w:t>基层联系点制度</w:t>
            </w:r>
            <w:r>
              <w:rPr>
                <w:rFonts w:hint="eastAsia" w:ascii="仿宋_GB2312" w:hAnsi="仿宋_GB2312" w:eastAsia="仿宋_GB2312" w:cs="仿宋_GB2312"/>
                <w:sz w:val="24"/>
                <w:szCs w:val="24"/>
                <w:lang w:eastAsia="zh-CN"/>
              </w:rPr>
              <w:t>；在职、兼职侨联干部对口联系14个市州和15所高校侨联组织。</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召开市州侨联主要负责人座谈会，下发《省侨联机关干部直接联系基层侨联组织分工表》，35名在职、兼职侨联干部对口联系14个市州和15所高校侨联组织。</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continue"/>
            <w:tcBorders>
              <w:left w:val="nil"/>
              <w:right w:val="single" w:color="auto" w:sz="4" w:space="0"/>
            </w:tcBorders>
            <w:shd w:val="clear" w:color="auto" w:fill="auto"/>
            <w:vAlign w:val="center"/>
          </w:tcPr>
          <w:p>
            <w:pPr>
              <w:jc w:val="center"/>
              <w:rPr>
                <w:rFonts w:ascii="Times New Roman" w:hAnsi="Times New Roman" w:eastAsia="仿宋_GB2312" w:cs="Times New Roman"/>
                <w:color w:val="000000"/>
                <w:kern w:val="0"/>
                <w:szCs w:val="21"/>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湖南省华侨事务预算专项经费</w:t>
            </w:r>
            <w:r>
              <w:rPr>
                <w:rFonts w:hint="eastAsia" w:ascii="仿宋_GB2312" w:hAnsi="仿宋_GB2312" w:eastAsia="仿宋_GB2312" w:cs="仿宋_GB2312"/>
                <w:color w:val="000000"/>
                <w:kern w:val="0"/>
                <w:sz w:val="24"/>
                <w:szCs w:val="24"/>
                <w:lang w:eastAsia="zh-CN"/>
              </w:rPr>
              <w:t>用于支持基层侨胞之家建设。</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湖南省华侨事务预算专项经费共110万元</w:t>
            </w:r>
            <w:r>
              <w:rPr>
                <w:rFonts w:hint="eastAsia" w:ascii="仿宋_GB2312" w:hAnsi="仿宋_GB2312" w:eastAsia="仿宋_GB2312" w:cs="仿宋_GB2312"/>
                <w:color w:val="auto"/>
                <w:kern w:val="0"/>
                <w:sz w:val="24"/>
                <w:szCs w:val="24"/>
                <w:lang w:eastAsia="zh-CN"/>
              </w:rPr>
              <w:t>，中国侨联支持</w:t>
            </w:r>
            <w:r>
              <w:rPr>
                <w:rFonts w:hint="eastAsia" w:ascii="仿宋_GB2312" w:hAnsi="仿宋_GB2312" w:eastAsia="仿宋_GB2312" w:cs="仿宋_GB2312"/>
                <w:color w:val="auto"/>
                <w:kern w:val="0"/>
                <w:sz w:val="24"/>
                <w:szCs w:val="24"/>
                <w:lang w:val="en-US" w:eastAsia="zh-CN"/>
              </w:rPr>
              <w:t>10万元。</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下拨120万元专项资金支持60个基层侨胞之家建设，与市州建行合作建立了17个“侨胞之家特色服务区”，常德市实现了建行“侨胞之家特色服务区”全覆盖。</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质量指标</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sz w:val="24"/>
                <w:szCs w:val="24"/>
                <w:lang w:eastAsia="zh-CN"/>
              </w:rPr>
              <w:t>做好机关</w:t>
            </w:r>
            <w:r>
              <w:rPr>
                <w:rFonts w:hint="eastAsia" w:ascii="仿宋_GB2312" w:hAnsi="仿宋_GB2312" w:eastAsia="仿宋_GB2312" w:cs="仿宋_GB2312"/>
                <w:sz w:val="24"/>
                <w:szCs w:val="24"/>
              </w:rPr>
              <w:t>综治工作（平安建设）</w:t>
            </w:r>
            <w:r>
              <w:rPr>
                <w:rFonts w:hint="eastAsia" w:ascii="仿宋_GB2312" w:hAnsi="仿宋_GB2312" w:eastAsia="仿宋_GB2312" w:cs="仿宋_GB2312"/>
                <w:sz w:val="24"/>
                <w:szCs w:val="24"/>
                <w:lang w:eastAsia="zh-CN"/>
              </w:rPr>
              <w:t>。</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综治工作考核等次为合格以上。</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综治工作考核等次为合格。</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continue"/>
            <w:tcBorders>
              <w:left w:val="nil"/>
              <w:right w:val="single" w:color="auto" w:sz="4" w:space="0"/>
            </w:tcBorders>
            <w:shd w:val="clear" w:color="auto" w:fill="auto"/>
            <w:vAlign w:val="center"/>
          </w:tcPr>
          <w:p>
            <w:pPr>
              <w:jc w:val="center"/>
              <w:rPr>
                <w:rFonts w:ascii="Times New Roman" w:hAnsi="Times New Roman" w:eastAsia="仿宋_GB2312" w:cs="Times New Roman"/>
                <w:color w:val="000000"/>
                <w:kern w:val="0"/>
                <w:szCs w:val="21"/>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做好创先争优工作。</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加强先进支部建设、鼓励先进集体、先进个人。</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省侨联机关第三党支部被评为全省抗击新冠肺炎疫情先进集体和全省先进基层党组织。</w:t>
            </w:r>
            <w:r>
              <w:rPr>
                <w:rFonts w:hint="eastAsia" w:ascii="仿宋_GB2312" w:hAnsi="仿宋_GB2312" w:eastAsia="仿宋_GB2312" w:cs="仿宋_GB2312"/>
                <w:color w:val="000000"/>
                <w:kern w:val="0"/>
                <w:sz w:val="24"/>
                <w:szCs w:val="24"/>
                <w:lang w:eastAsia="zh-CN"/>
              </w:rPr>
              <w:t>省侨联两名干部被评为中国侨联抗疫先进个人，海外侨社团联谊总会、省侨联青年委员会被评为中国侨联抗疫先进集体。荣获中国侨联</w:t>
            </w:r>
            <w:r>
              <w:rPr>
                <w:rFonts w:hint="eastAsia" w:ascii="仿宋_GB2312" w:hAnsi="仿宋_GB2312" w:eastAsia="仿宋_GB2312" w:cs="仿宋_GB2312"/>
                <w:color w:val="000000"/>
                <w:kern w:val="0"/>
                <w:sz w:val="24"/>
                <w:szCs w:val="24"/>
                <w:lang w:val="en-US" w:eastAsia="zh-CN"/>
              </w:rPr>
              <w:t>2020年度</w:t>
            </w:r>
            <w:r>
              <w:rPr>
                <w:rFonts w:hint="eastAsia" w:ascii="仿宋_GB2312" w:hAnsi="仿宋_GB2312" w:eastAsia="仿宋_GB2312" w:cs="仿宋_GB2312"/>
                <w:color w:val="000000"/>
                <w:kern w:val="0"/>
                <w:sz w:val="24"/>
                <w:szCs w:val="24"/>
                <w:lang w:eastAsia="zh-CN"/>
              </w:rPr>
              <w:t>信息工作二等奖。组织参加全国第八届“中国侨界贡献奖”评选，3名侨界科技人才获评一等奖，3名获评二等奖。</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抓好侨界思想政治引领</w:t>
            </w:r>
            <w:r>
              <w:rPr>
                <w:rFonts w:hint="eastAsia" w:ascii="仿宋_GB2312" w:hAnsi="仿宋_GB2312" w:eastAsia="仿宋_GB2312" w:cs="仿宋_GB2312"/>
                <w:color w:val="auto"/>
                <w:sz w:val="24"/>
                <w:szCs w:val="24"/>
                <w:lang w:eastAsia="zh-CN"/>
              </w:rPr>
              <w:t>。</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抓好意识形态阵地建设，开辟抗疫专题专栏，制作抗疫、战贫宣传片。</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省侨联官网、红网湘侨频道、微信公众号、《湖南侨联》杂志等媒体全面提质，浏览量大增，影响力不断提升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开辟了《共同战“疫”湖南侨界在行动》《海外侨界抗疫人物风采》专题专栏，制作了《万里湘情共抗疫》《万里湘情同扶贫》宣传片、同心抗疫歌曲《生命相依》和一大批抗疫诗歌，鼓舞侨界士气，凝聚侨界力量。</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trHeight w:val="1171" w:hRule="atLeast"/>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时效指标</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定期做好干部队伍能力提升工作。</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本年完成机关内设机构轮岗，做好干部培养、交流工作。</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val="en-US" w:eastAsia="zh-CN"/>
              </w:rPr>
              <w:t>2020年1月，</w:t>
            </w:r>
            <w:r>
              <w:rPr>
                <w:rFonts w:hint="eastAsia" w:ascii="仿宋_GB2312" w:hAnsi="仿宋_GB2312" w:eastAsia="仿宋_GB2312" w:cs="仿宋_GB2312"/>
                <w:sz w:val="24"/>
                <w:szCs w:val="24"/>
              </w:rPr>
              <w:t>为进一步加强侨联干部培养，优化干部队伍结构，按“人岗相适”原则调整8人岗位</w:t>
            </w:r>
            <w:r>
              <w:rPr>
                <w:rFonts w:hint="eastAsia" w:ascii="仿宋_GB2312" w:hAnsi="仿宋_GB2312" w:eastAsia="仿宋_GB2312" w:cs="仿宋_GB2312"/>
                <w:sz w:val="24"/>
                <w:szCs w:val="24"/>
                <w:lang w:eastAsia="zh-CN"/>
              </w:rPr>
              <w:t>。转任 2名干部到省侨联机关任副处长，重用1名驻村扶贫干部任机关副处长，选派1名干部到中国侨联挂职，遴选1名基层侨联干部挂职，敢于担当，有为有位的选人用人导向进一步形成。</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continue"/>
            <w:tcBorders>
              <w:left w:val="nil"/>
              <w:right w:val="single" w:color="auto" w:sz="4" w:space="0"/>
            </w:tcBorders>
            <w:shd w:val="clear" w:color="auto" w:fill="auto"/>
            <w:vAlign w:val="center"/>
          </w:tcPr>
          <w:p>
            <w:pPr>
              <w:jc w:val="center"/>
              <w:rPr>
                <w:rFonts w:ascii="Times New Roman" w:hAnsi="Times New Roman" w:eastAsia="仿宋_GB2312" w:cs="Times New Roman"/>
                <w:color w:val="000000"/>
                <w:kern w:val="0"/>
                <w:szCs w:val="21"/>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定期召开全省高校侨联组织建设工作座谈会。</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eastAsia="zh-CN"/>
              </w:rPr>
              <w:t>本年召开全省高校侨联组织建设工作座谈会。</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联合省委统战部召开全省高校侨联组织建设工作座谈会，明确责任，形成合力。　</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定期召开</w:t>
            </w:r>
            <w:r>
              <w:rPr>
                <w:rFonts w:hint="eastAsia" w:ascii="仿宋_GB2312" w:hAnsi="仿宋_GB2312" w:eastAsia="仿宋_GB2312" w:cs="仿宋_GB2312"/>
                <w:color w:val="auto"/>
                <w:kern w:val="0"/>
                <w:sz w:val="24"/>
                <w:szCs w:val="24"/>
                <w:lang w:eastAsia="zh-CN"/>
              </w:rPr>
              <w:t>省直单位归侨侨眷代表大会。</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eastAsia="zh-CN"/>
              </w:rPr>
              <w:t>召开省直单位第五次归侨侨眷代表大会。</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召开了</w:t>
            </w:r>
            <w:r>
              <w:rPr>
                <w:rFonts w:hint="eastAsia" w:ascii="仿宋_GB2312" w:hAnsi="仿宋_GB2312" w:eastAsia="仿宋_GB2312" w:cs="仿宋_GB2312"/>
                <w:color w:val="auto"/>
                <w:kern w:val="0"/>
                <w:sz w:val="24"/>
                <w:szCs w:val="24"/>
                <w:lang w:eastAsia="zh-CN"/>
              </w:rPr>
              <w:t>省直单位第五次归侨侨眷代表大会，</w:t>
            </w:r>
            <w:r>
              <w:rPr>
                <w:rFonts w:hint="eastAsia" w:ascii="仿宋_GB2312" w:hAnsi="仿宋_GB2312" w:eastAsia="仿宋_GB2312" w:cs="仿宋_GB2312"/>
                <w:color w:val="auto"/>
                <w:kern w:val="0"/>
                <w:sz w:val="24"/>
                <w:szCs w:val="24"/>
                <w:lang w:val="en-US" w:eastAsia="zh-CN"/>
              </w:rPr>
              <w:t>并</w:t>
            </w:r>
            <w:r>
              <w:rPr>
                <w:rFonts w:hint="eastAsia" w:ascii="仿宋_GB2312" w:hAnsi="仿宋_GB2312" w:eastAsia="仿宋_GB2312" w:cs="仿宋_GB2312"/>
                <w:color w:val="auto"/>
                <w:kern w:val="0"/>
                <w:sz w:val="24"/>
                <w:szCs w:val="24"/>
                <w:lang w:eastAsia="zh-CN"/>
              </w:rPr>
              <w:t>新增省直相关单位归侨侨眷信息2000多人。</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成本指标</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按照国有资产配置预算及实物限额标准购置资产。</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按照国有资产配置预算及实物限额标准购置资产。</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按照国有资产配置预算及实物限额标准合理购置资产，厉行节约，盘活用好现有资产。</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rPr>
              <w:t>扶侨帮困资金覆盖范围涉及十四个市州及</w:t>
            </w:r>
            <w:r>
              <w:rPr>
                <w:rFonts w:hint="eastAsia" w:ascii="仿宋_GB2312" w:hAnsi="仿宋_GB2312" w:eastAsia="仿宋_GB2312" w:cs="仿宋_GB2312"/>
                <w:sz w:val="24"/>
                <w:szCs w:val="24"/>
                <w:lang w:eastAsia="zh-CN"/>
              </w:rPr>
              <w:t>大部分</w:t>
            </w:r>
            <w:r>
              <w:rPr>
                <w:rFonts w:hint="eastAsia" w:ascii="仿宋_GB2312" w:hAnsi="仿宋_GB2312" w:eastAsia="仿宋_GB2312" w:cs="仿宋_GB2312"/>
                <w:sz w:val="24"/>
                <w:szCs w:val="24"/>
              </w:rPr>
              <w:t>已成立侨联组织的高校。利用扶侨帮困资金至少慰问侨界困难群众数百人</w:t>
            </w:r>
            <w:r>
              <w:rPr>
                <w:rFonts w:hint="eastAsia" w:ascii="仿宋_GB2312" w:hAnsi="仿宋_GB2312" w:eastAsia="仿宋_GB2312" w:cs="仿宋_GB2312"/>
                <w:sz w:val="24"/>
                <w:szCs w:val="24"/>
                <w:lang w:eastAsia="zh-CN"/>
              </w:rPr>
              <w:t>。</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rPr>
              <w:t>下拨2020年扶侨帮困专项资金</w:t>
            </w:r>
            <w:r>
              <w:rPr>
                <w:rFonts w:hint="eastAsia" w:ascii="仿宋_GB2312" w:hAnsi="仿宋_GB2312" w:eastAsia="仿宋_GB2312" w:cs="仿宋_GB2312"/>
                <w:sz w:val="24"/>
                <w:szCs w:val="24"/>
                <w:lang w:val="en-US" w:eastAsia="zh-CN"/>
              </w:rPr>
              <w:t>88万元</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以</w:t>
            </w:r>
            <w:r>
              <w:rPr>
                <w:rFonts w:hint="eastAsia" w:ascii="仿宋_GB2312" w:hAnsi="仿宋_GB2312" w:eastAsia="仿宋_GB2312" w:cs="仿宋_GB2312"/>
                <w:sz w:val="24"/>
                <w:szCs w:val="24"/>
              </w:rPr>
              <w:t>重点帮扶特困归侨侨眷家庭</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z w:val="24"/>
                <w:szCs w:val="24"/>
              </w:rPr>
              <w:t>走访慰问困难归侨侨眷</w:t>
            </w:r>
            <w:r>
              <w:rPr>
                <w:rFonts w:hint="eastAsia" w:ascii="仿宋_GB2312" w:hAnsi="仿宋_GB2312" w:eastAsia="仿宋_GB2312" w:cs="仿宋_GB2312"/>
                <w:sz w:val="24"/>
                <w:szCs w:val="24"/>
                <w:lang w:eastAsia="zh-CN"/>
              </w:rPr>
              <w:t>的方式，做好侨界困难群众的慰问工作</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日常慰问一次每户</w:t>
            </w:r>
            <w:r>
              <w:rPr>
                <w:rFonts w:hint="eastAsia" w:ascii="仿宋_GB2312" w:hAnsi="仿宋_GB2312" w:eastAsia="仿宋_GB2312" w:cs="仿宋_GB2312"/>
                <w:sz w:val="24"/>
                <w:szCs w:val="24"/>
                <w:lang w:val="en-US" w:eastAsia="zh-CN"/>
              </w:rPr>
              <w:t>500-2000元；重点帮扶对象视情一次性给予每户5000-20000元不等的重点帮扶资金。</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下拨2020年扶侨帮困专项资金，重点帮扶特困归侨侨眷家庭45户，走访慰问困难归侨侨眷家庭500余户。争取中国侨联专项资金10万元，慰问岳阳、常德等5个市州因洪水受灾的</w:t>
            </w:r>
            <w:r>
              <w:rPr>
                <w:rFonts w:hint="eastAsia" w:ascii="仿宋_GB2312" w:hAnsi="仿宋_GB2312" w:eastAsia="仿宋_GB2312" w:cs="仿宋_GB2312"/>
                <w:sz w:val="24"/>
                <w:szCs w:val="24"/>
                <w:lang w:eastAsia="zh-CN"/>
              </w:rPr>
              <w:t>困难</w:t>
            </w:r>
            <w:r>
              <w:rPr>
                <w:rFonts w:hint="eastAsia" w:ascii="仿宋_GB2312" w:hAnsi="仿宋_GB2312" w:eastAsia="仿宋_GB2312" w:cs="仿宋_GB2312"/>
                <w:sz w:val="24"/>
                <w:szCs w:val="24"/>
              </w:rPr>
              <w:t>侨界群众和企业。</w:t>
            </w:r>
          </w:p>
          <w:p>
            <w:pPr>
              <w:widowControl/>
              <w:jc w:val="left"/>
              <w:rPr>
                <w:rFonts w:hint="eastAsia" w:ascii="仿宋_GB2312" w:hAnsi="仿宋_GB2312" w:eastAsia="仿宋_GB2312" w:cs="仿宋_GB2312"/>
                <w:color w:val="000000"/>
                <w:kern w:val="0"/>
                <w:sz w:val="24"/>
                <w:szCs w:val="24"/>
                <w:lang w:val="en-US" w:eastAsia="zh-CN" w:bidi="ar-SA"/>
              </w:rPr>
            </w:pP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c>
          <w:tcPr>
            <w:tcW w:w="736"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restart"/>
            <w:tcBorders>
              <w:top w:val="nil"/>
              <w:left w:val="nil"/>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效益指标</w:t>
            </w: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（30分）</w:t>
            </w:r>
          </w:p>
        </w:tc>
        <w:tc>
          <w:tcPr>
            <w:tcW w:w="736"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经济效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开展“创业中华·兴业湖南”经济科技品牌活动1次</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举办“创业潇湘·智汇星沙”首届星沙海外高层次人才创新创业论坛活动。</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圆满完成。</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4</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4</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continue"/>
            <w:tcBorders>
              <w:left w:val="nil"/>
              <w:right w:val="single" w:color="auto" w:sz="4" w:space="0"/>
            </w:tcBorders>
            <w:shd w:val="clear" w:color="auto" w:fill="auto"/>
            <w:vAlign w:val="center"/>
          </w:tcPr>
          <w:p>
            <w:pPr>
              <w:jc w:val="center"/>
              <w:rPr>
                <w:rFonts w:ascii="Times New Roman" w:hAnsi="Times New Roman" w:eastAsia="仿宋_GB2312" w:cs="Times New Roman"/>
                <w:color w:val="000000"/>
                <w:kern w:val="0"/>
                <w:szCs w:val="21"/>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开展引资引智活动</w:t>
            </w:r>
            <w:r>
              <w:rPr>
                <w:rFonts w:hint="eastAsia" w:ascii="仿宋_GB2312" w:hAnsi="仿宋_GB2312" w:eastAsia="仿宋_GB2312" w:cs="仿宋_GB2312"/>
                <w:color w:val="000000"/>
                <w:kern w:val="0"/>
                <w:sz w:val="24"/>
                <w:szCs w:val="24"/>
                <w:lang w:val="en-US" w:eastAsia="zh-CN"/>
              </w:rPr>
              <w:t>1次</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举办“侨系张家界”招商引资引智活动</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联合致公党湖南省委等举办第七届海归论坛</w:t>
            </w:r>
            <w:r>
              <w:rPr>
                <w:rFonts w:hint="eastAsia" w:ascii="仿宋_GB2312" w:hAnsi="仿宋_GB2312" w:eastAsia="仿宋_GB2312" w:cs="仿宋_GB2312"/>
                <w:color w:val="000000"/>
                <w:kern w:val="0"/>
                <w:sz w:val="24"/>
                <w:szCs w:val="24"/>
                <w:lang w:eastAsia="zh-CN"/>
              </w:rPr>
              <w:t>。</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圆满完成，现场签约3个项目。</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4</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4</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社会效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不断擦亮“慈善中华·爱心湖南”品牌</w:t>
            </w:r>
            <w:r>
              <w:rPr>
                <w:rFonts w:hint="eastAsia" w:ascii="仿宋_GB2312" w:hAnsi="仿宋_GB2312" w:eastAsia="仿宋_GB2312" w:cs="仿宋_GB2312"/>
                <w:sz w:val="24"/>
                <w:szCs w:val="24"/>
                <w:lang w:eastAsia="zh-CN"/>
              </w:rPr>
              <w:t>，助</w:t>
            </w:r>
            <w:r>
              <w:rPr>
                <w:rFonts w:hint="eastAsia" w:ascii="仿宋_GB2312" w:hAnsi="仿宋_GB2312" w:eastAsia="仿宋_GB2312" w:cs="仿宋_GB2312"/>
                <w:sz w:val="24"/>
                <w:szCs w:val="24"/>
              </w:rPr>
              <w:t>力扶贫帮困</w:t>
            </w:r>
            <w:r>
              <w:rPr>
                <w:rFonts w:hint="eastAsia" w:ascii="仿宋_GB2312" w:hAnsi="仿宋_GB2312" w:eastAsia="仿宋_GB2312" w:cs="仿宋_GB2312"/>
                <w:sz w:val="24"/>
                <w:szCs w:val="24"/>
                <w:lang w:eastAsia="zh-CN"/>
              </w:rPr>
              <w:t>。</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全省各级侨联扎实推进驻村帮扶</w:t>
            </w:r>
            <w:r>
              <w:rPr>
                <w:rFonts w:hint="eastAsia" w:ascii="仿宋_GB2312" w:hAnsi="仿宋_GB2312" w:eastAsia="仿宋_GB2312" w:cs="仿宋_GB2312"/>
                <w:sz w:val="24"/>
                <w:szCs w:val="24"/>
                <w:lang w:eastAsia="zh-CN"/>
              </w:rPr>
              <w:t>工作；</w:t>
            </w:r>
            <w:r>
              <w:rPr>
                <w:rFonts w:hint="eastAsia" w:ascii="仿宋_GB2312" w:hAnsi="仿宋_GB2312" w:eastAsia="仿宋_GB2312" w:cs="仿宋_GB2312"/>
                <w:sz w:val="24"/>
                <w:szCs w:val="24"/>
              </w:rPr>
              <w:t>深入开展“千侨帮千户”工程</w:t>
            </w:r>
            <w:r>
              <w:rPr>
                <w:rFonts w:hint="eastAsia" w:ascii="仿宋_GB2312" w:hAnsi="仿宋_GB2312" w:eastAsia="仿宋_GB2312" w:cs="仿宋_GB2312"/>
                <w:sz w:val="24"/>
                <w:szCs w:val="24"/>
                <w:lang w:eastAsia="zh-CN"/>
              </w:rPr>
              <w:t>，广泛联系慈善组织、爱心人士，积极助学助教助困。</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全面做好侨界决胜脱贫攻坚收官工作。系统梳理“千侨帮千户”工程的主要成效和经验启示，总结好湖南侨联系统和海内外侨界共助精准脱贫工作。</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4</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4</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continue"/>
            <w:tcBorders>
              <w:left w:val="nil"/>
              <w:right w:val="single" w:color="auto" w:sz="4" w:space="0"/>
            </w:tcBorders>
            <w:shd w:val="clear" w:color="auto" w:fill="auto"/>
            <w:vAlign w:val="center"/>
          </w:tcPr>
          <w:p>
            <w:pPr>
              <w:jc w:val="center"/>
              <w:rPr>
                <w:rFonts w:ascii="Times New Roman" w:hAnsi="Times New Roman" w:eastAsia="仿宋_GB2312" w:cs="Times New Roman"/>
                <w:color w:val="000000"/>
                <w:kern w:val="0"/>
                <w:szCs w:val="21"/>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全面梳理侨界帮扶成效</w:t>
            </w:r>
            <w:r>
              <w:rPr>
                <w:rFonts w:hint="eastAsia" w:ascii="仿宋_GB2312" w:hAnsi="仿宋_GB2312" w:eastAsia="仿宋_GB2312" w:cs="仿宋_GB2312"/>
                <w:color w:val="000000"/>
                <w:kern w:val="0"/>
                <w:sz w:val="24"/>
                <w:szCs w:val="24"/>
                <w:lang w:eastAsia="zh-CN"/>
              </w:rPr>
              <w:t>。</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召开湖南侨界助力脱贫攻坚座谈会，系统总结“千侨帮千户”工程成效。</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四年多来，共发动侨界助力脱贫攻坚资金累计超过16亿元</w:t>
            </w:r>
            <w:r>
              <w:rPr>
                <w:rFonts w:hint="eastAsia" w:ascii="仿宋_GB2312" w:hAnsi="仿宋_GB2312" w:eastAsia="仿宋_GB2312" w:cs="仿宋_GB2312"/>
                <w:color w:val="000000"/>
                <w:kern w:val="0"/>
                <w:sz w:val="24"/>
                <w:szCs w:val="24"/>
                <w:lang w:eastAsia="zh-CN"/>
              </w:rPr>
              <w:t>。推出“湘小侨·扶贫村走访记”“扶贫印记”“聚侨心·促脱贫”等栏目,开设“2020，坚决打赢脱贫攻坚战”专题，推送报道了</w:t>
            </w:r>
            <w:r>
              <w:rPr>
                <w:rFonts w:hint="eastAsia" w:ascii="仿宋_GB2312" w:hAnsi="仿宋_GB2312" w:eastAsia="仿宋_GB2312" w:cs="仿宋_GB2312"/>
                <w:color w:val="000000"/>
                <w:kern w:val="0"/>
                <w:sz w:val="24"/>
                <w:szCs w:val="24"/>
                <w:lang w:val="en-US" w:eastAsia="zh-CN"/>
              </w:rPr>
              <w:t>40余</w:t>
            </w:r>
            <w:r>
              <w:rPr>
                <w:rFonts w:hint="eastAsia" w:ascii="仿宋_GB2312" w:hAnsi="仿宋_GB2312" w:eastAsia="仿宋_GB2312" w:cs="仿宋_GB2312"/>
                <w:color w:val="000000"/>
                <w:kern w:val="0"/>
                <w:sz w:val="24"/>
                <w:szCs w:val="24"/>
                <w:lang w:eastAsia="zh-CN"/>
              </w:rPr>
              <w:t>位侨界脱贫攻坚先进典型事迹。</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4</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4</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生态效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做好节约型机关创建工作。</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开展宣传教育，推行垃圾分类。</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推动机关健全节约能源资源管理制度，提高能源资源利用效率，推行绿色办公，实施垃圾分类，达到节约型机关标准。</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4</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4</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trHeight w:val="273" w:hRule="atLeast"/>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continue"/>
            <w:tcBorders>
              <w:left w:val="nil"/>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助力美丽乡村建设和生态环境治理</w:t>
            </w:r>
            <w:r>
              <w:rPr>
                <w:rFonts w:hint="eastAsia" w:ascii="仿宋_GB2312" w:hAnsi="仿宋_GB2312" w:eastAsia="仿宋_GB2312" w:cs="仿宋_GB2312"/>
                <w:color w:val="auto"/>
                <w:kern w:val="0"/>
                <w:sz w:val="24"/>
                <w:szCs w:val="24"/>
                <w:lang w:eastAsia="zh-CN"/>
              </w:rPr>
              <w:t>。</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助</w:t>
            </w:r>
            <w:r>
              <w:rPr>
                <w:rFonts w:hint="eastAsia" w:ascii="仿宋_GB2312" w:hAnsi="仿宋_GB2312" w:eastAsia="仿宋_GB2312" w:cs="仿宋_GB2312"/>
                <w:color w:val="auto"/>
                <w:sz w:val="24"/>
                <w:szCs w:val="24"/>
                <w:lang w:eastAsia="zh-CN"/>
              </w:rPr>
              <w:t>力</w:t>
            </w:r>
            <w:r>
              <w:rPr>
                <w:rFonts w:hint="eastAsia" w:ascii="仿宋_GB2312" w:hAnsi="仿宋_GB2312" w:eastAsia="仿宋_GB2312" w:cs="仿宋_GB2312"/>
                <w:color w:val="auto"/>
                <w:sz w:val="24"/>
                <w:szCs w:val="24"/>
              </w:rPr>
              <w:t>美丽乡村建设，争取资金用于省侨联定点扶贫村赤滩村的生态旅游项目开发和农村饮水工程等项目建设，提升人居环境质量，推动生态环境持续改善。</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争取资金142万元用于赤滩村“小桂林”旅游景区项目建设，改善良乡村容貌，推动生态环境质量持续提升。争取财政、水利、交通等部门上百万资金支持，用于入村道路拓宽、农村饮水工程等项目建设，</w:t>
            </w:r>
            <w:r>
              <w:rPr>
                <w:rFonts w:hint="eastAsia" w:ascii="仿宋_GB2312" w:hAnsi="仿宋_GB2312" w:eastAsia="仿宋_GB2312" w:cs="仿宋_GB2312"/>
                <w:color w:val="auto"/>
                <w:sz w:val="24"/>
                <w:szCs w:val="24"/>
                <w:lang w:val="en-US" w:eastAsia="zh-CN"/>
              </w:rPr>
              <w:t>成功创建省级同心美丽乡村</w:t>
            </w:r>
            <w:r>
              <w:rPr>
                <w:rFonts w:hint="eastAsia" w:ascii="仿宋_GB2312" w:hAnsi="仿宋_GB2312" w:eastAsia="仿宋_GB2312" w:cs="仿宋_GB2312"/>
                <w:color w:val="auto"/>
                <w:sz w:val="24"/>
                <w:szCs w:val="24"/>
              </w:rPr>
              <w:t>。</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4</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4</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c>
          <w:tcPr>
            <w:tcW w:w="775"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c>
          <w:tcPr>
            <w:tcW w:w="736"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775"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3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可持续影响指标</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举办</w:t>
            </w:r>
            <w:r>
              <w:rPr>
                <w:rFonts w:hint="eastAsia" w:ascii="仿宋_GB2312" w:hAnsi="仿宋_GB2312" w:eastAsia="仿宋_GB2312" w:cs="仿宋_GB2312"/>
                <w:sz w:val="24"/>
                <w:szCs w:val="24"/>
              </w:rPr>
              <w:t>基层侨联干部培训班</w:t>
            </w:r>
            <w:r>
              <w:rPr>
                <w:rFonts w:hint="eastAsia" w:ascii="仿宋_GB2312" w:hAnsi="仿宋_GB2312" w:eastAsia="仿宋_GB2312" w:cs="仿宋_GB2312"/>
                <w:sz w:val="24"/>
                <w:szCs w:val="24"/>
                <w:lang w:eastAsia="zh-CN"/>
              </w:rPr>
              <w:t>。</w:t>
            </w:r>
          </w:p>
        </w:tc>
        <w:tc>
          <w:tcPr>
            <w:tcW w:w="1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举办</w:t>
            </w:r>
            <w:r>
              <w:rPr>
                <w:rFonts w:hint="eastAsia" w:ascii="仿宋_GB2312" w:hAnsi="仿宋_GB2312" w:eastAsia="仿宋_GB2312" w:cs="仿宋_GB2312"/>
                <w:sz w:val="24"/>
                <w:szCs w:val="24"/>
              </w:rPr>
              <w:t>基层侨联干部培训班</w:t>
            </w:r>
            <w:r>
              <w:rPr>
                <w:rFonts w:hint="eastAsia" w:ascii="仿宋_GB2312" w:hAnsi="仿宋_GB2312" w:eastAsia="仿宋_GB2312" w:cs="仿宋_GB2312"/>
                <w:sz w:val="24"/>
                <w:szCs w:val="24"/>
                <w:lang w:eastAsia="zh-CN"/>
              </w:rPr>
              <w:t>。</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举办</w:t>
            </w:r>
            <w:r>
              <w:rPr>
                <w:rFonts w:hint="eastAsia" w:ascii="仿宋_GB2312" w:hAnsi="仿宋_GB2312" w:eastAsia="仿宋_GB2312" w:cs="仿宋_GB2312"/>
                <w:sz w:val="24"/>
                <w:szCs w:val="24"/>
              </w:rPr>
              <w:t>基层侨联干部培训班</w:t>
            </w:r>
            <w:r>
              <w:rPr>
                <w:rFonts w:hint="eastAsia" w:ascii="仿宋_GB2312" w:hAnsi="仿宋_GB2312" w:eastAsia="仿宋_GB2312" w:cs="仿宋_GB2312"/>
                <w:sz w:val="24"/>
                <w:szCs w:val="24"/>
                <w:lang w:eastAsia="zh-CN"/>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36"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12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实现</w:t>
            </w:r>
            <w:r>
              <w:rPr>
                <w:rFonts w:hint="eastAsia" w:ascii="仿宋_GB2312" w:hAnsi="仿宋_GB2312" w:eastAsia="仿宋_GB2312" w:cs="仿宋_GB2312"/>
                <w:color w:val="000000"/>
                <w:kern w:val="0"/>
                <w:sz w:val="24"/>
                <w:szCs w:val="24"/>
              </w:rPr>
              <w:t>符合条件高校侨联组织</w:t>
            </w:r>
            <w:r>
              <w:rPr>
                <w:rFonts w:hint="eastAsia" w:ascii="仿宋_GB2312" w:hAnsi="仿宋_GB2312" w:eastAsia="仿宋_GB2312" w:cs="仿宋_GB2312"/>
                <w:color w:val="000000"/>
                <w:kern w:val="0"/>
                <w:sz w:val="24"/>
                <w:szCs w:val="24"/>
                <w:lang w:eastAsia="zh-CN"/>
              </w:rPr>
              <w:t>全覆盖。</w:t>
            </w:r>
          </w:p>
        </w:tc>
        <w:tc>
          <w:tcPr>
            <w:tcW w:w="15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推动</w:t>
            </w:r>
            <w:r>
              <w:rPr>
                <w:rFonts w:hint="eastAsia" w:ascii="仿宋_GB2312" w:hAnsi="仿宋_GB2312" w:eastAsia="仿宋_GB2312" w:cs="仿宋_GB2312"/>
                <w:color w:val="000000"/>
                <w:kern w:val="0"/>
                <w:sz w:val="24"/>
                <w:szCs w:val="24"/>
              </w:rPr>
              <w:t>符合条件高校</w:t>
            </w:r>
            <w:r>
              <w:rPr>
                <w:rFonts w:hint="eastAsia" w:ascii="仿宋_GB2312" w:hAnsi="仿宋_GB2312" w:eastAsia="仿宋_GB2312" w:cs="仿宋_GB2312"/>
                <w:color w:val="000000"/>
                <w:kern w:val="0"/>
                <w:sz w:val="24"/>
                <w:szCs w:val="24"/>
                <w:lang w:eastAsia="zh-CN"/>
              </w:rPr>
              <w:t>成立</w:t>
            </w:r>
            <w:r>
              <w:rPr>
                <w:rFonts w:hint="eastAsia" w:ascii="仿宋_GB2312" w:hAnsi="仿宋_GB2312" w:eastAsia="仿宋_GB2312" w:cs="仿宋_GB2312"/>
                <w:color w:val="000000"/>
                <w:kern w:val="0"/>
                <w:sz w:val="24"/>
                <w:szCs w:val="24"/>
              </w:rPr>
              <w:t>侨联组织</w:t>
            </w:r>
            <w:r>
              <w:rPr>
                <w:rFonts w:hint="eastAsia" w:ascii="仿宋_GB2312" w:hAnsi="仿宋_GB2312" w:eastAsia="仿宋_GB2312" w:cs="仿宋_GB2312"/>
                <w:color w:val="000000"/>
                <w:kern w:val="0"/>
                <w:sz w:val="24"/>
                <w:szCs w:val="24"/>
                <w:lang w:eastAsia="zh-CN"/>
              </w:rPr>
              <w:t>。</w:t>
            </w:r>
          </w:p>
        </w:tc>
        <w:tc>
          <w:tcPr>
            <w:tcW w:w="185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重点推进</w:t>
            </w:r>
            <w:r>
              <w:rPr>
                <w:rFonts w:hint="eastAsia" w:ascii="仿宋_GB2312" w:hAnsi="仿宋_GB2312" w:eastAsia="仿宋_GB2312" w:cs="仿宋_GB2312"/>
                <w:color w:val="000000"/>
                <w:kern w:val="0"/>
                <w:sz w:val="24"/>
                <w:szCs w:val="24"/>
                <w:lang w:eastAsia="zh-CN"/>
              </w:rPr>
              <w:t>中南林科大、湖南理工学院等</w:t>
            </w:r>
            <w:r>
              <w:rPr>
                <w:rFonts w:hint="eastAsia" w:ascii="仿宋_GB2312" w:hAnsi="仿宋_GB2312" w:eastAsia="仿宋_GB2312" w:cs="仿宋_GB2312"/>
                <w:color w:val="000000"/>
                <w:kern w:val="0"/>
                <w:sz w:val="24"/>
                <w:szCs w:val="24"/>
              </w:rPr>
              <w:t>符合条件的高校成立侨联组织，指导3所高校侨联开展换届工作，推动湖南铁道职业技术学院成立了全省首家高职院校侨联。</w:t>
            </w:r>
          </w:p>
        </w:tc>
        <w:tc>
          <w:tcPr>
            <w:tcW w:w="7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w:t>
            </w:r>
          </w:p>
        </w:tc>
        <w:tc>
          <w:tcPr>
            <w:tcW w:w="8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w:t>
            </w: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c>
          <w:tcPr>
            <w:tcW w:w="73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kern w:val="0"/>
                <w:szCs w:val="21"/>
              </w:rPr>
            </w:pPr>
          </w:p>
        </w:tc>
        <w:tc>
          <w:tcPr>
            <w:tcW w:w="775" w:type="dxa"/>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满意度</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（10分）</w:t>
            </w:r>
          </w:p>
        </w:tc>
        <w:tc>
          <w:tcPr>
            <w:tcW w:w="736" w:type="dxa"/>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服务对象满意度指标</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深入基层调研，服务侨界群众，组织老干活动。</w:t>
            </w: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深入基层调研，服务侨界群众，组织老干活动，服务对象满意度高。</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坚持群众路线，深入基层调研、走访，多次召开座谈会，主动听取基层群众的意见。开展老干活动，慰问、帮扶困难老党员。</w:t>
            </w:r>
          </w:p>
        </w:tc>
        <w:tc>
          <w:tcPr>
            <w:tcW w:w="76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jc w:val="center"/>
        </w:trPr>
        <w:tc>
          <w:tcPr>
            <w:tcW w:w="7197"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总分</w:t>
            </w:r>
          </w:p>
        </w:tc>
        <w:tc>
          <w:tcPr>
            <w:tcW w:w="76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100</w:t>
            </w:r>
          </w:p>
        </w:tc>
        <w:tc>
          <w:tcPr>
            <w:tcW w:w="88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100</w:t>
            </w:r>
          </w:p>
        </w:tc>
        <w:tc>
          <w:tcPr>
            <w:tcW w:w="100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bl>
    <w:p>
      <w:pPr>
        <w:widowControl/>
        <w:spacing w:before="120" w:beforeLines="50" w:after="120" w:afterLines="50"/>
        <w:jc w:val="left"/>
        <w:rPr>
          <w:rFonts w:hint="eastAsia" w:ascii="Times New Roman" w:hAnsi="Times New Roman" w:eastAsia="黑体" w:cs="Times New Roman"/>
          <w:kern w:val="0"/>
          <w:sz w:val="32"/>
          <w:szCs w:val="32"/>
          <w:lang w:val="en-US" w:eastAsia="zh-CN"/>
        </w:rPr>
      </w:pPr>
      <w:r>
        <w:rPr>
          <w:rFonts w:ascii="Times New Roman" w:hAnsi="Times New Roman" w:eastAsia="仿宋_GB2312" w:cs="Times New Roman"/>
          <w:kern w:val="0"/>
          <w:sz w:val="24"/>
          <w:szCs w:val="24"/>
        </w:rPr>
        <w:t>填表人：</w:t>
      </w:r>
      <w:r>
        <w:rPr>
          <w:rFonts w:hint="eastAsia" w:ascii="仿宋_GB2312" w:eastAsia="仿宋_GB2312"/>
          <w:kern w:val="0"/>
          <w:sz w:val="24"/>
          <w:szCs w:val="24"/>
          <w:lang w:eastAsia="zh-CN"/>
        </w:rPr>
        <w:t>尹湘湘</w:t>
      </w:r>
      <w:r>
        <w:rPr>
          <w:rFonts w:ascii="Times New Roman" w:hAnsi="Times New Roman" w:eastAsia="仿宋_GB2312" w:cs="Times New Roman"/>
          <w:kern w:val="0"/>
          <w:sz w:val="24"/>
          <w:szCs w:val="24"/>
        </w:rPr>
        <w:t xml:space="preserve">  填报日期：</w:t>
      </w:r>
      <w:r>
        <w:rPr>
          <w:rFonts w:hint="eastAsia" w:ascii="仿宋_GB2312" w:hAnsi="仿宋_GB2312" w:eastAsia="仿宋_GB2312" w:cs="仿宋_GB2312"/>
          <w:kern w:val="0"/>
          <w:sz w:val="24"/>
          <w:szCs w:val="24"/>
          <w:lang w:val="en-US" w:eastAsia="zh-CN"/>
        </w:rPr>
        <w:t>2021.5.17</w:t>
      </w:r>
      <w:r>
        <w:rPr>
          <w:rFonts w:ascii="Times New Roman" w:hAnsi="Times New Roman" w:eastAsia="仿宋_GB2312" w:cs="Times New Roman"/>
          <w:kern w:val="0"/>
          <w:sz w:val="24"/>
          <w:szCs w:val="24"/>
        </w:rPr>
        <w:t xml:space="preserve">   联系电话：</w:t>
      </w:r>
      <w:r>
        <w:rPr>
          <w:rFonts w:hint="eastAsia" w:ascii="仿宋_GB2312" w:eastAsia="仿宋_GB2312"/>
          <w:kern w:val="0"/>
          <w:sz w:val="24"/>
          <w:szCs w:val="24"/>
          <w:lang w:val="en-US" w:eastAsia="zh-CN"/>
        </w:rPr>
        <w:t>84448623</w:t>
      </w:r>
      <w:r>
        <w:rPr>
          <w:rFonts w:ascii="Times New Roman" w:hAnsi="Times New Roman" w:eastAsia="仿宋_GB2312" w:cs="Times New Roman"/>
          <w:kern w:val="0"/>
          <w:sz w:val="24"/>
          <w:szCs w:val="24"/>
        </w:rPr>
        <w:t xml:space="preserve">   单位负责人签字：</w:t>
      </w:r>
      <w:bookmarkStart w:id="0" w:name="_GoBack"/>
      <w:bookmarkEnd w:id="0"/>
      <w:r>
        <w:rPr>
          <w:rFonts w:hint="eastAsia" w:ascii="Times New Roman" w:hAnsi="Times New Roman" w:eastAsia="仿宋_GB2312" w:cs="Times New Roman"/>
          <w:kern w:val="0"/>
          <w:sz w:val="24"/>
          <w:szCs w:val="24"/>
          <w:lang w:val="en-US" w:eastAsia="zh-CN"/>
        </w:rPr>
        <w:t>黄芳</w:t>
      </w:r>
      <w:r>
        <w:rPr>
          <w:rFonts w:ascii="Times New Roman" w:hAnsi="Times New Roman" w:eastAsia="仿宋_GB2312" w:cs="Times New Roman"/>
          <w:kern w:val="0"/>
          <w:sz w:val="24"/>
          <w:szCs w:val="24"/>
        </w:rPr>
        <w:br w:type="page"/>
      </w: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4</w:t>
      </w:r>
    </w:p>
    <w:p>
      <w:pPr>
        <w:spacing w:before="120" w:beforeLines="50" w:after="120" w:afterLines="50"/>
        <w:jc w:val="center"/>
        <w:rPr>
          <w:rFonts w:ascii="Times New Roman" w:hAnsi="Times New Roman" w:eastAsia="方正小标宋_GBK" w:cs="Times New Roman"/>
          <w:spacing w:val="-6"/>
          <w:sz w:val="36"/>
          <w:szCs w:val="36"/>
        </w:rPr>
      </w:pPr>
      <w:r>
        <w:rPr>
          <w:rFonts w:ascii="Times New Roman" w:hAnsi="Times New Roman" w:eastAsia="方正小标宋_GBK" w:cs="Times New Roman"/>
          <w:sz w:val="36"/>
          <w:szCs w:val="36"/>
        </w:rPr>
        <w:t>部门整体支出</w:t>
      </w:r>
      <w:r>
        <w:rPr>
          <w:rFonts w:ascii="Times New Roman" w:hAnsi="Times New Roman" w:eastAsia="方正小标宋_GBK" w:cs="Times New Roman"/>
          <w:spacing w:val="-6"/>
          <w:sz w:val="36"/>
          <w:szCs w:val="36"/>
        </w:rPr>
        <w:t>绩效自评工作考核评分表</w:t>
      </w:r>
    </w:p>
    <w:tbl>
      <w:tblPr>
        <w:tblStyle w:val="8"/>
        <w:tblW w:w="9503" w:type="dxa"/>
        <w:jc w:val="center"/>
        <w:tblInd w:w="0" w:type="dxa"/>
        <w:tblLayout w:type="fixed"/>
        <w:tblCellMar>
          <w:top w:w="0" w:type="dxa"/>
          <w:left w:w="108" w:type="dxa"/>
          <w:bottom w:w="0" w:type="dxa"/>
          <w:right w:w="108" w:type="dxa"/>
        </w:tblCellMar>
      </w:tblPr>
      <w:tblGrid>
        <w:gridCol w:w="774"/>
        <w:gridCol w:w="1500"/>
        <w:gridCol w:w="6477"/>
        <w:gridCol w:w="752"/>
      </w:tblGrid>
      <w:tr>
        <w:tblPrEx>
          <w:tblLayout w:type="fixed"/>
          <w:tblCellMar>
            <w:top w:w="0" w:type="dxa"/>
            <w:left w:w="108" w:type="dxa"/>
            <w:bottom w:w="0" w:type="dxa"/>
            <w:right w:w="108" w:type="dxa"/>
          </w:tblCellMar>
        </w:tblPrEx>
        <w:trPr>
          <w:tblHeader/>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一级指标</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二级指标</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评分标准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评分</w:t>
            </w:r>
          </w:p>
        </w:tc>
      </w:tr>
      <w:tr>
        <w:tblPrEx>
          <w:tblLayout w:type="fixed"/>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布置工作</w:t>
            </w:r>
          </w:p>
          <w:p>
            <w:pPr>
              <w:spacing w:line="300" w:lineRule="exact"/>
              <w:jc w:val="center"/>
              <w:rPr>
                <w:rFonts w:ascii="Times New Roman" w:hAnsi="Times New Roman" w:eastAsia="仿宋_GB2312" w:cs="Times New Roman"/>
                <w:szCs w:val="21"/>
              </w:rPr>
            </w:pPr>
          </w:p>
          <w:p>
            <w:pPr>
              <w:spacing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t>10分</w:t>
            </w:r>
          </w:p>
        </w:tc>
        <w:tc>
          <w:tcPr>
            <w:tcW w:w="1500" w:type="dxa"/>
            <w:tcBorders>
              <w:top w:val="single" w:color="auto" w:sz="4" w:space="0"/>
              <w:left w:val="nil"/>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自评通知</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（8分）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1、印发绩效自评通知的得2分，否则不得分。</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2、按照本规程规定，绩效自评通知包括自评范围、自评主要依据、自评主要内容、自评程序和步骤、有关要求等内容，并附有本通知要求的附件的，得6分；否则缺1项扣1分，最多扣6分。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w:t>
            </w:r>
          </w:p>
        </w:tc>
      </w:tr>
      <w:tr>
        <w:tblPrEx>
          <w:tblLayout w:type="fixed"/>
          <w:tblCellMar>
            <w:top w:w="0" w:type="dxa"/>
            <w:left w:w="108" w:type="dxa"/>
            <w:bottom w:w="0" w:type="dxa"/>
            <w:right w:w="108" w:type="dxa"/>
          </w:tblCellMar>
        </w:tblPrEx>
        <w:trPr>
          <w:jc w:val="center"/>
        </w:trPr>
        <w:tc>
          <w:tcPr>
            <w:tcW w:w="774" w:type="dxa"/>
            <w:vMerge w:val="continue"/>
            <w:tcBorders>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工作小组</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成立绩效自评工作小组的得2分，否则不得分。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w:t>
            </w:r>
          </w:p>
        </w:tc>
      </w:tr>
      <w:tr>
        <w:tblPrEx>
          <w:tblLayout w:type="fixed"/>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实施评价</w:t>
            </w:r>
          </w:p>
          <w:p>
            <w:pPr>
              <w:spacing w:line="300" w:lineRule="exact"/>
              <w:jc w:val="center"/>
              <w:rPr>
                <w:rFonts w:ascii="Times New Roman" w:hAnsi="Times New Roman" w:eastAsia="仿宋_GB2312" w:cs="Times New Roman"/>
                <w:szCs w:val="21"/>
              </w:rPr>
            </w:pP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30分</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单位自查</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省级预算部门本级和所属单位都要开展绩效自查，转移支付项目单位都要开展绩效自查，市、县级主管部门都要汇总本区域转移支付情况；以上各项每发现一个单位没有做相应工作的，扣1分，最多扣20分。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w:t>
            </w:r>
          </w:p>
        </w:tc>
      </w:tr>
      <w:tr>
        <w:tblPrEx>
          <w:tblLayout w:type="fixed"/>
          <w:tblCellMar>
            <w:top w:w="0" w:type="dxa"/>
            <w:left w:w="108" w:type="dxa"/>
            <w:bottom w:w="0" w:type="dxa"/>
            <w:right w:w="108" w:type="dxa"/>
          </w:tblCellMar>
        </w:tblPrEx>
        <w:trPr>
          <w:jc w:val="center"/>
        </w:trPr>
        <w:tc>
          <w:tcPr>
            <w:tcW w:w="774" w:type="dxa"/>
            <w:vMerge w:val="continue"/>
            <w:tcBorders>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p>
        </w:tc>
        <w:tc>
          <w:tcPr>
            <w:tcW w:w="1500"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提交报告</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（10分）</w:t>
            </w:r>
          </w:p>
        </w:tc>
        <w:tc>
          <w:tcPr>
            <w:tcW w:w="6477" w:type="dxa"/>
            <w:tcBorders>
              <w:top w:val="nil"/>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按时向省财政厅报送报告的得10分；每推迟一个工作日报送报告的扣1分，最多扣10分。</w:t>
            </w:r>
          </w:p>
        </w:tc>
        <w:tc>
          <w:tcPr>
            <w:tcW w:w="752"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w:t>
            </w:r>
          </w:p>
        </w:tc>
      </w:tr>
      <w:tr>
        <w:tblPrEx>
          <w:tblLayout w:type="fixed"/>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自评报告</w:t>
            </w:r>
          </w:p>
          <w:p>
            <w:pPr>
              <w:spacing w:line="300" w:lineRule="exact"/>
              <w:jc w:val="center"/>
              <w:rPr>
                <w:rFonts w:ascii="Times New Roman" w:hAnsi="Times New Roman" w:eastAsia="仿宋_GB2312" w:cs="Times New Roman"/>
                <w:szCs w:val="21"/>
              </w:rPr>
            </w:pP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60分</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自评报告</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的完整性</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1、绩效自评报告正文部分内容齐全的，得8分；否则每少一个部分扣2分，最多扣8分。</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2、绩效自评报告附件部分内容齐全的，得7分；否则每少一个部分扣2分，最多扣7分。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15</w:t>
            </w:r>
          </w:p>
        </w:tc>
      </w:tr>
      <w:tr>
        <w:tblPrEx>
          <w:tblLayout w:type="fixed"/>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p>
        </w:tc>
        <w:tc>
          <w:tcPr>
            <w:tcW w:w="1500" w:type="dxa"/>
            <w:tcBorders>
              <w:top w:val="single" w:color="auto" w:sz="4" w:space="0"/>
              <w:left w:val="nil"/>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绩效自评表</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1、部门整体支出和项目支出绩效指标反映产出、效益、服务对象满意度方面的指标和预算执行率的权重符合本规程的，得2分，否则按比例扣除相应的分数。</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2、部门整体支出和项目支出绩效指标全部细化到三级指标的，得3分；部分细化的，酌情扣分；没有细化的，不得分。</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15</w:t>
            </w:r>
          </w:p>
        </w:tc>
      </w:tr>
      <w:tr>
        <w:tblPrEx>
          <w:tblLayout w:type="fixed"/>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绩效评价</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报告反映</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问题情况</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绩效评价发现问题详实全面的得15分，只提出资金不足问题的不得分；其他情况酌情扣分。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15</w:t>
            </w:r>
          </w:p>
        </w:tc>
      </w:tr>
      <w:tr>
        <w:tblPrEx>
          <w:tblLayout w:type="fixed"/>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针对问题</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提出可行性建议的情况</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针对评价发现问题提出包含有关政策在内的可行性建议的得15分，只提出加大资金投入建议的不得分；其他情况酌情扣分。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15</w:t>
            </w:r>
          </w:p>
        </w:tc>
      </w:tr>
      <w:tr>
        <w:tblPrEx>
          <w:tblLayout w:type="fixed"/>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合计</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100分</w:t>
            </w: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tc>
      </w:tr>
    </w:tbl>
    <w:p>
      <w:pPr>
        <w:rPr>
          <w:rFonts w:ascii="Times New Roman" w:hAnsi="Times New Roman" w:eastAsia="仿宋_GB2312" w:cs="Times New Roman"/>
          <w:sz w:val="32"/>
          <w:szCs w:val="32"/>
        </w:rPr>
      </w:pPr>
    </w:p>
    <w:p>
      <w:pPr>
        <w:spacing w:line="600" w:lineRule="exact"/>
        <w:rPr>
          <w:rFonts w:ascii="Times New Roman" w:hAnsi="Times New Roman" w:eastAsia="宋体" w:cs="Times New Roman"/>
          <w:szCs w:val="24"/>
        </w:rPr>
      </w:pPr>
    </w:p>
    <w:sectPr>
      <w:headerReference r:id="rId3" w:type="default"/>
      <w:footerReference r:id="rId4" w:type="default"/>
      <w:footerReference r:id="rId5" w:type="even"/>
      <w:pgSz w:w="11905" w:h="16837"/>
      <w:pgMar w:top="1418" w:right="1588" w:bottom="1418" w:left="1588" w:header="720" w:footer="1701"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sz w:val="28"/>
        <w:szCs w:val="28"/>
      </w:rPr>
    </w:pPr>
    <w:r>
      <w:rPr>
        <w:rStyle w:val="7"/>
        <w:rFonts w:hint="eastAsia" w:cs="宋体"/>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6</w:t>
    </w:r>
    <w:r>
      <w:rPr>
        <w:sz w:val="28"/>
        <w:szCs w:val="28"/>
      </w:rPr>
      <w:fldChar w:fldCharType="end"/>
    </w:r>
    <w:r>
      <w:rPr>
        <w:rStyle w:val="7"/>
        <w:rFonts w:hint="eastAsia" w:cs="宋体"/>
      </w:rPr>
      <w:t>—</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60"/>
    <w:rsid w:val="00007601"/>
    <w:rsid w:val="00013EE1"/>
    <w:rsid w:val="00016E27"/>
    <w:rsid w:val="00034CCE"/>
    <w:rsid w:val="00055586"/>
    <w:rsid w:val="00093CFC"/>
    <w:rsid w:val="00094714"/>
    <w:rsid w:val="000A7AA8"/>
    <w:rsid w:val="000B0E96"/>
    <w:rsid w:val="000B6955"/>
    <w:rsid w:val="000F2215"/>
    <w:rsid w:val="000F7737"/>
    <w:rsid w:val="00101B1F"/>
    <w:rsid w:val="0011413B"/>
    <w:rsid w:val="00114423"/>
    <w:rsid w:val="00144A19"/>
    <w:rsid w:val="0015578C"/>
    <w:rsid w:val="001741E9"/>
    <w:rsid w:val="00175DE4"/>
    <w:rsid w:val="00177F71"/>
    <w:rsid w:val="001903CB"/>
    <w:rsid w:val="001C10F8"/>
    <w:rsid w:val="001C2233"/>
    <w:rsid w:val="001D00DB"/>
    <w:rsid w:val="00216ED7"/>
    <w:rsid w:val="002203C4"/>
    <w:rsid w:val="00226845"/>
    <w:rsid w:val="00253B6F"/>
    <w:rsid w:val="0025481A"/>
    <w:rsid w:val="002577BA"/>
    <w:rsid w:val="00266532"/>
    <w:rsid w:val="00281C96"/>
    <w:rsid w:val="002C4CEE"/>
    <w:rsid w:val="002F6844"/>
    <w:rsid w:val="00301C18"/>
    <w:rsid w:val="00311725"/>
    <w:rsid w:val="00314D5C"/>
    <w:rsid w:val="003305B6"/>
    <w:rsid w:val="0034789D"/>
    <w:rsid w:val="00380D36"/>
    <w:rsid w:val="00391FBE"/>
    <w:rsid w:val="00394924"/>
    <w:rsid w:val="003A6294"/>
    <w:rsid w:val="003C4B6F"/>
    <w:rsid w:val="003D1EC1"/>
    <w:rsid w:val="003E2A3E"/>
    <w:rsid w:val="003E563A"/>
    <w:rsid w:val="003F3763"/>
    <w:rsid w:val="00407928"/>
    <w:rsid w:val="00411889"/>
    <w:rsid w:val="0042781B"/>
    <w:rsid w:val="004326F9"/>
    <w:rsid w:val="00457AB9"/>
    <w:rsid w:val="004A7259"/>
    <w:rsid w:val="004B0C41"/>
    <w:rsid w:val="004E02E6"/>
    <w:rsid w:val="004E1CA5"/>
    <w:rsid w:val="004F7624"/>
    <w:rsid w:val="00520173"/>
    <w:rsid w:val="00526FB0"/>
    <w:rsid w:val="00543332"/>
    <w:rsid w:val="00567E22"/>
    <w:rsid w:val="00590FAB"/>
    <w:rsid w:val="005A223D"/>
    <w:rsid w:val="005A7882"/>
    <w:rsid w:val="005B4A1A"/>
    <w:rsid w:val="005C33A4"/>
    <w:rsid w:val="005F0DB1"/>
    <w:rsid w:val="00615423"/>
    <w:rsid w:val="006169C4"/>
    <w:rsid w:val="006178CD"/>
    <w:rsid w:val="0062687A"/>
    <w:rsid w:val="00652506"/>
    <w:rsid w:val="0067171D"/>
    <w:rsid w:val="006B50AA"/>
    <w:rsid w:val="006D1177"/>
    <w:rsid w:val="006E5873"/>
    <w:rsid w:val="006F36CF"/>
    <w:rsid w:val="007209EF"/>
    <w:rsid w:val="00747D38"/>
    <w:rsid w:val="00764B91"/>
    <w:rsid w:val="007833FD"/>
    <w:rsid w:val="007C13C6"/>
    <w:rsid w:val="007E7AA4"/>
    <w:rsid w:val="00800C3E"/>
    <w:rsid w:val="00801360"/>
    <w:rsid w:val="00802B0F"/>
    <w:rsid w:val="00804FDD"/>
    <w:rsid w:val="00831C30"/>
    <w:rsid w:val="00835888"/>
    <w:rsid w:val="0086090B"/>
    <w:rsid w:val="008913CB"/>
    <w:rsid w:val="008C47F5"/>
    <w:rsid w:val="008D5A4D"/>
    <w:rsid w:val="008E09E1"/>
    <w:rsid w:val="008E5860"/>
    <w:rsid w:val="008E62B8"/>
    <w:rsid w:val="008F3D70"/>
    <w:rsid w:val="00910495"/>
    <w:rsid w:val="00911198"/>
    <w:rsid w:val="009173AE"/>
    <w:rsid w:val="00917F71"/>
    <w:rsid w:val="009729AC"/>
    <w:rsid w:val="00982A2A"/>
    <w:rsid w:val="0099055A"/>
    <w:rsid w:val="009D67A3"/>
    <w:rsid w:val="009E3DE3"/>
    <w:rsid w:val="00A4243A"/>
    <w:rsid w:val="00A661BB"/>
    <w:rsid w:val="00A869FC"/>
    <w:rsid w:val="00A9278D"/>
    <w:rsid w:val="00AC365A"/>
    <w:rsid w:val="00AD20CD"/>
    <w:rsid w:val="00AD5DD3"/>
    <w:rsid w:val="00AD6B6D"/>
    <w:rsid w:val="00AE6AED"/>
    <w:rsid w:val="00B069B0"/>
    <w:rsid w:val="00B06A30"/>
    <w:rsid w:val="00B27CA2"/>
    <w:rsid w:val="00B73439"/>
    <w:rsid w:val="00B95402"/>
    <w:rsid w:val="00BA3681"/>
    <w:rsid w:val="00BA41FA"/>
    <w:rsid w:val="00BB56CE"/>
    <w:rsid w:val="00BC47D7"/>
    <w:rsid w:val="00BC7477"/>
    <w:rsid w:val="00BF4FD7"/>
    <w:rsid w:val="00C20C79"/>
    <w:rsid w:val="00C434D9"/>
    <w:rsid w:val="00C878C0"/>
    <w:rsid w:val="00CF25AE"/>
    <w:rsid w:val="00D02D81"/>
    <w:rsid w:val="00D33333"/>
    <w:rsid w:val="00D33A32"/>
    <w:rsid w:val="00D374D9"/>
    <w:rsid w:val="00D404C9"/>
    <w:rsid w:val="00D42295"/>
    <w:rsid w:val="00D429D3"/>
    <w:rsid w:val="00D45E12"/>
    <w:rsid w:val="00D50215"/>
    <w:rsid w:val="00D55E3F"/>
    <w:rsid w:val="00D67FA5"/>
    <w:rsid w:val="00D73AFB"/>
    <w:rsid w:val="00D77AB4"/>
    <w:rsid w:val="00DC5BD6"/>
    <w:rsid w:val="00DE33F1"/>
    <w:rsid w:val="00DF43FD"/>
    <w:rsid w:val="00DF4F10"/>
    <w:rsid w:val="00E0142E"/>
    <w:rsid w:val="00E04DEA"/>
    <w:rsid w:val="00E35EBF"/>
    <w:rsid w:val="00E538F3"/>
    <w:rsid w:val="00E85D03"/>
    <w:rsid w:val="00F125EE"/>
    <w:rsid w:val="00F23034"/>
    <w:rsid w:val="00F25336"/>
    <w:rsid w:val="00F737F5"/>
    <w:rsid w:val="00F90A7B"/>
    <w:rsid w:val="00FA2627"/>
    <w:rsid w:val="00FA2F4F"/>
    <w:rsid w:val="00FA47DE"/>
    <w:rsid w:val="00FB0553"/>
    <w:rsid w:val="00FB73BE"/>
    <w:rsid w:val="00FC0AD1"/>
    <w:rsid w:val="00FC6C2B"/>
    <w:rsid w:val="00FE617A"/>
    <w:rsid w:val="00FE64C5"/>
    <w:rsid w:val="02BC487C"/>
    <w:rsid w:val="06CD3D5A"/>
    <w:rsid w:val="075C162A"/>
    <w:rsid w:val="07810B8C"/>
    <w:rsid w:val="07943C26"/>
    <w:rsid w:val="07D76BD7"/>
    <w:rsid w:val="08D40ADC"/>
    <w:rsid w:val="095D0259"/>
    <w:rsid w:val="0A3743A6"/>
    <w:rsid w:val="0AE85DE8"/>
    <w:rsid w:val="0AF805EF"/>
    <w:rsid w:val="0B08238C"/>
    <w:rsid w:val="0D87267B"/>
    <w:rsid w:val="0EB87F04"/>
    <w:rsid w:val="0FA05E65"/>
    <w:rsid w:val="100039C1"/>
    <w:rsid w:val="105D04A4"/>
    <w:rsid w:val="118C25A0"/>
    <w:rsid w:val="11EB07EB"/>
    <w:rsid w:val="1259464F"/>
    <w:rsid w:val="12B67C16"/>
    <w:rsid w:val="12DA0561"/>
    <w:rsid w:val="139129B8"/>
    <w:rsid w:val="13AF68AA"/>
    <w:rsid w:val="14076E83"/>
    <w:rsid w:val="14A85B1C"/>
    <w:rsid w:val="14B6176C"/>
    <w:rsid w:val="14FC1723"/>
    <w:rsid w:val="159E7741"/>
    <w:rsid w:val="168013B4"/>
    <w:rsid w:val="186A177C"/>
    <w:rsid w:val="18CD61F3"/>
    <w:rsid w:val="1AE070F8"/>
    <w:rsid w:val="1B4657C6"/>
    <w:rsid w:val="1BA96852"/>
    <w:rsid w:val="1BB02C69"/>
    <w:rsid w:val="1CE650AA"/>
    <w:rsid w:val="1D1100B8"/>
    <w:rsid w:val="1D8547A7"/>
    <w:rsid w:val="1E581386"/>
    <w:rsid w:val="1E8577DF"/>
    <w:rsid w:val="1EBE4ECD"/>
    <w:rsid w:val="1FB25CE0"/>
    <w:rsid w:val="20886C49"/>
    <w:rsid w:val="20EC4B49"/>
    <w:rsid w:val="2188105B"/>
    <w:rsid w:val="2388090B"/>
    <w:rsid w:val="25C34656"/>
    <w:rsid w:val="2660679C"/>
    <w:rsid w:val="26F91B86"/>
    <w:rsid w:val="27594372"/>
    <w:rsid w:val="27DF2F03"/>
    <w:rsid w:val="28A96913"/>
    <w:rsid w:val="29B06E2E"/>
    <w:rsid w:val="2B146CB0"/>
    <w:rsid w:val="2BBF5963"/>
    <w:rsid w:val="2C2E1618"/>
    <w:rsid w:val="2CA863A9"/>
    <w:rsid w:val="2D181DB7"/>
    <w:rsid w:val="2E935D32"/>
    <w:rsid w:val="2F5676C1"/>
    <w:rsid w:val="30820CEE"/>
    <w:rsid w:val="315C3B61"/>
    <w:rsid w:val="31B8630E"/>
    <w:rsid w:val="3284492D"/>
    <w:rsid w:val="33563F02"/>
    <w:rsid w:val="33E90AD2"/>
    <w:rsid w:val="33EC0AC3"/>
    <w:rsid w:val="345C47D8"/>
    <w:rsid w:val="35086CFA"/>
    <w:rsid w:val="366F5029"/>
    <w:rsid w:val="37F166E7"/>
    <w:rsid w:val="39424402"/>
    <w:rsid w:val="3950644D"/>
    <w:rsid w:val="3A001A3D"/>
    <w:rsid w:val="421846F5"/>
    <w:rsid w:val="42EE6E16"/>
    <w:rsid w:val="433615E6"/>
    <w:rsid w:val="43B9432E"/>
    <w:rsid w:val="4419213F"/>
    <w:rsid w:val="441C505B"/>
    <w:rsid w:val="44A03E2B"/>
    <w:rsid w:val="458906C7"/>
    <w:rsid w:val="462E4C00"/>
    <w:rsid w:val="4639229D"/>
    <w:rsid w:val="46DE1B26"/>
    <w:rsid w:val="47DC5B3F"/>
    <w:rsid w:val="48C62AA4"/>
    <w:rsid w:val="48C815BD"/>
    <w:rsid w:val="48D349A3"/>
    <w:rsid w:val="495D666A"/>
    <w:rsid w:val="496F5FF6"/>
    <w:rsid w:val="4A2443A8"/>
    <w:rsid w:val="4EEB00D4"/>
    <w:rsid w:val="510662DA"/>
    <w:rsid w:val="51087294"/>
    <w:rsid w:val="516E0245"/>
    <w:rsid w:val="51B261BC"/>
    <w:rsid w:val="51D80DF1"/>
    <w:rsid w:val="52002A16"/>
    <w:rsid w:val="53AC4DA4"/>
    <w:rsid w:val="576B09E2"/>
    <w:rsid w:val="57B3516B"/>
    <w:rsid w:val="57D924A2"/>
    <w:rsid w:val="587A4948"/>
    <w:rsid w:val="58BA5C5C"/>
    <w:rsid w:val="59D44CA2"/>
    <w:rsid w:val="5A381CED"/>
    <w:rsid w:val="5A7F3AE0"/>
    <w:rsid w:val="5B12427A"/>
    <w:rsid w:val="5C06680D"/>
    <w:rsid w:val="5C251336"/>
    <w:rsid w:val="5D106ABE"/>
    <w:rsid w:val="5D9F6C73"/>
    <w:rsid w:val="5EDC54EE"/>
    <w:rsid w:val="60474D42"/>
    <w:rsid w:val="605903C0"/>
    <w:rsid w:val="61D67240"/>
    <w:rsid w:val="640B3185"/>
    <w:rsid w:val="646864E6"/>
    <w:rsid w:val="64701C5A"/>
    <w:rsid w:val="64931337"/>
    <w:rsid w:val="64CD4B89"/>
    <w:rsid w:val="64FE5D36"/>
    <w:rsid w:val="664055CB"/>
    <w:rsid w:val="67FB59C5"/>
    <w:rsid w:val="68E24F92"/>
    <w:rsid w:val="69236574"/>
    <w:rsid w:val="693103D5"/>
    <w:rsid w:val="6E6F6F0A"/>
    <w:rsid w:val="6E8C1CBC"/>
    <w:rsid w:val="6F381B17"/>
    <w:rsid w:val="701609C9"/>
    <w:rsid w:val="70A36314"/>
    <w:rsid w:val="70EC5261"/>
    <w:rsid w:val="710B0844"/>
    <w:rsid w:val="7164451B"/>
    <w:rsid w:val="729606C5"/>
    <w:rsid w:val="74CA2EFB"/>
    <w:rsid w:val="74D70F88"/>
    <w:rsid w:val="76121265"/>
    <w:rsid w:val="763F2955"/>
    <w:rsid w:val="765033A3"/>
    <w:rsid w:val="78A2643A"/>
    <w:rsid w:val="78B42A77"/>
    <w:rsid w:val="7A5B676A"/>
    <w:rsid w:val="7A6F764E"/>
    <w:rsid w:val="7ADC12B3"/>
    <w:rsid w:val="7B0B16F3"/>
    <w:rsid w:val="7BAC03EB"/>
    <w:rsid w:val="7C5812B1"/>
    <w:rsid w:val="7C7146DF"/>
    <w:rsid w:val="7E2457BD"/>
    <w:rsid w:val="7E5F128A"/>
    <w:rsid w:val="7F8A00DA"/>
    <w:rsid w:val="7F9B6B3B"/>
    <w:rsid w:val="7FA17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2"/>
    <w:qFormat/>
    <w:uiPriority w:val="0"/>
    <w:pPr>
      <w:spacing w:after="120"/>
    </w:pPr>
    <w:rPr>
      <w:rFonts w:ascii="Times New Roman" w:hAnsi="Times New Roman" w:eastAsia="宋体" w:cs="Times New Roman"/>
      <w:szCs w:val="24"/>
    </w:rPr>
  </w:style>
  <w:style w:type="paragraph" w:styleId="3">
    <w:name w:val="Balloon Text"/>
    <w:basedOn w:val="1"/>
    <w:link w:val="15"/>
    <w:unhideWhenUsed/>
    <w:qFormat/>
    <w:uiPriority w:val="99"/>
    <w:rPr>
      <w:rFonts w:ascii="Times New Roman" w:hAnsi="Times New Roman" w:eastAsia="宋体" w:cs="Times New Roman"/>
      <w:sz w:val="18"/>
      <w:szCs w:val="18"/>
      <w:lang w:val="zh-CN" w:eastAsia="zh-CN"/>
    </w:rPr>
  </w:style>
  <w:style w:type="paragraph" w:styleId="4">
    <w:name w:val="footer"/>
    <w:basedOn w:val="1"/>
    <w:link w:val="11"/>
    <w:qFormat/>
    <w:uiPriority w:val="99"/>
    <w:pPr>
      <w:tabs>
        <w:tab w:val="center" w:pos="4153"/>
        <w:tab w:val="right" w:pos="8306"/>
      </w:tabs>
      <w:snapToGrid w:val="0"/>
      <w:jc w:val="left"/>
    </w:pPr>
    <w:rPr>
      <w:rFonts w:ascii="Times New Roman" w:hAnsi="Times New Roman" w:eastAsia="宋体" w:cs="Times New Roman"/>
      <w:sz w:val="18"/>
      <w:szCs w:val="18"/>
      <w:lang w:val="zh-CN" w:eastAsia="zh-CN"/>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zh-CN" w:eastAsia="zh-CN"/>
    </w:rPr>
  </w:style>
  <w:style w:type="character" w:styleId="7">
    <w:name w:val="page number"/>
    <w:basedOn w:val="6"/>
    <w:qFormat/>
    <w:uiPriority w:val="0"/>
  </w:style>
  <w:style w:type="paragraph" w:customStyle="1" w:styleId="9">
    <w:name w:val="表格内容"/>
    <w:basedOn w:val="2"/>
    <w:qFormat/>
    <w:uiPriority w:val="0"/>
    <w:pPr>
      <w:suppressLineNumbers/>
      <w:suppressAutoHyphens/>
      <w:jc w:val="left"/>
    </w:pPr>
    <w:rPr>
      <w:rFonts w:cs="Tahoma"/>
      <w:kern w:val="0"/>
      <w:sz w:val="24"/>
    </w:rPr>
  </w:style>
  <w:style w:type="character" w:customStyle="1" w:styleId="10">
    <w:name w:val="页眉 Char"/>
    <w:basedOn w:val="6"/>
    <w:link w:val="5"/>
    <w:qFormat/>
    <w:uiPriority w:val="99"/>
    <w:rPr>
      <w:rFonts w:ascii="Times New Roman" w:hAnsi="Times New Roman" w:eastAsia="宋体" w:cs="Times New Roman"/>
      <w:sz w:val="18"/>
      <w:szCs w:val="18"/>
      <w:lang w:val="zh-CN" w:eastAsia="zh-CN"/>
    </w:rPr>
  </w:style>
  <w:style w:type="character" w:customStyle="1" w:styleId="11">
    <w:name w:val="页脚 Char"/>
    <w:basedOn w:val="6"/>
    <w:link w:val="4"/>
    <w:qFormat/>
    <w:uiPriority w:val="99"/>
    <w:rPr>
      <w:rFonts w:ascii="Times New Roman" w:hAnsi="Times New Roman" w:eastAsia="宋体" w:cs="Times New Roman"/>
      <w:sz w:val="18"/>
      <w:szCs w:val="18"/>
      <w:lang w:val="zh-CN" w:eastAsia="zh-CN"/>
    </w:rPr>
  </w:style>
  <w:style w:type="character" w:customStyle="1" w:styleId="12">
    <w:name w:val="正文文本 Char"/>
    <w:basedOn w:val="6"/>
    <w:link w:val="2"/>
    <w:qFormat/>
    <w:uiPriority w:val="0"/>
    <w:rPr>
      <w:rFonts w:ascii="Times New Roman" w:hAnsi="Times New Roman" w:eastAsia="宋体" w:cs="Times New Roman"/>
      <w:szCs w:val="24"/>
    </w:rPr>
  </w:style>
  <w:style w:type="paragraph" w:customStyle="1" w:styleId="13">
    <w:name w:val="列出段落1"/>
    <w:basedOn w:val="1"/>
    <w:qFormat/>
    <w:uiPriority w:val="34"/>
    <w:pPr>
      <w:ind w:firstLine="420" w:firstLineChars="200"/>
    </w:pPr>
    <w:rPr>
      <w:rFonts w:ascii="Times New Roman" w:hAnsi="Times New Roman" w:eastAsia="宋体" w:cs="Times New Roman"/>
      <w:szCs w:val="24"/>
    </w:rPr>
  </w:style>
  <w:style w:type="paragraph" w:styleId="14">
    <w:name w:val="List Paragraph"/>
    <w:basedOn w:val="1"/>
    <w:qFormat/>
    <w:uiPriority w:val="99"/>
    <w:pPr>
      <w:ind w:firstLine="420" w:firstLineChars="200"/>
    </w:pPr>
    <w:rPr>
      <w:rFonts w:ascii="Calibri" w:hAnsi="Calibri" w:eastAsia="宋体" w:cs="Times New Roman"/>
    </w:rPr>
  </w:style>
  <w:style w:type="character" w:customStyle="1" w:styleId="15">
    <w:name w:val="批注框文本 Char"/>
    <w:basedOn w:val="6"/>
    <w:link w:val="3"/>
    <w:qFormat/>
    <w:uiPriority w:val="99"/>
    <w:rPr>
      <w:rFonts w:ascii="Times New Roman" w:hAnsi="Times New Roman" w:eastAsia="宋体" w:cs="Times New Roman"/>
      <w:sz w:val="18"/>
      <w:szCs w:val="18"/>
      <w:lang w:val="zh-CN" w:eastAsia="zh-CN"/>
    </w:rPr>
  </w:style>
  <w:style w:type="paragraph" w:customStyle="1" w:styleId="16">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1412</Words>
  <Characters>8055</Characters>
  <Lines>67</Lines>
  <Paragraphs>18</Paragraphs>
  <TotalTime>2</TotalTime>
  <ScaleCrop>false</ScaleCrop>
  <LinksUpToDate>false</LinksUpToDate>
  <CharactersWithSpaces>9449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2021-02-09T07:15:00Z</dcterms:created>
  <dc:creator>刘麒 null</dc:creator>
  <cp:lastModifiedBy>moxiaqian</cp:lastModifiedBy>
  <cp:lastPrinted>2021-04-23T03:50:00Z</cp:lastPrinted>
  <dcterms:modified xsi:type="dcterms:W3CDTF">2021-06-23T02:19:38Z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D1DF164E3B954B8BA61EA0CECDF09935</vt:lpwstr>
  </property>
</Properties>
</file>