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 xml:space="preserve">措施第八条  </w:t>
      </w: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>实行稳产一补一减</w:t>
      </w:r>
      <w:bookmarkEnd w:id="0"/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>落实细则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7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（牵头单位：县商科工信</w:t>
      </w:r>
      <w:r>
        <w:rPr>
          <w:rStyle w:val="7"/>
          <w:rFonts w:hint="default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局</w:t>
      </w:r>
      <w:r>
        <w:rPr>
          <w:rStyle w:val="7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一、春节期间连续生产工业企业用电补贴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（一）补贴范围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通道县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境内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规模以上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（二）补贴条件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通道县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境内注册，用电结算、缴税在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通道县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境内;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企业符合国家产业政策要求，符合国家环保要求;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春节期间（2月11日至2月17日）正常生产且当月用电量不低于2019年同期的60%;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一季度总产值3000万元及以上;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2021年一季度用电量较2019年一季度增长10%及以上;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（三）补贴标准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按2021年1月28日至2月28日企业用电费用20%的标准进行用电补贴。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（四）补贴申报流程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申报所需材料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（1）用电补贴申请报告；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（2）2021年第一季度用电量较2019年同期增幅10%的用电明细表（由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供电部门审核并加盖公章）；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（3）2021年2月用电量不低于2019年同期用电量60%的用电明细表（由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供电部门审核并加盖公章）；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（4）2021年1月28日至2月28日所产生的电费明细表（由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供电部门审核并加盖公章）；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（5）企业2021年一季度产值3000万元及以上的佐证材料；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（6）企业营业执照、开户许可证复印件（加盖公章）；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（7）企业申报真实性承诺书（需加盖企业公章并由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县商科工信局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签署意见及加盖公章）。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2021年4月1日-2021年4月30日。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结算及审核办法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由企业持申报材料向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商科工信局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申请用电补贴，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县商科工信局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将辖区内所有待补贴企业的相关资料汇总并初审后报送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复核，复核后报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政府分管工业的领导签署意见，再报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政府主要领导审定。审定后交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财政办理拨付补贴资金手续。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9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二、春节期间连续生产的园区企业厂房租金减免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（一）园区企业厂房租金减免范围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春节期间连续生产的园区企业。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（二）减免条件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通道县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境内注册，缴税在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通道县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境内;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企业符合国家产业政策要求，符合国家环保要求;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3、与园区正式签订了标准厂房租用合同；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春节期间（2月11日至2月17日）正常生产。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（三）减免标准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对春节期间连续生产并租用标准厂房的园区企业，2021年2月给予租金减免。如尚在减免时限内的，顺延一个月的减免时限。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（四）申报流程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需提交的资料（以下资料均需加盖公章）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（1）企业（项目）标准厂房租金减免申报审批表；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（2）企业营业执照副本复印件；属于在建项目的需提供与园区签订的投资建设合同；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（3）企业与所在园区正式签订的标准厂房租用合同复印件；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（4）2021年2月企业（项目）用电缴费凭证。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2. 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2021年3月1日-2021年3月31日。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结算及审核办法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contextualSpacing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符合申报主体条件的企业（项目），向所在园区管委会提出减免标准厂房租金的申请。各园区（工业集中区）管委会在对申报企业（项目）提交的申报资料审核确认后，对该企业（项目）2021年2月期间的标准厂房租金予以减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spacing w:val="-6"/>
          <w:sz w:val="32"/>
          <w:szCs w:val="32"/>
          <w:lang w:eastAsia="zh-CN"/>
        </w:rPr>
        <w:t>联系方式</w:t>
      </w:r>
    </w:p>
    <w:p>
      <w:pPr>
        <w:pStyle w:val="2"/>
        <w:ind w:leftChars="100"/>
        <w:rPr>
          <w:rStyle w:val="7"/>
          <w:rFonts w:hint="default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通道县商科工信局：黄志平，13107453305</w:t>
      </w:r>
    </w:p>
    <w:p>
      <w:pPr>
        <w:pStyle w:val="2"/>
        <w:ind w:leftChars="100"/>
        <w:rPr>
          <w:rStyle w:val="7"/>
          <w:rFonts w:hint="default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>通道县商科工信局：曾女芳，17378041202</w:t>
      </w:r>
    </w:p>
    <w:p>
      <w:pPr>
        <w:ind w:left="0" w:leftChars="0"/>
        <w:jc w:val="both"/>
        <w:rPr>
          <w:rStyle w:val="7"/>
          <w:rFonts w:hint="default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 xml:space="preserve">   </w:t>
      </w:r>
      <w:r>
        <w:rPr>
          <w:rStyle w:val="7"/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lang w:val="en-US" w:eastAsia="zh-CN"/>
        </w:rPr>
        <w:t xml:space="preserve">  通道县工业园：陆俊光，13874557925</w:t>
      </w:r>
    </w:p>
    <w:p>
      <w:pPr>
        <w:ind w:left="0" w:leftChars="0" w:firstLine="616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lang w:eastAsia="zh-CN"/>
        </w:rPr>
        <w:t>（责任单位：县商科工信局、县财政局、国网通道供电公司、县工业园）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7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-144780</wp:posOffset>
              </wp:positionV>
              <wp:extent cx="1828800" cy="30797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1.4pt;height:24.25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wYOe/UAAAABwEAAA8AAAAAAAAAAQAgAAAAIgAAAGRycy9kb3ducmV2LnhtbFBLAQIUABQAAAAI&#10;AIdO4kBO9RANuAEAAFgDAAAOAAAAAAAAAAEAIAAAACM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z-index:25166540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ZpPZA0gAAAAUBAAAPAAAAAAAAAAEAIAAAACIA&#10;AABkcnMvZG93bnJldi54bWxQSwECFAAUAAAACACHTuJA3otwTp0BAAAzAwAADgAAAAAAAAABACAA&#10;AAAh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AAAA"/>
    <w:multiLevelType w:val="singleLevel"/>
    <w:tmpl w:val="36C9AAAA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66338"/>
    <w:rsid w:val="20F353BA"/>
    <w:rsid w:val="34866338"/>
    <w:rsid w:val="47E618E4"/>
    <w:rsid w:val="65E0020F"/>
    <w:rsid w:val="6E81220E"/>
    <w:rsid w:val="752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  <w:jc w:val="left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2021-02-09T05:52:00Z</dcterms:created>
  <dc:creator>阿哩哩哩～</dc:creator>
  <cp:lastModifiedBy>阿哩哩哩～</cp:lastModifiedBy>
  <dcterms:modified xsi:type="dcterms:W3CDTF">2021-02-09T06:38:56Z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