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宋体"/>
          <w:color w:val="000000" w:themeColor="text1"/>
          <w:kern w:val="36"/>
          <w:sz w:val="44"/>
          <w:szCs w:val="44"/>
        </w:rPr>
      </w:pPr>
    </w:p>
    <w:p>
      <w:pPr>
        <w:spacing w:line="600" w:lineRule="exact"/>
        <w:jc w:val="center"/>
        <w:rPr>
          <w:rFonts w:hint="eastAsia" w:ascii="黑体" w:hAnsi="黑体" w:eastAsia="黑体" w:cs="方正小标宋简体"/>
          <w:color w:val="000000" w:themeColor="text1"/>
          <w:sz w:val="44"/>
          <w:szCs w:val="44"/>
          <w:shd w:val="clear" w:color="auto" w:fill="FFFFFF"/>
        </w:rPr>
      </w:pPr>
      <w:r>
        <w:rPr>
          <w:rFonts w:hint="eastAsia" w:ascii="黑体" w:hAnsi="黑体" w:eastAsia="黑体" w:cs="宋体"/>
          <w:color w:val="000000" w:themeColor="text1"/>
          <w:kern w:val="36"/>
          <w:sz w:val="44"/>
          <w:szCs w:val="44"/>
        </w:rPr>
        <w:t>区</w:t>
      </w:r>
      <w:r>
        <w:rPr>
          <w:rFonts w:ascii="黑体" w:hAnsi="黑体" w:eastAsia="黑体" w:cs="宋体"/>
          <w:color w:val="000000" w:themeColor="text1"/>
          <w:kern w:val="36"/>
          <w:sz w:val="44"/>
          <w:szCs w:val="44"/>
        </w:rPr>
        <w:t>委</w:t>
      </w:r>
      <w:r>
        <w:rPr>
          <w:rFonts w:hint="eastAsia" w:ascii="黑体" w:hAnsi="黑体" w:eastAsia="黑体" w:cs="宋体"/>
          <w:color w:val="000000" w:themeColor="text1"/>
          <w:kern w:val="36"/>
          <w:sz w:val="44"/>
          <w:szCs w:val="44"/>
        </w:rPr>
        <w:t>第一巡察</w:t>
      </w:r>
      <w:r>
        <w:rPr>
          <w:rFonts w:ascii="黑体" w:hAnsi="黑体" w:eastAsia="黑体" w:cs="宋体"/>
          <w:color w:val="000000" w:themeColor="text1"/>
          <w:kern w:val="36"/>
          <w:sz w:val="44"/>
          <w:szCs w:val="44"/>
        </w:rPr>
        <w:t>组向</w:t>
      </w:r>
      <w:r>
        <w:rPr>
          <w:rFonts w:hint="eastAsia" w:ascii="黑体" w:hAnsi="黑体" w:eastAsia="黑体" w:cs="方正小标宋简体"/>
          <w:color w:val="000000" w:themeColor="text1"/>
          <w:sz w:val="44"/>
          <w:szCs w:val="44"/>
          <w:shd w:val="clear" w:color="auto" w:fill="FFFFFF"/>
        </w:rPr>
        <w:t>区优化人居环境事务</w:t>
      </w:r>
    </w:p>
    <w:p>
      <w:pPr>
        <w:spacing w:line="600" w:lineRule="exact"/>
        <w:jc w:val="center"/>
        <w:rPr>
          <w:color w:val="000000" w:themeColor="text1"/>
        </w:rPr>
      </w:pPr>
      <w:r>
        <w:rPr>
          <w:rFonts w:hint="eastAsia" w:ascii="黑体" w:hAnsi="黑体" w:eastAsia="黑体" w:cs="方正小标宋简体"/>
          <w:color w:val="000000" w:themeColor="text1"/>
          <w:sz w:val="44"/>
          <w:szCs w:val="44"/>
          <w:shd w:val="clear" w:color="auto" w:fill="FFFFFF"/>
        </w:rPr>
        <w:t>中心党组</w:t>
      </w:r>
      <w:r>
        <w:rPr>
          <w:rFonts w:ascii="黑体" w:hAnsi="黑体" w:eastAsia="黑体" w:cs="宋体"/>
          <w:color w:val="000000" w:themeColor="text1"/>
          <w:kern w:val="36"/>
          <w:sz w:val="44"/>
          <w:szCs w:val="44"/>
        </w:rPr>
        <w:t>反馈巡察意见</w:t>
      </w:r>
    </w:p>
    <w:p>
      <w:pPr>
        <w:pStyle w:val="5"/>
        <w:widowControl w:val="0"/>
        <w:shd w:val="clear" w:color="auto" w:fill="FFFFFF"/>
        <w:spacing w:before="0" w:beforeAutospacing="0" w:after="0" w:afterAutospacing="0" w:line="600" w:lineRule="exact"/>
        <w:jc w:val="center"/>
        <w:rPr>
          <w:rFonts w:ascii="微软雅黑" w:hAnsi="微软雅黑" w:eastAsia="微软雅黑"/>
          <w:color w:val="000000" w:themeColor="text1"/>
          <w:sz w:val="22"/>
          <w:szCs w:val="22"/>
        </w:rPr>
      </w:pPr>
    </w:p>
    <w:p>
      <w:pPr>
        <w:pStyle w:val="5"/>
        <w:widowControl w:val="0"/>
        <w:shd w:val="clear" w:color="auto" w:fill="FFFFFF"/>
        <w:spacing w:before="0" w:beforeAutospacing="0" w:after="0" w:afterAutospacing="0" w:line="600" w:lineRule="exact"/>
        <w:ind w:firstLine="48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根据区委巡察工作统一部署，2020年4月9日至6月5日，区委第一巡察组对区优化人居环境事务中心党组开展了常规巡察。据区委巡察工作有关规定，现将巡察情况通报如下：</w:t>
      </w:r>
    </w:p>
    <w:p>
      <w:pPr>
        <w:pStyle w:val="5"/>
        <w:widowControl w:val="0"/>
        <w:shd w:val="clear" w:color="auto" w:fill="FFFFFF"/>
        <w:spacing w:before="0" w:beforeAutospacing="0" w:after="0" w:afterAutospacing="0" w:line="600" w:lineRule="exact"/>
        <w:ind w:firstLine="643" w:firstLineChars="200"/>
        <w:rPr>
          <w:rFonts w:ascii="仿宋_GB2312" w:hAnsi="微软雅黑" w:eastAsia="仿宋_GB2312"/>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rPr>
        <w:t>1.聚焦基层贯彻落实党的路线方针政策和党中央决策部署情况方面</w:t>
      </w:r>
      <w:r>
        <w:rPr>
          <w:rFonts w:hint="eastAsia" w:ascii="仿宋_GB2312" w:hAnsi="仿宋_GB2312" w:eastAsia="仿宋_GB2312" w:cs="仿宋_GB2312"/>
          <w:b/>
          <w:bCs/>
          <w:color w:val="000000" w:themeColor="text1"/>
          <w:sz w:val="32"/>
          <w:szCs w:val="32"/>
        </w:rPr>
        <w:t>。</w:t>
      </w:r>
      <w:r>
        <w:rPr>
          <w:rFonts w:hint="eastAsia" w:ascii="仿宋_GB2312" w:hAnsi="微软雅黑" w:eastAsia="仿宋_GB2312"/>
          <w:color w:val="000000" w:themeColor="text1"/>
          <w:sz w:val="32"/>
          <w:szCs w:val="32"/>
        </w:rPr>
        <w:t>学习贯彻习近平新时代中国特色社会主义思想和党的十九大精神不深不实，贯彻落实党中央重大决策部署不力。落实“创开刺破”部署不主动，履职尽责不到位。党组凝聚力不强，议事不规范，作用发挥不充分。</w:t>
      </w:r>
    </w:p>
    <w:p>
      <w:pPr>
        <w:pStyle w:val="5"/>
        <w:widowControl w:val="0"/>
        <w:shd w:val="clear" w:color="auto" w:fill="FFFFFF"/>
        <w:spacing w:before="0" w:beforeAutospacing="0" w:after="0" w:afterAutospacing="0" w:line="600" w:lineRule="exact"/>
        <w:ind w:firstLine="480"/>
        <w:rPr>
          <w:rFonts w:ascii="仿宋_GB2312" w:hAnsi="微软雅黑" w:eastAsia="仿宋_GB2312"/>
          <w:color w:val="000000" w:themeColor="text1"/>
          <w:sz w:val="32"/>
          <w:szCs w:val="32"/>
        </w:rPr>
      </w:pPr>
      <w:r>
        <w:rPr>
          <w:rFonts w:hint="eastAsia" w:ascii="仿宋_GB2312" w:hAnsi="微软雅黑" w:eastAsia="仿宋_GB2312"/>
          <w:b/>
          <w:bCs/>
          <w:color w:val="000000" w:themeColor="text1"/>
          <w:sz w:val="32"/>
          <w:szCs w:val="32"/>
        </w:rPr>
        <w:t>2.聚焦群众身边腐败和不正之风方面。</w:t>
      </w:r>
      <w:r>
        <w:rPr>
          <w:rFonts w:hint="eastAsia" w:ascii="仿宋_GB2312" w:hAnsi="微软雅黑" w:eastAsia="仿宋_GB2312"/>
          <w:color w:val="000000" w:themeColor="text1"/>
          <w:sz w:val="32"/>
          <w:szCs w:val="32"/>
        </w:rPr>
        <w:t>工作不严、学风不浓、文风不实，形式主义依然存在。</w:t>
      </w:r>
      <w:r>
        <w:rPr>
          <w:rFonts w:hint="eastAsia" w:ascii="仿宋_GB2312" w:hAnsi="仿宋" w:eastAsia="仿宋_GB2312" w:cs="仿宋"/>
          <w:bCs/>
          <w:color w:val="000000" w:themeColor="text1"/>
          <w:sz w:val="32"/>
          <w:szCs w:val="32"/>
        </w:rPr>
        <w:t>倾听群众诉求不够、民意调查不充分，</w:t>
      </w:r>
      <w:r>
        <w:rPr>
          <w:rFonts w:hint="eastAsia" w:ascii="仿宋_GB2312" w:hAnsi="微软雅黑" w:eastAsia="仿宋_GB2312"/>
          <w:color w:val="000000" w:themeColor="text1"/>
          <w:sz w:val="32"/>
          <w:szCs w:val="32"/>
        </w:rPr>
        <w:t>担当尽责、为民服务意识待提升。</w:t>
      </w:r>
      <w:r>
        <w:rPr>
          <w:rFonts w:hint="eastAsia" w:ascii="仿宋_GB2312" w:hAnsi="仿宋" w:eastAsia="仿宋_GB2312" w:cs="仿宋"/>
          <w:bCs/>
          <w:color w:val="000000" w:themeColor="text1"/>
          <w:sz w:val="32"/>
          <w:szCs w:val="32"/>
        </w:rPr>
        <w:t>财务制度不完善，对困难补助资金使用管理不到位，</w:t>
      </w:r>
      <w:r>
        <w:rPr>
          <w:rFonts w:hint="eastAsia" w:ascii="仿宋_GB2312" w:hAnsi="仿宋_GB2312" w:eastAsia="仿宋_GB2312" w:cs="仿宋_GB2312"/>
          <w:color w:val="000000" w:themeColor="text1"/>
          <w:sz w:val="32"/>
          <w:szCs w:val="32"/>
          <w:shd w:val="clear" w:color="auto" w:fill="FFFFFF"/>
        </w:rPr>
        <w:t>工会会员不按规定缴纳会费、超范围</w:t>
      </w:r>
      <w:r>
        <w:rPr>
          <w:rFonts w:hint="eastAsia" w:ascii="仿宋_GB2312" w:hAnsi="仿宋" w:eastAsia="仿宋_GB2312" w:cs="仿宋"/>
          <w:bCs/>
          <w:color w:val="000000" w:themeColor="text1"/>
          <w:sz w:val="32"/>
          <w:szCs w:val="32"/>
        </w:rPr>
        <w:t>慰问</w:t>
      </w:r>
      <w:r>
        <w:rPr>
          <w:rFonts w:hint="eastAsia" w:ascii="仿宋_GB2312" w:hAnsi="仿宋_GB2312" w:eastAsia="仿宋_GB2312" w:cs="仿宋_GB2312"/>
          <w:color w:val="000000" w:themeColor="text1"/>
          <w:sz w:val="32"/>
          <w:szCs w:val="32"/>
          <w:shd w:val="clear" w:color="auto" w:fill="FFFFFF"/>
        </w:rPr>
        <w:t>，</w:t>
      </w:r>
      <w:r>
        <w:rPr>
          <w:rFonts w:hint="eastAsia" w:ascii="仿宋_GB2312" w:hAnsi="仿宋" w:eastAsia="仿宋_GB2312" w:cs="仿宋"/>
          <w:bCs/>
          <w:color w:val="000000" w:themeColor="text1"/>
          <w:sz w:val="32"/>
          <w:szCs w:val="32"/>
        </w:rPr>
        <w:t>征拆补偿资金滞留较多，财务管理不</w:t>
      </w:r>
      <w:r>
        <w:rPr>
          <w:rFonts w:hint="eastAsia" w:ascii="仿宋_GB2312" w:hAnsi="微软雅黑" w:eastAsia="仿宋_GB2312"/>
          <w:color w:val="000000" w:themeColor="text1"/>
          <w:sz w:val="32"/>
          <w:szCs w:val="32"/>
        </w:rPr>
        <w:t>规范</w:t>
      </w:r>
      <w:r>
        <w:rPr>
          <w:rFonts w:hint="eastAsia" w:ascii="仿宋_GB2312" w:hAnsi="仿宋" w:eastAsia="仿宋_GB2312" w:cs="仿宋"/>
          <w:bCs/>
          <w:color w:val="000000" w:themeColor="text1"/>
          <w:sz w:val="32"/>
          <w:szCs w:val="32"/>
        </w:rPr>
        <w:t>。</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shd w:val="clear" w:color="auto" w:fill="FFFFFF"/>
        </w:rPr>
      </w:pPr>
      <w:bookmarkStart w:id="0" w:name="_GoBack"/>
      <w:r>
        <w:rPr>
          <w:rFonts w:hint="eastAsia" w:ascii="仿宋_GB2312" w:hAnsi="微软雅黑" w:eastAsia="仿宋_GB2312"/>
          <w:b/>
          <w:bCs/>
          <w:color w:val="000000" w:themeColor="text1"/>
          <w:sz w:val="32"/>
          <w:szCs w:val="32"/>
        </w:rPr>
        <w:t>3.聚焦基层党组织软弱涣散、组织力欠缺方面。</w:t>
      </w:r>
      <w:bookmarkEnd w:id="0"/>
      <w:r>
        <w:rPr>
          <w:rFonts w:hint="eastAsia" w:ascii="仿宋_GB2312" w:hAnsi="微软雅黑" w:eastAsia="仿宋_GB2312"/>
          <w:color w:val="000000" w:themeColor="text1"/>
          <w:sz w:val="32"/>
          <w:szCs w:val="32"/>
        </w:rPr>
        <w:t>优居中心党组</w:t>
      </w:r>
      <w:r>
        <w:rPr>
          <w:rFonts w:hint="eastAsia" w:ascii="仿宋_GB2312" w:hAnsi="仿宋_GB2312" w:eastAsia="仿宋_GB2312" w:cs="仿宋_GB2312"/>
          <w:color w:val="000000" w:themeColor="text1"/>
          <w:sz w:val="32"/>
          <w:szCs w:val="32"/>
          <w:shd w:val="clear" w:color="auto" w:fill="FFFFFF"/>
        </w:rPr>
        <w:t>党建工作与业务工作“两张皮”，党内组织生活走过场，党费收缴不规范，</w:t>
      </w:r>
      <w:r>
        <w:rPr>
          <w:rFonts w:hint="eastAsia" w:ascii="仿宋_GB2312" w:hAnsi="微软雅黑" w:eastAsia="仿宋_GB2312"/>
          <w:color w:val="000000" w:themeColor="text1"/>
          <w:sz w:val="32"/>
          <w:szCs w:val="32"/>
        </w:rPr>
        <w:t>基层组织建设重视不够。</w:t>
      </w:r>
      <w:r>
        <w:rPr>
          <w:rFonts w:hint="eastAsia" w:ascii="仿宋_GB2312" w:hAnsi="仿宋_GB2312" w:eastAsia="仿宋_GB2312" w:cs="仿宋_GB2312"/>
          <w:color w:val="000000" w:themeColor="text1"/>
          <w:sz w:val="32"/>
          <w:szCs w:val="32"/>
          <w:shd w:val="clear" w:color="auto" w:fill="FFFFFF"/>
        </w:rPr>
        <w:t>项目负责人选聘不严格、聘用人员管理不规范，好人主义盛行，</w:t>
      </w:r>
      <w:r>
        <w:rPr>
          <w:rFonts w:hint="eastAsia" w:ascii="仿宋_GB2312" w:hAnsi="微软雅黑" w:eastAsia="仿宋_GB2312"/>
          <w:color w:val="000000" w:themeColor="text1"/>
          <w:sz w:val="32"/>
          <w:szCs w:val="32"/>
        </w:rPr>
        <w:t>人员管理不到位</w:t>
      </w:r>
      <w:r>
        <w:rPr>
          <w:rFonts w:hint="eastAsia" w:ascii="仿宋_GB2312" w:hAnsi="仿宋_GB2312" w:eastAsia="仿宋_GB2312" w:cs="仿宋_GB2312"/>
          <w:color w:val="000000" w:themeColor="text1"/>
          <w:sz w:val="32"/>
          <w:szCs w:val="32"/>
          <w:shd w:val="clear" w:color="auto" w:fill="FFFFFF"/>
        </w:rPr>
        <w:t>。党组履行主体责任针对性不强，压力传导不到位，</w:t>
      </w:r>
      <w:r>
        <w:rPr>
          <w:rFonts w:hint="eastAsia" w:ascii="仿宋_GB2312" w:hAnsi="仿宋_GB2312" w:eastAsia="仿宋_GB2312" w:cs="仿宋_GB2312"/>
          <w:color w:val="000000" w:themeColor="text1"/>
          <w:sz w:val="32"/>
          <w:szCs w:val="32"/>
        </w:rPr>
        <w:t>警示教育不经常，</w:t>
      </w:r>
      <w:r>
        <w:rPr>
          <w:rFonts w:hint="eastAsia" w:ascii="仿宋_GB2312" w:hAnsi="仿宋_GB2312" w:eastAsia="仿宋_GB2312" w:cs="仿宋_GB2312"/>
          <w:color w:val="000000" w:themeColor="text1"/>
          <w:sz w:val="32"/>
          <w:szCs w:val="32"/>
          <w:shd w:val="clear" w:color="auto" w:fill="FFFFFF"/>
        </w:rPr>
        <w:t>管党治党责任有缺失。</w:t>
      </w:r>
    </w:p>
    <w:p>
      <w:pPr>
        <w:pStyle w:val="5"/>
        <w:widowControl w:val="0"/>
        <w:shd w:val="clear" w:color="auto" w:fill="FFFFFF"/>
        <w:spacing w:before="0" w:beforeAutospacing="0" w:after="0" w:afterAutospacing="0" w:line="60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同时，巡察组还收到一些反映其他干部的问题线索，已按有关规定转相关部门处理。</w:t>
      </w:r>
    </w:p>
    <w:p>
      <w:pPr>
        <w:spacing w:line="600" w:lineRule="exact"/>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B74"/>
    <w:rsid w:val="0045647E"/>
    <w:rsid w:val="0053455F"/>
    <w:rsid w:val="00555F9A"/>
    <w:rsid w:val="00893B74"/>
    <w:rsid w:val="00C5701F"/>
    <w:rsid w:val="00EE6E39"/>
    <w:rsid w:val="27715245"/>
    <w:rsid w:val="58192EB7"/>
    <w:rsid w:val="62D85246"/>
    <w:rsid w:val="64AE4E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uiPriority w:val="99"/>
    <w:rPr>
      <w:rFonts w:asciiTheme="minorHAnsi" w:hAnsiTheme="minorHAnsi" w:eastAsiaTheme="minorEastAsia" w:cstheme="minorBidi"/>
      <w:kern w:val="2"/>
      <w:sz w:val="18"/>
      <w:szCs w:val="18"/>
    </w:rPr>
  </w:style>
  <w:style w:type="character" w:customStyle="1" w:styleId="10">
    <w:name w:val="页脚 Char"/>
    <w:basedOn w:val="7"/>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83</Words>
  <Characters>478</Characters>
  <Lines>3</Lines>
  <Paragraphs>1</Paragraphs>
  <TotalTime>14</TotalTime>
  <ScaleCrop>false</ScaleCrop>
  <LinksUpToDate>false</LinksUpToDate>
  <CharactersWithSpaces>560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2020-08-27T08:07:00Z</dcterms:created>
  <dc:creator>Windows 用户</dc:creator>
  <cp:lastModifiedBy>xcb</cp:lastModifiedBy>
  <cp:lastPrinted>2020-09-01T03:11:00Z</cp:lastPrinted>
  <dcterms:modified xsi:type="dcterms:W3CDTF">2020-09-10T07:21:30Z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