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6" w:type="pct"/>
        <w:tblInd w:w="0" w:type="dxa"/>
        <w:shd w:val="clear" w:color="auto" w:fill="auto"/>
        <w:tblLayout w:type="autofit"/>
        <w:tblCellMar>
          <w:top w:w="0" w:type="dxa"/>
          <w:left w:w="0" w:type="dxa"/>
          <w:bottom w:w="0" w:type="dxa"/>
          <w:right w:w="0" w:type="dxa"/>
        </w:tblCellMar>
      </w:tblPr>
      <w:tblGrid>
        <w:gridCol w:w="232"/>
        <w:gridCol w:w="627"/>
        <w:gridCol w:w="748"/>
        <w:gridCol w:w="351"/>
        <w:gridCol w:w="627"/>
        <w:gridCol w:w="456"/>
        <w:gridCol w:w="248"/>
        <w:gridCol w:w="350"/>
        <w:gridCol w:w="789"/>
        <w:gridCol w:w="2637"/>
        <w:gridCol w:w="844"/>
        <w:gridCol w:w="414"/>
      </w:tblGrid>
      <w:tr>
        <w:tblPrEx>
          <w:shd w:val="clear" w:color="auto" w:fill="auto"/>
          <w:tblCellMar>
            <w:top w:w="0" w:type="dxa"/>
            <w:left w:w="0" w:type="dxa"/>
            <w:bottom w:w="0" w:type="dxa"/>
            <w:right w:w="0" w:type="dxa"/>
          </w:tblCellMar>
        </w:tblPrEx>
        <w:trPr>
          <w:trHeight w:val="480" w:hRule="atLeast"/>
        </w:trPr>
        <w:tc>
          <w:tcPr>
            <w:tcW w:w="380" w:type="pct"/>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附件1：</w:t>
            </w:r>
          </w:p>
        </w:tc>
        <w:tc>
          <w:tcPr>
            <w:tcW w:w="487" w:type="pct"/>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49" w:type="pct"/>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73" w:type="pct"/>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312" w:type="pct"/>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87" w:type="pct"/>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48" w:type="pct"/>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512" w:type="pct"/>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622" w:type="pct"/>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544" w:type="pct"/>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79" w:type="pct"/>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5" w:hRule="atLeast"/>
        </w:trPr>
        <w:tc>
          <w:tcPr>
            <w:tcW w:w="5000" w:type="pct"/>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大标宋简体" w:hAnsi="方正大标宋简体" w:eastAsia="方正大标宋简体" w:cs="方正大标宋简体"/>
                <w:b/>
                <w:i w:val="0"/>
                <w:color w:val="000000"/>
                <w:sz w:val="48"/>
                <w:szCs w:val="48"/>
                <w:u w:val="none"/>
              </w:rPr>
            </w:pPr>
            <w:bookmarkStart w:id="0" w:name="_GoBack"/>
            <w:r>
              <w:rPr>
                <w:rFonts w:hint="default" w:ascii="方正大标宋简体" w:hAnsi="方正大标宋简体" w:eastAsia="方正大标宋简体" w:cs="方正大标宋简体"/>
                <w:b/>
                <w:i w:val="0"/>
                <w:color w:val="000000"/>
                <w:kern w:val="0"/>
                <w:sz w:val="48"/>
                <w:szCs w:val="48"/>
                <w:u w:val="none"/>
                <w:lang w:val="en-US" w:eastAsia="zh-CN" w:bidi="ar"/>
              </w:rPr>
              <w:t>2020年嘉禾铸都集团</w:t>
            </w:r>
            <w:r>
              <w:rPr>
                <w:rFonts w:hint="eastAsia" w:ascii="方正大标宋简体" w:hAnsi="方正大标宋简体" w:eastAsia="方正大标宋简体" w:cs="方正大标宋简体"/>
                <w:b/>
                <w:i w:val="0"/>
                <w:color w:val="000000"/>
                <w:kern w:val="0"/>
                <w:sz w:val="48"/>
                <w:szCs w:val="48"/>
                <w:u w:val="none"/>
                <w:lang w:val="en-US" w:eastAsia="zh-CN" w:bidi="ar"/>
              </w:rPr>
              <w:t>招聘或选</w:t>
            </w:r>
            <w:r>
              <w:rPr>
                <w:rFonts w:hint="default" w:ascii="方正大标宋简体" w:hAnsi="方正大标宋简体" w:eastAsia="方正大标宋简体" w:cs="方正大标宋简体"/>
                <w:b/>
                <w:i w:val="0"/>
                <w:color w:val="000000"/>
                <w:kern w:val="0"/>
                <w:sz w:val="48"/>
                <w:szCs w:val="48"/>
                <w:u w:val="none"/>
                <w:lang w:val="en-US" w:eastAsia="zh-CN" w:bidi="ar"/>
              </w:rPr>
              <w:t>聘工作人员信息表</w:t>
            </w:r>
            <w:bookmarkEnd w:id="0"/>
          </w:p>
        </w:tc>
      </w:tr>
      <w:tr>
        <w:tblPrEx>
          <w:tblCellMar>
            <w:top w:w="0" w:type="dxa"/>
            <w:left w:w="0" w:type="dxa"/>
            <w:bottom w:w="0" w:type="dxa"/>
            <w:right w:w="0" w:type="dxa"/>
          </w:tblCellMar>
        </w:tblPrEx>
        <w:trPr>
          <w:trHeight w:val="1002"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类别</w:t>
            </w: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招（选）聘岗位代码</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岗位</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名称</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合同形式</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招（选）聘计划</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学历</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下限</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学位下限</w:t>
            </w: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Style w:val="4"/>
                <w:lang w:val="en-US" w:eastAsia="zh-CN" w:bidi="ar"/>
              </w:rPr>
              <w:t>年龄</w:t>
            </w:r>
            <w:r>
              <w:rPr>
                <w:rStyle w:val="4"/>
                <w:lang w:val="en-US" w:eastAsia="zh-CN" w:bidi="ar"/>
              </w:rPr>
              <w:br w:type="textWrapping"/>
            </w:r>
            <w:r>
              <w:rPr>
                <w:rStyle w:val="4"/>
                <w:lang w:val="en-US" w:eastAsia="zh-CN" w:bidi="ar"/>
              </w:rPr>
              <w:t>上限</w:t>
            </w:r>
            <w:r>
              <w:rPr>
                <w:rStyle w:val="4"/>
                <w:lang w:val="en-US" w:eastAsia="zh-CN" w:bidi="ar"/>
              </w:rPr>
              <w:br w:type="textWrapping"/>
            </w:r>
            <w:r>
              <w:rPr>
                <w:rStyle w:val="5"/>
                <w:lang w:val="en-US" w:eastAsia="zh-CN" w:bidi="ar"/>
              </w:rPr>
              <w:t>（周岁）</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专业要求</w:t>
            </w:r>
          </w:p>
        </w:tc>
        <w:tc>
          <w:tcPr>
            <w:tcW w:w="16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其他条件</w:t>
            </w: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招（选）聘对象</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备注</w:t>
            </w:r>
          </w:p>
        </w:tc>
      </w:tr>
      <w:tr>
        <w:tblPrEx>
          <w:tblCellMar>
            <w:top w:w="0" w:type="dxa"/>
            <w:left w:w="0" w:type="dxa"/>
            <w:bottom w:w="0" w:type="dxa"/>
            <w:right w:w="0" w:type="dxa"/>
          </w:tblCellMar>
        </w:tblPrEx>
        <w:trPr>
          <w:trHeight w:val="1200" w:hRule="atLeast"/>
        </w:trPr>
        <w:tc>
          <w:tcPr>
            <w:tcW w:w="17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第一类</w:t>
            </w: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101</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财务部主会计</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固定期限劳动合同</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财会类专业</w:t>
            </w:r>
          </w:p>
        </w:tc>
        <w:tc>
          <w:tcPr>
            <w:tcW w:w="16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具有中级以上（包含中级）会计职称或注册会计师证（报名时提供原件）</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面向社会公开招聘</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80" w:hRule="atLeast"/>
        </w:trPr>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102</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财务部一般会计</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固定期限劳动合同</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财会类专业</w:t>
            </w:r>
          </w:p>
        </w:tc>
        <w:tc>
          <w:tcPr>
            <w:tcW w:w="16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具有初级以上（包含初级）会计职称，从事会计工作两年以上（报名时提供原件及证明）</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160" w:hRule="atLeast"/>
        </w:trPr>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工程管理部设计员</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固定期限劳动合同</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建筑学专业</w:t>
            </w:r>
          </w:p>
        </w:tc>
        <w:tc>
          <w:tcPr>
            <w:tcW w:w="16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掌握建筑设计、城市规划设计、建筑工程设计等相关学科知识以及建筑方案设计和建筑施工图绘制等方面的基本能力</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120" w:hRule="atLeast"/>
        </w:trPr>
        <w:tc>
          <w:tcPr>
            <w:tcW w:w="177"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第二类</w:t>
            </w: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工程管理员</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无固定期限劳动合同</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土木工程专业</w:t>
            </w:r>
          </w:p>
        </w:tc>
        <w:tc>
          <w:tcPr>
            <w:tcW w:w="16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从事工程管理两年以上，有二级以上（包含二级）建造师证、建筑工程中级以上（包含中级）职称（报名时提供原件及证明）</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面向铸都集团公司或子公司无固定期限劳动合同且在岗的员工</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140" w:hRule="atLeast"/>
        </w:trPr>
        <w:tc>
          <w:tcPr>
            <w:tcW w:w="177"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投资融资部副部长</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无固定期限劳动合同</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经营类或法律类专业</w:t>
            </w:r>
          </w:p>
        </w:tc>
        <w:tc>
          <w:tcPr>
            <w:tcW w:w="16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从事融资工作三年以上，对融资工作熟悉，有银行推荐者优先（报名时提供证明）</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2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第三类</w:t>
            </w: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301</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投资融资部业务员</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无固定期限劳动合同</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财会类专业</w:t>
            </w:r>
          </w:p>
        </w:tc>
        <w:tc>
          <w:tcPr>
            <w:tcW w:w="16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在集团公司连续工作三年以上，有从事融资工作者优先</w:t>
            </w: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面向铸都集团公司固定期限劳动合同且在岗的员工</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137EE"/>
    <w:rsid w:val="07F13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黑体" w:hAnsi="宋体" w:eastAsia="黑体" w:cs="黑体"/>
      <w:b/>
      <w:color w:val="000000"/>
      <w:sz w:val="20"/>
      <w:szCs w:val="20"/>
      <w:u w:val="none"/>
    </w:rPr>
  </w:style>
  <w:style w:type="character" w:customStyle="1" w:styleId="5">
    <w:name w:val="font01"/>
    <w:basedOn w:val="3"/>
    <w:qFormat/>
    <w:uiPriority w:val="0"/>
    <w:rPr>
      <w:rFonts w:hint="eastAsia" w:ascii="黑体" w:hAnsi="宋体" w:eastAsia="黑体" w:cs="黑体"/>
      <w:b/>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2020-08-12T01:40:00Z</dcterms:created>
  <dc:creator>白茶清欢</dc:creator>
  <cp:lastModifiedBy>白茶清欢</cp:lastModifiedBy>
  <dcterms:modified xsi:type="dcterms:W3CDTF">2020-08-12T01:41:49Z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