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C9" w:rsidRDefault="00247E46">
      <w:pPr>
        <w:pStyle w:val="a6"/>
        <w:widowControl/>
        <w:spacing w:beforeAutospacing="0" w:afterAutospacing="0" w:line="30" w:lineRule="atLeast"/>
        <w:jc w:val="center"/>
        <w:rPr>
          <w:rFonts w:ascii="微软雅黑" w:eastAsia="微软雅黑" w:hAnsi="微软雅黑" w:cs="微软雅黑"/>
          <w:color w:val="030303"/>
        </w:rPr>
      </w:pPr>
      <w:r>
        <w:rPr>
          <w:rStyle w:val="a7"/>
          <w:rFonts w:ascii="微软雅黑" w:eastAsia="微软雅黑" w:hAnsi="微软雅黑" w:cs="微软雅黑" w:hint="eastAsia"/>
          <w:color w:val="030303"/>
          <w:sz w:val="72"/>
          <w:szCs w:val="72"/>
        </w:rPr>
        <w:t>娄星区本级整体支出</w:t>
      </w:r>
    </w:p>
    <w:p w:rsidR="006C5CC9" w:rsidRDefault="00247E46">
      <w:pPr>
        <w:pStyle w:val="a6"/>
        <w:widowControl/>
        <w:spacing w:beforeAutospacing="0" w:afterAutospacing="0" w:line="63" w:lineRule="atLeast"/>
        <w:jc w:val="center"/>
        <w:rPr>
          <w:rFonts w:ascii="微软雅黑" w:eastAsia="微软雅黑" w:hAnsi="微软雅黑" w:cs="微软雅黑"/>
          <w:color w:val="030303"/>
        </w:rPr>
      </w:pPr>
      <w:proofErr w:type="gramStart"/>
      <w:r>
        <w:rPr>
          <w:rFonts w:ascii="微软雅黑" w:eastAsia="微软雅黑" w:hAnsi="微软雅黑" w:cs="微软雅黑" w:hint="eastAsia"/>
          <w:color w:val="030303"/>
          <w:sz w:val="100"/>
          <w:szCs w:val="100"/>
        </w:rPr>
        <w:t>绩</w:t>
      </w:r>
      <w:proofErr w:type="gramEnd"/>
    </w:p>
    <w:p w:rsidR="006C5CC9" w:rsidRDefault="00247E46">
      <w:pPr>
        <w:pStyle w:val="a6"/>
        <w:widowControl/>
        <w:spacing w:beforeAutospacing="0" w:afterAutospacing="0" w:line="63" w:lineRule="atLeast"/>
        <w:jc w:val="center"/>
        <w:rPr>
          <w:rFonts w:ascii="微软雅黑" w:eastAsia="微软雅黑" w:hAnsi="微软雅黑" w:cs="微软雅黑"/>
          <w:color w:val="030303"/>
        </w:rPr>
      </w:pPr>
      <w:proofErr w:type="gramStart"/>
      <w:r>
        <w:rPr>
          <w:rFonts w:ascii="微软雅黑" w:eastAsia="微软雅黑" w:hAnsi="微软雅黑" w:cs="微软雅黑" w:hint="eastAsia"/>
          <w:color w:val="030303"/>
          <w:sz w:val="100"/>
          <w:szCs w:val="100"/>
        </w:rPr>
        <w:t>效</w:t>
      </w:r>
      <w:proofErr w:type="gramEnd"/>
    </w:p>
    <w:p w:rsidR="006C5CC9" w:rsidRDefault="00247E46">
      <w:pPr>
        <w:pStyle w:val="a6"/>
        <w:widowControl/>
        <w:spacing w:beforeAutospacing="0" w:afterAutospacing="0" w:line="63" w:lineRule="atLeast"/>
        <w:jc w:val="center"/>
        <w:rPr>
          <w:rFonts w:ascii="微软雅黑" w:eastAsia="微软雅黑" w:hAnsi="微软雅黑" w:cs="微软雅黑"/>
          <w:color w:val="030303"/>
        </w:rPr>
      </w:pPr>
      <w:r>
        <w:rPr>
          <w:rFonts w:ascii="微软雅黑" w:eastAsia="微软雅黑" w:hAnsi="微软雅黑" w:cs="微软雅黑" w:hint="eastAsia"/>
          <w:color w:val="030303"/>
          <w:sz w:val="100"/>
          <w:szCs w:val="100"/>
        </w:rPr>
        <w:t>自</w:t>
      </w:r>
    </w:p>
    <w:p w:rsidR="006C5CC9" w:rsidRDefault="00247E46">
      <w:pPr>
        <w:pStyle w:val="a6"/>
        <w:widowControl/>
        <w:spacing w:beforeAutospacing="0" w:afterAutospacing="0" w:line="63" w:lineRule="atLeast"/>
        <w:jc w:val="center"/>
        <w:rPr>
          <w:rFonts w:ascii="微软雅黑" w:eastAsia="微软雅黑" w:hAnsi="微软雅黑" w:cs="微软雅黑"/>
          <w:color w:val="030303"/>
        </w:rPr>
      </w:pPr>
      <w:r>
        <w:rPr>
          <w:rFonts w:ascii="微软雅黑" w:eastAsia="微软雅黑" w:hAnsi="微软雅黑" w:cs="微软雅黑" w:hint="eastAsia"/>
          <w:color w:val="030303"/>
          <w:sz w:val="100"/>
          <w:szCs w:val="100"/>
        </w:rPr>
        <w:t>评</w:t>
      </w:r>
    </w:p>
    <w:p w:rsidR="006C5CC9" w:rsidRDefault="00247E46">
      <w:pPr>
        <w:pStyle w:val="a6"/>
        <w:widowControl/>
        <w:spacing w:beforeAutospacing="0" w:afterAutospacing="0" w:line="63" w:lineRule="atLeast"/>
        <w:jc w:val="center"/>
        <w:rPr>
          <w:rFonts w:ascii="微软雅黑" w:eastAsia="微软雅黑" w:hAnsi="微软雅黑" w:cs="微软雅黑"/>
          <w:color w:val="030303"/>
        </w:rPr>
      </w:pPr>
      <w:r>
        <w:rPr>
          <w:rFonts w:ascii="微软雅黑" w:eastAsia="微软雅黑" w:hAnsi="微软雅黑" w:cs="微软雅黑" w:hint="eastAsia"/>
          <w:color w:val="030303"/>
          <w:sz w:val="100"/>
          <w:szCs w:val="100"/>
        </w:rPr>
        <w:t>材</w:t>
      </w:r>
    </w:p>
    <w:p w:rsidR="006C5CC9" w:rsidRDefault="00247E46">
      <w:pPr>
        <w:pStyle w:val="a6"/>
        <w:widowControl/>
        <w:spacing w:beforeAutospacing="0" w:afterAutospacing="0" w:line="63" w:lineRule="atLeast"/>
        <w:jc w:val="center"/>
        <w:rPr>
          <w:rFonts w:ascii="微软雅黑" w:eastAsia="微软雅黑" w:hAnsi="微软雅黑" w:cs="微软雅黑"/>
          <w:color w:val="030303"/>
        </w:rPr>
      </w:pPr>
      <w:r>
        <w:rPr>
          <w:rFonts w:ascii="微软雅黑" w:eastAsia="微软雅黑" w:hAnsi="微软雅黑" w:cs="微软雅黑" w:hint="eastAsia"/>
          <w:color w:val="030303"/>
          <w:sz w:val="100"/>
          <w:szCs w:val="100"/>
        </w:rPr>
        <w:t>料</w:t>
      </w:r>
    </w:p>
    <w:p w:rsidR="006C5CC9" w:rsidRDefault="00247E46">
      <w:pPr>
        <w:pStyle w:val="a6"/>
        <w:widowControl/>
        <w:spacing w:beforeAutospacing="0" w:afterAutospacing="0" w:line="30" w:lineRule="atLeast"/>
        <w:ind w:firstLine="321"/>
        <w:jc w:val="both"/>
        <w:rPr>
          <w:rFonts w:ascii="微软雅黑" w:eastAsia="微软雅黑" w:hAnsi="微软雅黑" w:cs="微软雅黑"/>
          <w:color w:val="030303"/>
        </w:rPr>
      </w:pPr>
      <w:r>
        <w:rPr>
          <w:rStyle w:val="a7"/>
          <w:rFonts w:ascii="微软雅黑" w:eastAsia="微软雅黑" w:hAnsi="微软雅黑" w:cs="微软雅黑" w:hint="eastAsia"/>
          <w:color w:val="030303"/>
          <w:sz w:val="31"/>
          <w:szCs w:val="31"/>
        </w:rPr>
        <w:t>申报单位（盖章）：</w:t>
      </w:r>
      <w:r>
        <w:rPr>
          <w:rStyle w:val="a7"/>
          <w:rFonts w:ascii="微软雅黑" w:eastAsia="微软雅黑" w:hAnsi="微软雅黑" w:cs="微软雅黑" w:hint="eastAsia"/>
          <w:color w:val="030303"/>
          <w:sz w:val="31"/>
          <w:szCs w:val="31"/>
          <w:u w:val="single"/>
        </w:rPr>
        <w:t>娄底市娄星区自然资源局</w:t>
      </w:r>
    </w:p>
    <w:p w:rsidR="006C5CC9" w:rsidRDefault="00247E46">
      <w:pPr>
        <w:pStyle w:val="a6"/>
        <w:widowControl/>
        <w:spacing w:beforeAutospacing="0" w:afterAutospacing="0" w:line="30" w:lineRule="atLeast"/>
        <w:jc w:val="center"/>
        <w:rPr>
          <w:rFonts w:ascii="微软雅黑" w:eastAsia="微软雅黑" w:hAnsi="微软雅黑" w:cs="微软雅黑"/>
          <w:color w:val="030303"/>
        </w:rPr>
      </w:pPr>
      <w:r>
        <w:rPr>
          <w:rStyle w:val="a7"/>
          <w:rFonts w:ascii="微软雅黑" w:eastAsia="微软雅黑" w:hAnsi="微软雅黑" w:cs="微软雅黑" w:hint="eastAsia"/>
          <w:color w:val="030303"/>
          <w:sz w:val="36"/>
          <w:szCs w:val="36"/>
        </w:rPr>
        <w:t>2020年5月23日</w:t>
      </w:r>
    </w:p>
    <w:p w:rsidR="006C5CC9" w:rsidRDefault="00247E46">
      <w:pPr>
        <w:pStyle w:val="a6"/>
        <w:widowControl/>
        <w:spacing w:beforeAutospacing="0" w:afterAutospacing="0" w:line="30" w:lineRule="atLeast"/>
        <w:jc w:val="both"/>
        <w:rPr>
          <w:rFonts w:ascii="微软雅黑" w:eastAsia="微软雅黑" w:hAnsi="微软雅黑" w:cs="微软雅黑"/>
          <w:color w:val="030303"/>
        </w:rPr>
      </w:pPr>
      <w:r>
        <w:rPr>
          <w:rFonts w:ascii="微软雅黑" w:eastAsia="微软雅黑" w:hAnsi="微软雅黑" w:cs="微软雅黑" w:hint="eastAsia"/>
          <w:color w:val="030303"/>
          <w:sz w:val="32"/>
          <w:szCs w:val="32"/>
        </w:rPr>
        <w:lastRenderedPageBreak/>
        <w:t>附件2-2</w:t>
      </w:r>
    </w:p>
    <w:p w:rsidR="006C5CC9" w:rsidRDefault="006C5CC9">
      <w:pPr>
        <w:pStyle w:val="a6"/>
        <w:widowControl/>
        <w:spacing w:beforeAutospacing="0" w:afterAutospacing="0" w:line="30" w:lineRule="atLeast"/>
        <w:jc w:val="both"/>
        <w:rPr>
          <w:rFonts w:ascii="微软雅黑" w:eastAsia="微软雅黑" w:hAnsi="微软雅黑" w:cs="微软雅黑"/>
          <w:color w:val="030303"/>
        </w:rPr>
      </w:pPr>
    </w:p>
    <w:p w:rsidR="006C5CC9" w:rsidRDefault="00247E46">
      <w:pPr>
        <w:pStyle w:val="a6"/>
        <w:widowControl/>
        <w:spacing w:beforeAutospacing="0" w:afterAutospacing="0" w:line="30" w:lineRule="atLeast"/>
        <w:jc w:val="center"/>
        <w:rPr>
          <w:rFonts w:ascii="微软雅黑" w:eastAsia="微软雅黑" w:hAnsi="微软雅黑" w:cs="微软雅黑"/>
          <w:color w:val="030303"/>
        </w:rPr>
      </w:pPr>
      <w:r>
        <w:rPr>
          <w:rFonts w:ascii="微软雅黑" w:eastAsia="微软雅黑" w:hAnsi="微软雅黑" w:cs="微软雅黑" w:hint="eastAsia"/>
          <w:color w:val="030303"/>
          <w:sz w:val="44"/>
          <w:szCs w:val="44"/>
        </w:rPr>
        <w:t>自 评 材 料 目 录</w:t>
      </w:r>
    </w:p>
    <w:p w:rsidR="006C5CC9" w:rsidRDefault="006C5CC9">
      <w:pPr>
        <w:pStyle w:val="a6"/>
        <w:widowControl/>
        <w:spacing w:beforeAutospacing="0" w:afterAutospacing="0" w:line="30" w:lineRule="atLeast"/>
        <w:jc w:val="center"/>
        <w:rPr>
          <w:rFonts w:ascii="微软雅黑" w:eastAsia="微软雅黑" w:hAnsi="微软雅黑" w:cs="微软雅黑"/>
          <w:color w:val="030303"/>
        </w:rPr>
      </w:pPr>
    </w:p>
    <w:p w:rsidR="006C5CC9" w:rsidRDefault="00247E46">
      <w:pPr>
        <w:pStyle w:val="a6"/>
        <w:widowControl/>
        <w:spacing w:beforeAutospacing="0" w:afterAutospacing="0" w:line="30" w:lineRule="atLeast"/>
        <w:ind w:firstLine="640"/>
        <w:jc w:val="both"/>
        <w:rPr>
          <w:rFonts w:ascii="微软雅黑" w:eastAsia="微软雅黑" w:hAnsi="微软雅黑" w:cs="微软雅黑"/>
          <w:color w:val="030303"/>
        </w:rPr>
      </w:pPr>
      <w:r>
        <w:rPr>
          <w:rFonts w:ascii="微软雅黑" w:eastAsia="微软雅黑" w:hAnsi="微软雅黑" w:cs="微软雅黑" w:hint="eastAsia"/>
          <w:color w:val="030303"/>
          <w:sz w:val="32"/>
          <w:szCs w:val="32"/>
        </w:rPr>
        <w:t>1.《娄星区本级部门整体支出绩效自评报告》</w:t>
      </w:r>
    </w:p>
    <w:p w:rsidR="006C5CC9" w:rsidRDefault="00247E46">
      <w:pPr>
        <w:pStyle w:val="a6"/>
        <w:widowControl/>
        <w:spacing w:beforeAutospacing="0" w:afterAutospacing="0" w:line="30" w:lineRule="atLeast"/>
        <w:ind w:firstLine="640"/>
        <w:jc w:val="both"/>
        <w:rPr>
          <w:rFonts w:ascii="微软雅黑" w:eastAsia="微软雅黑" w:hAnsi="微软雅黑" w:cs="微软雅黑"/>
          <w:color w:val="030303"/>
        </w:rPr>
      </w:pPr>
      <w:r>
        <w:rPr>
          <w:rFonts w:ascii="微软雅黑" w:eastAsia="微软雅黑" w:hAnsi="微软雅黑" w:cs="微软雅黑" w:hint="eastAsia"/>
          <w:color w:val="030303"/>
          <w:sz w:val="32"/>
          <w:szCs w:val="32"/>
        </w:rPr>
        <w:t>2.《部门整体支出绩效评价基础数据表》</w:t>
      </w:r>
    </w:p>
    <w:p w:rsidR="006C5CC9" w:rsidRDefault="00247E46">
      <w:pPr>
        <w:pStyle w:val="a6"/>
        <w:widowControl/>
        <w:spacing w:beforeAutospacing="0" w:afterAutospacing="0" w:line="30" w:lineRule="atLeast"/>
        <w:ind w:firstLine="640"/>
        <w:jc w:val="both"/>
        <w:rPr>
          <w:rFonts w:ascii="微软雅黑" w:eastAsia="微软雅黑" w:hAnsi="微软雅黑" w:cs="微软雅黑"/>
          <w:color w:val="030303"/>
        </w:rPr>
      </w:pPr>
      <w:r>
        <w:rPr>
          <w:rFonts w:ascii="微软雅黑" w:eastAsia="微软雅黑" w:hAnsi="微软雅黑" w:cs="微软雅黑" w:hint="eastAsia"/>
          <w:color w:val="030303"/>
          <w:sz w:val="32"/>
          <w:szCs w:val="32"/>
        </w:rPr>
        <w:t>3.《部门整体支出绩效评价指标自评打分表》</w:t>
      </w:r>
    </w:p>
    <w:p w:rsidR="006C5CC9" w:rsidRDefault="00247E46">
      <w:pPr>
        <w:pStyle w:val="a6"/>
        <w:widowControl/>
        <w:spacing w:beforeAutospacing="0" w:afterAutospacing="0" w:line="30" w:lineRule="atLeast"/>
        <w:ind w:left="958" w:hanging="320"/>
        <w:jc w:val="both"/>
        <w:rPr>
          <w:rFonts w:ascii="微软雅黑" w:eastAsia="微软雅黑" w:hAnsi="微软雅黑" w:cs="微软雅黑"/>
          <w:color w:val="030303"/>
        </w:rPr>
      </w:pPr>
      <w:r>
        <w:rPr>
          <w:rFonts w:ascii="微软雅黑" w:eastAsia="微软雅黑" w:hAnsi="微软雅黑" w:cs="微软雅黑" w:hint="eastAsia"/>
          <w:color w:val="030303"/>
          <w:sz w:val="32"/>
          <w:szCs w:val="32"/>
        </w:rPr>
        <w:t>4.其他必要材料（当年度预算绩效目标申报表、单位年度工作总结、有关表彰奖励复印件等）</w:t>
      </w: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p w:rsidR="006C5CC9" w:rsidRDefault="00247E46">
      <w:pPr>
        <w:pStyle w:val="a6"/>
        <w:widowControl/>
        <w:spacing w:beforeAutospacing="0" w:afterAutospacing="0" w:line="30" w:lineRule="atLeast"/>
        <w:jc w:val="both"/>
        <w:rPr>
          <w:rFonts w:ascii="微软雅黑" w:eastAsia="微软雅黑" w:hAnsi="微软雅黑" w:cs="微软雅黑"/>
          <w:color w:val="030303"/>
        </w:rPr>
      </w:pPr>
      <w:r>
        <w:rPr>
          <w:rFonts w:ascii="微软雅黑" w:eastAsia="微软雅黑" w:hAnsi="微软雅黑" w:cs="微软雅黑" w:hint="eastAsia"/>
          <w:color w:val="030303"/>
          <w:sz w:val="32"/>
          <w:szCs w:val="32"/>
        </w:rPr>
        <w:lastRenderedPageBreak/>
        <w:t xml:space="preserve">附件2-3 </w:t>
      </w:r>
    </w:p>
    <w:p w:rsidR="006C5CC9" w:rsidRDefault="006C5CC9">
      <w:pPr>
        <w:pStyle w:val="a6"/>
        <w:widowControl/>
        <w:spacing w:beforeAutospacing="0" w:afterAutospacing="0" w:line="30" w:lineRule="atLeast"/>
        <w:jc w:val="both"/>
        <w:rPr>
          <w:rFonts w:ascii="微软雅黑" w:eastAsia="微软雅黑" w:hAnsi="微软雅黑" w:cs="微软雅黑"/>
          <w:color w:val="030303"/>
        </w:rPr>
      </w:pPr>
    </w:p>
    <w:p w:rsidR="006C5CC9" w:rsidRDefault="00247E46">
      <w:pPr>
        <w:pStyle w:val="a6"/>
        <w:widowControl/>
        <w:spacing w:beforeAutospacing="0" w:afterAutospacing="0" w:line="35" w:lineRule="atLeast"/>
        <w:jc w:val="center"/>
        <w:rPr>
          <w:rFonts w:ascii="微软雅黑" w:eastAsia="微软雅黑" w:hAnsi="微软雅黑" w:cs="微软雅黑"/>
          <w:color w:val="030303"/>
        </w:rPr>
      </w:pPr>
      <w:r>
        <w:rPr>
          <w:rFonts w:ascii="微软雅黑" w:eastAsia="微软雅黑" w:hAnsi="微软雅黑" w:cs="微软雅黑" w:hint="eastAsia"/>
          <w:color w:val="030303"/>
          <w:sz w:val="44"/>
          <w:szCs w:val="44"/>
        </w:rPr>
        <w:t>（2019）年度部门整体支出绩效自评报告</w:t>
      </w:r>
    </w:p>
    <w:p w:rsidR="006C5CC9" w:rsidRDefault="006C5CC9">
      <w:pPr>
        <w:pStyle w:val="a6"/>
        <w:widowControl/>
        <w:spacing w:beforeAutospacing="0" w:afterAutospacing="0" w:line="35" w:lineRule="atLeast"/>
        <w:jc w:val="both"/>
        <w:rPr>
          <w:rFonts w:ascii="微软雅黑" w:eastAsia="微软雅黑" w:hAnsi="微软雅黑" w:cs="微软雅黑"/>
          <w:color w:val="030303"/>
        </w:rPr>
      </w:pP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一、部门概况</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（一）主要职能</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负责贯彻执行国家林业方针、政策和法律、法规；组织拟订全区林业生态环境建设、森林资源保护、国土绿化等有关地方性林业政策并监督实施；拟订全区林业及其生态建设发展战略、中长期规划并组织实施；组织全区开展森林资源、陆生野生动植物资源、湿地和荒漠的调查、动态监测和评估，并统一发布相关信息；承担全区林业生态文明建设的有关工作。</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2、牵头拟订全区造林绿化的指导性计划；</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3、组织、监督林业资源保护；</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4、拟订全区性、区域性湿地保护规划；</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5、组织拟订全区防沙治沙、石漠化防治及沙化土地封禁保护区建设规划，监督沙化土地的合理利用；</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6、组织、负责陆生野生动植物资源的保护和合理开发利用；</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7、负责全区林业自然保护区的监督管理；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8、承担推进林业改革，维护农民经营林业的合法权益的责任；</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9、制定全区林业产为发展规划，合理调整林业产业发展布局，促进林业产业协调发展；</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lastRenderedPageBreak/>
        <w:t>10、承担组织、协调、指导、监督全区森林防火工作的责任；</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11、参与拟订林业及其生态建设的财政、金融、价格、贸易等经济调节政策、规定。</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12、组织、指导林业及其生态建设的科学技术教育培训和外事工作，负责全区林业队伍的建设；</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13、承办区人民政府交办的其他事项;</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14、主要负责娄星区集体土地上村（居）</w:t>
      </w:r>
      <w:proofErr w:type="gramStart"/>
      <w:r>
        <w:rPr>
          <w:rFonts w:ascii="仿宋" w:eastAsia="仿宋" w:hAnsi="仿宋" w:cs="仿宋" w:hint="eastAsia"/>
          <w:bCs/>
          <w:kern w:val="2"/>
          <w:sz w:val="28"/>
          <w:szCs w:val="28"/>
        </w:rPr>
        <w:t>民住宅</w:t>
      </w:r>
      <w:proofErr w:type="gramEnd"/>
      <w:r>
        <w:rPr>
          <w:rFonts w:ascii="仿宋" w:eastAsia="仿宋" w:hAnsi="仿宋" w:cs="仿宋" w:hint="eastAsia"/>
          <w:bCs/>
          <w:kern w:val="2"/>
          <w:sz w:val="28"/>
          <w:szCs w:val="28"/>
        </w:rPr>
        <w:t xml:space="preserve">建设的审批，其中中心控制区报市规划局审查备案；负责对集体土地上违法建设的定性，核发法律文书；参与辖区内集体土地上项目选址工作；负责做好辖区内集体土地上违法建设的防控和拆除等工作。 </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15、负责娄星区控</w:t>
      </w:r>
      <w:proofErr w:type="gramStart"/>
      <w:r>
        <w:rPr>
          <w:rFonts w:ascii="仿宋" w:eastAsia="仿宋" w:hAnsi="仿宋" w:cs="仿宋" w:hint="eastAsia"/>
          <w:bCs/>
          <w:kern w:val="2"/>
          <w:sz w:val="28"/>
          <w:szCs w:val="28"/>
        </w:rPr>
        <w:t>违拆违领导</w:t>
      </w:r>
      <w:proofErr w:type="gramEnd"/>
      <w:r>
        <w:rPr>
          <w:rFonts w:ascii="仿宋" w:eastAsia="仿宋" w:hAnsi="仿宋" w:cs="仿宋" w:hint="eastAsia"/>
          <w:bCs/>
          <w:kern w:val="2"/>
          <w:sz w:val="28"/>
          <w:szCs w:val="28"/>
        </w:rPr>
        <w:t xml:space="preserve">小组办公室日常工作。 </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（二）部门决算单位构成</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局机关内设有退耕还林办（区林业重点项目办）１个副科级事业单位；林权办、</w:t>
      </w:r>
      <w:proofErr w:type="gramStart"/>
      <w:r>
        <w:rPr>
          <w:rFonts w:ascii="仿宋" w:eastAsia="仿宋" w:hAnsi="仿宋" w:cs="仿宋" w:hint="eastAsia"/>
          <w:bCs/>
          <w:kern w:val="2"/>
          <w:sz w:val="28"/>
          <w:szCs w:val="28"/>
        </w:rPr>
        <w:t>林调队</w:t>
      </w:r>
      <w:proofErr w:type="gramEnd"/>
      <w:r>
        <w:rPr>
          <w:rFonts w:ascii="仿宋" w:eastAsia="仿宋" w:hAnsi="仿宋" w:cs="仿宋" w:hint="eastAsia"/>
          <w:bCs/>
          <w:kern w:val="2"/>
          <w:sz w:val="28"/>
          <w:szCs w:val="28"/>
        </w:rPr>
        <w:t>、林权交易产权中心、林业执法大队、湿地办、防火办6个全额事业单位。下属双江林业站、杉山林业站、城北林业站、大科林业站、万宝林业站、石井林业站、水洞底林业站、蛇形山林业站８个全额事业单位。2019年，我单位原林业局共有编制98人，其中行政编制23人，事业编制75人。其中下属八个乡镇林业站二</w:t>
      </w:r>
      <w:proofErr w:type="gramStart"/>
      <w:r>
        <w:rPr>
          <w:rFonts w:ascii="仿宋" w:eastAsia="仿宋" w:hAnsi="仿宋" w:cs="仿宋" w:hint="eastAsia"/>
          <w:bCs/>
          <w:kern w:val="2"/>
          <w:sz w:val="28"/>
          <w:szCs w:val="28"/>
        </w:rPr>
        <w:t>机机构</w:t>
      </w:r>
      <w:proofErr w:type="gramEnd"/>
      <w:r>
        <w:rPr>
          <w:rFonts w:ascii="仿宋" w:eastAsia="仿宋" w:hAnsi="仿宋" w:cs="仿宋" w:hint="eastAsia"/>
          <w:bCs/>
          <w:kern w:val="2"/>
          <w:sz w:val="28"/>
          <w:szCs w:val="28"/>
        </w:rPr>
        <w:t>中，有16人为差额拨款编制。年末实有人员125人,其中在职人员94人，退休人员31人（新增退休人员1人，死亡1人，开除1人）。原规划分局现有编制40人，在职职工33人。内设8个机关股室：办</w:t>
      </w:r>
      <w:r>
        <w:rPr>
          <w:rFonts w:ascii="仿宋" w:eastAsia="仿宋" w:hAnsi="仿宋" w:cs="仿宋" w:hint="eastAsia"/>
          <w:bCs/>
          <w:kern w:val="2"/>
          <w:sz w:val="28"/>
          <w:szCs w:val="28"/>
        </w:rPr>
        <w:lastRenderedPageBreak/>
        <w:t>公室、人教股、财务股、法规股、综合业务股、民房股、用地股、执法大队。</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二、2019年度重点工作计划；</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（一）总体目标</w:t>
      </w:r>
    </w:p>
    <w:p w:rsidR="006C5CC9" w:rsidRDefault="00247E46">
      <w:pPr>
        <w:adjustRightInd w:val="0"/>
        <w:ind w:firstLineChars="200" w:firstLine="560"/>
        <w:rPr>
          <w:rFonts w:ascii="仿宋" w:eastAsia="仿宋" w:hAnsi="仿宋" w:cs="仿宋"/>
          <w:sz w:val="28"/>
          <w:szCs w:val="28"/>
        </w:rPr>
      </w:pPr>
      <w:r>
        <w:rPr>
          <w:rFonts w:ascii="仿宋" w:eastAsia="仿宋" w:hAnsi="仿宋" w:cs="仿宋" w:hint="eastAsia"/>
          <w:sz w:val="28"/>
          <w:szCs w:val="28"/>
        </w:rPr>
        <w:t>2019年3月区自然资源局成立以来，我们由原来的三个独立的部门整合成一家运行，上述主要工作得益于区委、区政府的正确领导和区、乡的大力支持，在市自然资源和规划局、市林业局的年度考核排名中预见成绩较为理想，也能够实现年度绩效考核预期目标。自然资源工作包含了原来的国土、规划、林业等三大块工作，当前处在改革的关键期，人员的磨合期、业务的熟悉期、体制机制的调整期、人员思想的复杂期、工作整合的过渡期、干部群众的观望期等叠加压力之下，如何实现改革</w:t>
      </w:r>
      <w:proofErr w:type="gramStart"/>
      <w:r>
        <w:rPr>
          <w:rFonts w:ascii="仿宋" w:eastAsia="仿宋" w:hAnsi="仿宋" w:cs="仿宋" w:hint="eastAsia"/>
          <w:sz w:val="28"/>
          <w:szCs w:val="28"/>
        </w:rPr>
        <w:t>之年守正</w:t>
      </w:r>
      <w:proofErr w:type="gramEnd"/>
      <w:r>
        <w:rPr>
          <w:rFonts w:ascii="仿宋" w:eastAsia="仿宋" w:hAnsi="仿宋" w:cs="仿宋" w:hint="eastAsia"/>
          <w:sz w:val="28"/>
          <w:szCs w:val="28"/>
        </w:rPr>
        <w:t>创新，稳中求进，我们认为首先要健全要素保障，保证功能发挥平衡。大力向上争取市、区自然资源管理体制和事权划分早日明确，扩大区人民政府在自然资源领域项目管理、行政许可、资金收益的定夺权，促进经济发展，</w:t>
      </w:r>
      <w:proofErr w:type="gramStart"/>
      <w:r>
        <w:rPr>
          <w:rFonts w:ascii="仿宋" w:eastAsia="仿宋" w:hAnsi="仿宋" w:cs="仿宋" w:hint="eastAsia"/>
          <w:sz w:val="28"/>
          <w:szCs w:val="28"/>
        </w:rPr>
        <w:t>提高区</w:t>
      </w:r>
      <w:proofErr w:type="gramEnd"/>
      <w:r>
        <w:rPr>
          <w:rFonts w:ascii="仿宋" w:eastAsia="仿宋" w:hAnsi="仿宋" w:cs="仿宋" w:hint="eastAsia"/>
          <w:sz w:val="28"/>
          <w:szCs w:val="28"/>
        </w:rPr>
        <w:t>人民政府的财政供给和服务保障力。其次是在改革尚未完全到位的情况下，我们继续坚持不等、不靠，团结带领全系统干部职工紧扣“守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零违纪，工作争一流”的工作目标，做好机构改革后续相关工作，全力落实区委、区政府部署的控</w:t>
      </w:r>
      <w:proofErr w:type="gramStart"/>
      <w:r>
        <w:rPr>
          <w:rFonts w:ascii="仿宋" w:eastAsia="仿宋" w:hAnsi="仿宋" w:cs="仿宋" w:hint="eastAsia"/>
          <w:sz w:val="28"/>
          <w:szCs w:val="28"/>
        </w:rPr>
        <w:t>违拆违</w:t>
      </w:r>
      <w:proofErr w:type="gramEnd"/>
      <w:r>
        <w:rPr>
          <w:rFonts w:ascii="仿宋" w:eastAsia="仿宋" w:hAnsi="仿宋" w:cs="仿宋" w:hint="eastAsia"/>
          <w:sz w:val="28"/>
          <w:szCs w:val="28"/>
        </w:rPr>
        <w:t>、集体土地不动产登记发证工作、农村“空心房”整治工作、城乡建设用地增减挂钩工作、地质灾害防治、民房审批、森林资源管护、造林绿化、联村建绿暨绿色通道建设等工作，将改革全面落到实处，打造党委政府放心，干部群众满意的政府工作部</w:t>
      </w:r>
      <w:r>
        <w:rPr>
          <w:rFonts w:ascii="仿宋" w:eastAsia="仿宋" w:hAnsi="仿宋" w:cs="仿宋" w:hint="eastAsia"/>
          <w:sz w:val="28"/>
          <w:szCs w:val="28"/>
        </w:rPr>
        <w:lastRenderedPageBreak/>
        <w:t>门。</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目标1：完成本年度职工基本工资、</w:t>
      </w:r>
      <w:proofErr w:type="gramStart"/>
      <w:r>
        <w:rPr>
          <w:rFonts w:ascii="仿宋" w:eastAsia="仿宋" w:hAnsi="仿宋" w:cs="仿宋" w:hint="eastAsia"/>
          <w:bCs/>
          <w:kern w:val="2"/>
          <w:sz w:val="28"/>
          <w:szCs w:val="28"/>
        </w:rPr>
        <w:t>五险一</w:t>
      </w:r>
      <w:proofErr w:type="gramEnd"/>
      <w:r>
        <w:rPr>
          <w:rFonts w:ascii="仿宋" w:eastAsia="仿宋" w:hAnsi="仿宋" w:cs="仿宋" w:hint="eastAsia"/>
          <w:bCs/>
          <w:kern w:val="2"/>
          <w:sz w:val="28"/>
          <w:szCs w:val="28"/>
        </w:rPr>
        <w:t>金等发放。</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目标2：完成在职人员公用经费。</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目标3：严格控制三公经费。</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目标4、做好党建工作。</w:t>
      </w:r>
    </w:p>
    <w:p w:rsidR="006C5CC9" w:rsidRDefault="00247E46">
      <w:pPr>
        <w:pStyle w:val="a6"/>
        <w:widowControl/>
        <w:spacing w:beforeAutospacing="0" w:afterAutospacing="0"/>
        <w:ind w:firstLineChars="200" w:firstLine="560"/>
        <w:jc w:val="both"/>
      </w:pPr>
      <w:r>
        <w:rPr>
          <w:rFonts w:ascii="仿宋" w:eastAsia="仿宋" w:hAnsi="仿宋" w:cs="仿宋" w:hint="eastAsia"/>
          <w:bCs/>
          <w:kern w:val="2"/>
          <w:sz w:val="28"/>
          <w:szCs w:val="28"/>
        </w:rPr>
        <w:t>目标5：完成本年度退休人员工作经费。</w:t>
      </w:r>
      <w:bookmarkStart w:id="0" w:name="_GoBack"/>
      <w:bookmarkEnd w:id="0"/>
    </w:p>
    <w:p w:rsidR="006C5CC9" w:rsidRDefault="00247E46">
      <w:pPr>
        <w:ind w:firstLineChars="200" w:firstLine="562"/>
        <w:rPr>
          <w:rFonts w:ascii="仿宋" w:eastAsia="仿宋" w:hAnsi="仿宋" w:cs="仿宋"/>
          <w:b/>
          <w:bCs/>
          <w:sz w:val="28"/>
          <w:szCs w:val="28"/>
        </w:rPr>
      </w:pPr>
      <w:r>
        <w:rPr>
          <w:rFonts w:ascii="仿宋" w:eastAsia="仿宋" w:hAnsi="仿宋" w:cs="仿宋" w:hint="eastAsia"/>
          <w:b/>
          <w:bCs/>
          <w:sz w:val="28"/>
          <w:szCs w:val="28"/>
        </w:rPr>
        <w:t>（二）工作措施</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2019年3月28日，区自然资源局挂牌成立以来，在区委、区政府的坚强领导下，在改革尚在全面推进时期，统筹</w:t>
      </w:r>
      <w:proofErr w:type="gramStart"/>
      <w:r>
        <w:rPr>
          <w:rFonts w:ascii="仿宋" w:eastAsia="仿宋" w:hAnsi="仿宋" w:cs="仿宋" w:hint="eastAsia"/>
          <w:bCs/>
          <w:kern w:val="2"/>
          <w:sz w:val="28"/>
          <w:szCs w:val="28"/>
        </w:rPr>
        <w:t>整合原</w:t>
      </w:r>
      <w:proofErr w:type="gramEnd"/>
      <w:r>
        <w:rPr>
          <w:rFonts w:ascii="仿宋" w:eastAsia="仿宋" w:hAnsi="仿宋" w:cs="仿宋" w:hint="eastAsia"/>
          <w:bCs/>
          <w:kern w:val="2"/>
          <w:sz w:val="28"/>
          <w:szCs w:val="28"/>
        </w:rPr>
        <w:t>国土职能、规划职能、林业职能，推动工作有效延续，坚持以为人民为中心的发展理念，紧紧</w:t>
      </w:r>
      <w:proofErr w:type="gramStart"/>
      <w:r>
        <w:rPr>
          <w:rFonts w:ascii="仿宋" w:eastAsia="仿宋" w:hAnsi="仿宋" w:cs="仿宋" w:hint="eastAsia"/>
          <w:bCs/>
          <w:kern w:val="2"/>
          <w:sz w:val="28"/>
          <w:szCs w:val="28"/>
        </w:rPr>
        <w:t>围守正创新</w:t>
      </w:r>
      <w:proofErr w:type="gramEnd"/>
      <w:r>
        <w:rPr>
          <w:rFonts w:ascii="仿宋" w:eastAsia="仿宋" w:hAnsi="仿宋" w:cs="仿宋" w:hint="eastAsia"/>
          <w:bCs/>
          <w:kern w:val="2"/>
          <w:sz w:val="28"/>
          <w:szCs w:val="28"/>
        </w:rPr>
        <w:t>高质量发展主线，攻坚克难顶压力，奋发有为补短板，齐心协力促亮点，全区自然资源工作持续稳中向好。现将2019年区委经济会议精神和政府重点工作贯彻落实情况汇报如下:</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一、落实乡村振兴“15条”有实效</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一）城乡建设用地增减挂钩年内收官。为加快推进增减挂钩工作，积极推进2019年增减挂钩工作的开展，第一期水田4.7530公顷、旱地17.3683公顷、其他农用地46.4107公顷；第二期水田7.1502公顷、旱地16.8562公顷、其他农用地48.5005公顷；第三期水田6.8992公顷、旱地18.4913公顷、其他农用地52.8788公顷已完成验收入库。</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（二）农村“空心房”整治完成预期目标。全区各乡镇累计上报摸底3602户（栋）452302.37平方米，上报完成拆除2635户（栋）</w:t>
      </w:r>
      <w:r>
        <w:rPr>
          <w:rFonts w:ascii="仿宋" w:eastAsia="仿宋" w:hAnsi="仿宋" w:cs="仿宋" w:hint="eastAsia"/>
          <w:bCs/>
          <w:kern w:val="2"/>
          <w:sz w:val="28"/>
          <w:szCs w:val="28"/>
        </w:rPr>
        <w:lastRenderedPageBreak/>
        <w:t>330117.18平方米，完成已调查摸底任务的73%，“</w:t>
      </w:r>
      <w:proofErr w:type="gramStart"/>
      <w:r>
        <w:rPr>
          <w:rFonts w:ascii="仿宋" w:eastAsia="仿宋" w:hAnsi="仿宋" w:cs="仿宋" w:hint="eastAsia"/>
          <w:bCs/>
          <w:kern w:val="2"/>
          <w:sz w:val="28"/>
          <w:szCs w:val="28"/>
        </w:rPr>
        <w:t>一</w:t>
      </w:r>
      <w:proofErr w:type="gramEnd"/>
      <w:r>
        <w:rPr>
          <w:rFonts w:ascii="仿宋" w:eastAsia="仿宋" w:hAnsi="仿宋" w:cs="仿宋" w:hint="eastAsia"/>
          <w:bCs/>
          <w:kern w:val="2"/>
          <w:sz w:val="28"/>
          <w:szCs w:val="28"/>
        </w:rPr>
        <w:t>乡三镇四带五片”所涉62个村的整治工作任务基本完成，现正组织进行实地验收。通过整治，大部分破烂不堪、年久失修的危房、老房、旧房已被拆除，不仅提高了土地利用率，人居环境也得到了较大改善，整治效果明显。</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（三）抢抓季节组织完成联村建绿和人工造林。市直单位联村建绿情况。根据《2019年娄底市娄星区联村建绿暨绿色通道建设实施方案》要求,2019年共完成市直单位联村建绿11个村，主要分布</w:t>
      </w:r>
      <w:proofErr w:type="gramStart"/>
      <w:r>
        <w:rPr>
          <w:rFonts w:ascii="仿宋" w:eastAsia="仿宋" w:hAnsi="仿宋" w:cs="仿宋" w:hint="eastAsia"/>
          <w:bCs/>
          <w:kern w:val="2"/>
          <w:sz w:val="28"/>
          <w:szCs w:val="28"/>
        </w:rPr>
        <w:t>在孙水河沿</w:t>
      </w:r>
      <w:proofErr w:type="gramEnd"/>
      <w:r>
        <w:rPr>
          <w:rFonts w:ascii="仿宋" w:eastAsia="仿宋" w:hAnsi="仿宋" w:cs="仿宋" w:hint="eastAsia"/>
          <w:bCs/>
          <w:kern w:val="2"/>
          <w:sz w:val="28"/>
          <w:szCs w:val="28"/>
        </w:rPr>
        <w:t>线的水洞底镇，总投资147.4万元，共栽植银杏、桂花、红叶石楠、楠木、杜鹃、等苗木22000株。成活率90%以上。区直单位联村建绿情况。全区联村建绿暨绿色通道建设区级财政共投入资金3000多万元，主要完成4条生态文明样板路及沿线村的联村建绿。对沿线40个村域范围内已硬化公路约195公里、秀美样板路沿线两侧100m以内的住宅5317户、四条样板路两侧裸露山地约480亩实施绿化。共栽植村级公路绿化苗木20000株、住宅绿化苗木41500株、山地绿化苗木94000株。其中通过双江乡生态文明样板</w:t>
      </w:r>
      <w:proofErr w:type="gramStart"/>
      <w:r>
        <w:rPr>
          <w:rFonts w:ascii="仿宋" w:eastAsia="仿宋" w:hAnsi="仿宋" w:cs="仿宋" w:hint="eastAsia"/>
          <w:bCs/>
          <w:kern w:val="2"/>
          <w:sz w:val="28"/>
          <w:szCs w:val="28"/>
        </w:rPr>
        <w:t>路独立</w:t>
      </w:r>
      <w:proofErr w:type="gramEnd"/>
      <w:r>
        <w:rPr>
          <w:rFonts w:ascii="仿宋" w:eastAsia="仿宋" w:hAnsi="仿宋" w:cs="仿宋" w:hint="eastAsia"/>
          <w:bCs/>
          <w:kern w:val="2"/>
          <w:sz w:val="28"/>
          <w:szCs w:val="28"/>
        </w:rPr>
        <w:t>设计，对紧靠公路两侧住宅320户示范户及可视范围内残次林地、重点地段进行景观设计，共栽植银杏、樱花、紫微、桂花等大苗11297株，小苗60440株。双江生态文明样板路二期工程9个景观节点共栽植绿化大苗3685株。人工造林工作。2019年完成营造林生产任务人工造林1万亩，其中重点工程造林营造长防林2200亩、中央财政造林2000亩；完成主要交通沿线裸露山地人工造林470亩；完成新造油茶林900亩；完成低产林改造2000亩（其中更新改造1500亩及示范林500</w:t>
      </w:r>
      <w:r>
        <w:rPr>
          <w:rFonts w:ascii="仿宋" w:eastAsia="仿宋" w:hAnsi="仿宋" w:cs="仿宋" w:hint="eastAsia"/>
          <w:bCs/>
          <w:kern w:val="2"/>
          <w:sz w:val="28"/>
          <w:szCs w:val="28"/>
        </w:rPr>
        <w:lastRenderedPageBreak/>
        <w:t>亩）；完成三边造林及“四旁一区”造林2430亩。完成封山育林2万亩，其中重点工程长防林封育4000亩。</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二、自然资源保护有实绩</w:t>
      </w:r>
      <w:r>
        <w:rPr>
          <w:rFonts w:ascii="仿宋" w:eastAsia="仿宋" w:hAnsi="仿宋" w:cs="仿宋" w:hint="eastAsia"/>
          <w:bCs/>
          <w:kern w:val="2"/>
          <w:sz w:val="28"/>
          <w:szCs w:val="28"/>
        </w:rPr>
        <w:tab/>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一）采（碎）石场整治持续巩固。今年，全区纳入专项整治范围的33家采石企业，已放开保留17家、停产整顿7家、限期退出2家、关闭退出7家。其中：放开保留的企业除1家因证照到期等原因已停供火工产品外，其余</w:t>
      </w:r>
      <w:proofErr w:type="gramStart"/>
      <w:r>
        <w:rPr>
          <w:rFonts w:ascii="仿宋" w:eastAsia="仿宋" w:hAnsi="仿宋" w:cs="仿宋" w:hint="eastAsia"/>
          <w:bCs/>
          <w:kern w:val="2"/>
          <w:sz w:val="28"/>
          <w:szCs w:val="28"/>
        </w:rPr>
        <w:t>均完善</w:t>
      </w:r>
      <w:proofErr w:type="gramEnd"/>
      <w:r>
        <w:rPr>
          <w:rFonts w:ascii="仿宋" w:eastAsia="仿宋" w:hAnsi="仿宋" w:cs="仿宋" w:hint="eastAsia"/>
          <w:bCs/>
          <w:kern w:val="2"/>
          <w:sz w:val="28"/>
          <w:szCs w:val="28"/>
        </w:rPr>
        <w:t>了相关证照手续，环保、水利等相关工程措施基本到位；停产整顿的7家企业中已有2家企业与放开保留企业完成资源整合；自愿申请限期退出的2家采石企业经区整治领导小组审定同意其于2020年12月30日前主动退出；列入关闭名单的7家采石企业，目前已有4家企业整合关闭，并已按要求编制关闭矿山地质环境恢复治理方案，正组织进行恢复治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（二）第三次国土调查通过国家级核查。娄星区第三次全国国土调查工作于2019年4月1日开始, 至4月30日，全面完成全区552.6平方公里的外业核查工作。5月13日，市、区三调办和监理单位对娄星区9万多个核查图斑进行了县级自检和市级复查，在规定的时间节点内向省厅提交了“三调”数据成果。2019年9月29日通过了省级验收，并于10月30日通过了国家核查。</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三）森林火灾、松材线虫病、地质灾害防治低发、不发。在区委、区政府的安排部署下，我局认真贯彻落实党中央、省、市、区对森林防灭火和地质灾害防治工作的安排部署，做到早安排，早部署，积极采取切实有效的防范措施。一是认真消除火灾隐患，全区无重大</w:t>
      </w:r>
      <w:r>
        <w:rPr>
          <w:rFonts w:ascii="仿宋" w:eastAsia="仿宋" w:hAnsi="仿宋" w:cs="仿宋" w:hint="eastAsia"/>
          <w:bCs/>
          <w:kern w:val="2"/>
          <w:sz w:val="28"/>
          <w:szCs w:val="28"/>
        </w:rPr>
        <w:lastRenderedPageBreak/>
        <w:t>以上森林火灾，无人员伤亡事故，特别是春节、清明、国庆期间，全区防火形势平稳，得到市区两级领导高度肯定。2019年以来，全区参与森林防火巡查和蹲守人员7000余人次，出动宣传车辆1000车次（摩托车500余车次）；组织林业站、护林员、应急队员进行了防火知识培训；录制了《湖南省关于森林防火的若干规定》、《致全区广大人民群众的公开信》、森林防火“八不烧、十不准”等音频资料在全区的宣传车、村村</w:t>
      </w:r>
      <w:proofErr w:type="gramStart"/>
      <w:r>
        <w:rPr>
          <w:rFonts w:ascii="仿宋" w:eastAsia="仿宋" w:hAnsi="仿宋" w:cs="仿宋" w:hint="eastAsia"/>
          <w:bCs/>
          <w:kern w:val="2"/>
          <w:sz w:val="28"/>
          <w:szCs w:val="28"/>
        </w:rPr>
        <w:t>响进行</w:t>
      </w:r>
      <w:proofErr w:type="gramEnd"/>
      <w:r>
        <w:rPr>
          <w:rFonts w:ascii="仿宋" w:eastAsia="仿宋" w:hAnsi="仿宋" w:cs="仿宋" w:hint="eastAsia"/>
          <w:bCs/>
          <w:kern w:val="2"/>
          <w:sz w:val="28"/>
          <w:szCs w:val="28"/>
        </w:rPr>
        <w:t>循环播放；推送手机短信30万条，发放宣传资料10万份，张贴禁火令5000份，发放至家长的一封信7万余封，发放印有森林防火知识的作业本4.2万个，制作宣传牌500块，在电视台宣传《禁火令》和滚动播放防火提示；在全区的村民群、家长群发送防火提示5000余次。排查火灾隐患220处，制止野外违规用火348次，查处野外违规用火人员5次，全区无森林火灾，无人员伤亡。二是拟定了《娄星区2019年度地质灾害防治方案》，对全区191处地质灾害隐患点进行全面排查，明确全区地质灾害点监测人、村级防灾责任人、乡镇防灾责任人，发放防灾明白卡，制定防灾应急预案；并积极推动双江乡、石井镇两个地质灾害项目的治理。6月19日，蛇形山</w:t>
      </w:r>
      <w:proofErr w:type="gramStart"/>
      <w:r>
        <w:rPr>
          <w:rFonts w:ascii="仿宋" w:eastAsia="仿宋" w:hAnsi="仿宋" w:cs="仿宋" w:hint="eastAsia"/>
          <w:bCs/>
          <w:kern w:val="2"/>
          <w:sz w:val="28"/>
          <w:szCs w:val="28"/>
        </w:rPr>
        <w:t>镇增桥村石</w:t>
      </w:r>
      <w:proofErr w:type="gramEnd"/>
      <w:r>
        <w:rPr>
          <w:rFonts w:ascii="仿宋" w:eastAsia="仿宋" w:hAnsi="仿宋" w:cs="仿宋" w:hint="eastAsia"/>
          <w:bCs/>
          <w:kern w:val="2"/>
          <w:sz w:val="28"/>
          <w:szCs w:val="28"/>
        </w:rPr>
        <w:t>岩组</w:t>
      </w:r>
      <w:proofErr w:type="gramStart"/>
      <w:r>
        <w:rPr>
          <w:rFonts w:ascii="仿宋" w:eastAsia="仿宋" w:hAnsi="仿宋" w:cs="仿宋" w:hint="eastAsia"/>
          <w:bCs/>
          <w:kern w:val="2"/>
          <w:sz w:val="28"/>
          <w:szCs w:val="28"/>
        </w:rPr>
        <w:t>一</w:t>
      </w:r>
      <w:proofErr w:type="gramEnd"/>
      <w:r>
        <w:rPr>
          <w:rFonts w:ascii="仿宋" w:eastAsia="仿宋" w:hAnsi="仿宋" w:cs="仿宋" w:hint="eastAsia"/>
          <w:bCs/>
          <w:kern w:val="2"/>
          <w:sz w:val="28"/>
          <w:szCs w:val="28"/>
        </w:rPr>
        <w:t>施工护坡垮塌，我局连夜组织技术力量赶赴现场配合工作组处理善后事宜，联合技术单位勘察提交了地质灾害技术报告。2018年9月，在万宝镇、石井镇、杉山镇部分村发现松材线虫病疫情，我区迅速启动松材线虫病防治工作，制订工作方案，组织力量开展</w:t>
      </w:r>
      <w:proofErr w:type="gramStart"/>
      <w:r>
        <w:rPr>
          <w:rFonts w:ascii="仿宋" w:eastAsia="仿宋" w:hAnsi="仿宋" w:cs="仿宋" w:hint="eastAsia"/>
          <w:bCs/>
          <w:kern w:val="2"/>
          <w:sz w:val="28"/>
          <w:szCs w:val="28"/>
        </w:rPr>
        <w:t>疫</w:t>
      </w:r>
      <w:proofErr w:type="gramEnd"/>
      <w:r>
        <w:rPr>
          <w:rFonts w:ascii="仿宋" w:eastAsia="仿宋" w:hAnsi="仿宋" w:cs="仿宋" w:hint="eastAsia"/>
          <w:bCs/>
          <w:kern w:val="2"/>
          <w:sz w:val="28"/>
          <w:szCs w:val="28"/>
        </w:rPr>
        <w:t>木除治工作，调查登记</w:t>
      </w:r>
      <w:proofErr w:type="gramStart"/>
      <w:r>
        <w:rPr>
          <w:rFonts w:ascii="仿宋" w:eastAsia="仿宋" w:hAnsi="仿宋" w:cs="仿宋" w:hint="eastAsia"/>
          <w:bCs/>
          <w:kern w:val="2"/>
          <w:sz w:val="28"/>
          <w:szCs w:val="28"/>
        </w:rPr>
        <w:t>疫</w:t>
      </w:r>
      <w:proofErr w:type="gramEnd"/>
      <w:r>
        <w:rPr>
          <w:rFonts w:ascii="仿宋" w:eastAsia="仿宋" w:hAnsi="仿宋" w:cs="仿宋" w:hint="eastAsia"/>
          <w:bCs/>
          <w:kern w:val="2"/>
          <w:sz w:val="28"/>
          <w:szCs w:val="28"/>
        </w:rPr>
        <w:t>木9000多株，目前，万宝镇已除治3000多株，石井镇已除治700多株，杉山镇已除治4000多</w:t>
      </w:r>
      <w:r>
        <w:rPr>
          <w:rFonts w:ascii="仿宋" w:eastAsia="仿宋" w:hAnsi="仿宋" w:cs="仿宋" w:hint="eastAsia"/>
          <w:bCs/>
          <w:kern w:val="2"/>
          <w:sz w:val="28"/>
          <w:szCs w:val="28"/>
        </w:rPr>
        <w:lastRenderedPageBreak/>
        <w:t>株，后续防治工作在全市有疫情区域率先启动无人机防治。今年顺利通过省林业局和市林业局来区督查考核，对全区的松材线虫病的除治工作予以充分肯定并提出了表扬。</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（四）“大棚房”清理通过</w:t>
      </w:r>
      <w:proofErr w:type="gramStart"/>
      <w:r>
        <w:rPr>
          <w:rFonts w:ascii="仿宋" w:eastAsia="仿宋" w:hAnsi="仿宋" w:cs="仿宋" w:hint="eastAsia"/>
          <w:bCs/>
          <w:kern w:val="2"/>
          <w:sz w:val="28"/>
          <w:szCs w:val="28"/>
        </w:rPr>
        <w:t>国省验收</w:t>
      </w:r>
      <w:proofErr w:type="gramEnd"/>
      <w:r>
        <w:rPr>
          <w:rFonts w:ascii="仿宋" w:eastAsia="仿宋" w:hAnsi="仿宋" w:cs="仿宋" w:hint="eastAsia"/>
          <w:bCs/>
          <w:kern w:val="2"/>
          <w:sz w:val="28"/>
          <w:szCs w:val="28"/>
        </w:rPr>
        <w:t>。对全区2966处省下发的</w:t>
      </w:r>
      <w:proofErr w:type="gramStart"/>
      <w:r>
        <w:rPr>
          <w:rFonts w:ascii="仿宋" w:eastAsia="仿宋" w:hAnsi="仿宋" w:cs="仿宋" w:hint="eastAsia"/>
          <w:bCs/>
          <w:kern w:val="2"/>
          <w:sz w:val="28"/>
          <w:szCs w:val="28"/>
        </w:rPr>
        <w:t>疑似图</w:t>
      </w:r>
      <w:proofErr w:type="gramEnd"/>
      <w:r>
        <w:rPr>
          <w:rFonts w:ascii="仿宋" w:eastAsia="仿宋" w:hAnsi="仿宋" w:cs="仿宋" w:hint="eastAsia"/>
          <w:bCs/>
          <w:kern w:val="2"/>
          <w:sz w:val="28"/>
          <w:szCs w:val="28"/>
        </w:rPr>
        <w:t>斑点进行现场清查核实。在清查中共发现违法违规“大棚房”6处，存在问题37个，</w:t>
      </w:r>
      <w:proofErr w:type="gramStart"/>
      <w:r>
        <w:rPr>
          <w:rFonts w:ascii="仿宋" w:eastAsia="仿宋" w:hAnsi="仿宋" w:cs="仿宋" w:hint="eastAsia"/>
          <w:bCs/>
          <w:kern w:val="2"/>
          <w:sz w:val="28"/>
          <w:szCs w:val="28"/>
        </w:rPr>
        <w:t>违建面积</w:t>
      </w:r>
      <w:proofErr w:type="gramEnd"/>
      <w:r>
        <w:rPr>
          <w:rFonts w:ascii="仿宋" w:eastAsia="仿宋" w:hAnsi="仿宋" w:cs="仿宋" w:hint="eastAsia"/>
          <w:bCs/>
          <w:kern w:val="2"/>
          <w:sz w:val="28"/>
          <w:szCs w:val="28"/>
        </w:rPr>
        <w:t>达到32.3亩。会同农业农村局对符合设施农用地备案条件的双江乡成辉珍稀养殖场等设施农用地完善了备案登记手续；对九源农业示范基地和三和绿缘2处违法占地进行了立案查处，对奥达生态农庄、九源农业示范基地、三和绿缘、双林乐佳农业、农康生态园、顺水乐园等6处违法违规建设全部拆除复耕，其中拆除复垦到位4处，恢复耕地面积7.45亩，整改复垦2处，恢复耕地面积18.75亩，整改到位率达到100%；37个问题也全部整改到位，已顺利通过省级和国家督导组的检查验收。</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（五）控</w:t>
      </w:r>
      <w:proofErr w:type="gramStart"/>
      <w:r>
        <w:rPr>
          <w:rFonts w:ascii="仿宋" w:eastAsia="仿宋" w:hAnsi="仿宋" w:cs="仿宋" w:hint="eastAsia"/>
          <w:bCs/>
          <w:kern w:val="2"/>
          <w:sz w:val="28"/>
          <w:szCs w:val="28"/>
        </w:rPr>
        <w:t>违拆违工作</w:t>
      </w:r>
      <w:proofErr w:type="gramEnd"/>
      <w:r>
        <w:rPr>
          <w:rFonts w:ascii="仿宋" w:eastAsia="仿宋" w:hAnsi="仿宋" w:cs="仿宋" w:hint="eastAsia"/>
          <w:bCs/>
          <w:kern w:val="2"/>
          <w:sz w:val="28"/>
          <w:szCs w:val="28"/>
        </w:rPr>
        <w:t>成效明显。进一步明确各级控</w:t>
      </w:r>
      <w:proofErr w:type="gramStart"/>
      <w:r>
        <w:rPr>
          <w:rFonts w:ascii="仿宋" w:eastAsia="仿宋" w:hAnsi="仿宋" w:cs="仿宋" w:hint="eastAsia"/>
          <w:bCs/>
          <w:kern w:val="2"/>
          <w:sz w:val="28"/>
          <w:szCs w:val="28"/>
        </w:rPr>
        <w:t>违拆违</w:t>
      </w:r>
      <w:proofErr w:type="gramEnd"/>
      <w:r>
        <w:rPr>
          <w:rFonts w:ascii="仿宋" w:eastAsia="仿宋" w:hAnsi="仿宋" w:cs="仿宋" w:hint="eastAsia"/>
          <w:bCs/>
          <w:kern w:val="2"/>
          <w:sz w:val="28"/>
          <w:szCs w:val="28"/>
        </w:rPr>
        <w:t>职责，通过全面推行有“一”即“零”考核新模式，各乡镇街道控</w:t>
      </w:r>
      <w:proofErr w:type="gramStart"/>
      <w:r>
        <w:rPr>
          <w:rFonts w:ascii="仿宋" w:eastAsia="仿宋" w:hAnsi="仿宋" w:cs="仿宋" w:hint="eastAsia"/>
          <w:bCs/>
          <w:kern w:val="2"/>
          <w:sz w:val="28"/>
          <w:szCs w:val="28"/>
        </w:rPr>
        <w:t>违拆违工作</w:t>
      </w:r>
      <w:proofErr w:type="gramEnd"/>
      <w:r>
        <w:rPr>
          <w:rFonts w:ascii="仿宋" w:eastAsia="仿宋" w:hAnsi="仿宋" w:cs="仿宋" w:hint="eastAsia"/>
          <w:bCs/>
          <w:kern w:val="2"/>
          <w:sz w:val="28"/>
          <w:szCs w:val="28"/>
        </w:rPr>
        <w:t>实现了从“被动控违拆违”向“主动控违拆违”的良性转变，工作作风和执法力度大幅提升。2019年全区共</w:t>
      </w:r>
      <w:proofErr w:type="gramStart"/>
      <w:r>
        <w:rPr>
          <w:rFonts w:ascii="仿宋" w:eastAsia="仿宋" w:hAnsi="仿宋" w:cs="仿宋" w:hint="eastAsia"/>
          <w:bCs/>
          <w:kern w:val="2"/>
          <w:sz w:val="28"/>
          <w:szCs w:val="28"/>
        </w:rPr>
        <w:t>控制违建175处</w:t>
      </w:r>
      <w:proofErr w:type="gramEnd"/>
      <w:r>
        <w:rPr>
          <w:rFonts w:ascii="仿宋" w:eastAsia="仿宋" w:hAnsi="仿宋" w:cs="仿宋" w:hint="eastAsia"/>
          <w:bCs/>
          <w:kern w:val="2"/>
          <w:sz w:val="28"/>
          <w:szCs w:val="28"/>
        </w:rPr>
        <w:t>30076.35㎡，拆除违法建设487处67953.1㎡（含娄星区样板路整治拆除违建）;发出违法建设交办督办函64件，处置信访举报45件；下达行政处罚决定书153份，执行到位率为98%。进一步推进</w:t>
      </w:r>
      <w:proofErr w:type="gramStart"/>
      <w:r>
        <w:rPr>
          <w:rFonts w:ascii="仿宋" w:eastAsia="仿宋" w:hAnsi="仿宋" w:cs="仿宋" w:hint="eastAsia"/>
          <w:bCs/>
          <w:kern w:val="2"/>
          <w:sz w:val="28"/>
          <w:szCs w:val="28"/>
        </w:rPr>
        <w:t>历史违建清</w:t>
      </w:r>
      <w:proofErr w:type="gramEnd"/>
      <w:r>
        <w:rPr>
          <w:rFonts w:ascii="仿宋" w:eastAsia="仿宋" w:hAnsi="仿宋" w:cs="仿宋" w:hint="eastAsia"/>
          <w:bCs/>
          <w:kern w:val="2"/>
          <w:sz w:val="28"/>
          <w:szCs w:val="28"/>
        </w:rPr>
        <w:t>零工作，2019年10月制定《娄星区2019年违法建设集中拆除行动实施方案》（娄星</w:t>
      </w:r>
      <w:proofErr w:type="gramStart"/>
      <w:r>
        <w:rPr>
          <w:rFonts w:ascii="仿宋" w:eastAsia="仿宋" w:hAnsi="仿宋" w:cs="仿宋" w:hint="eastAsia"/>
          <w:bCs/>
          <w:kern w:val="2"/>
          <w:sz w:val="28"/>
          <w:szCs w:val="28"/>
        </w:rPr>
        <w:t>控拆发〔2019〕</w:t>
      </w:r>
      <w:proofErr w:type="gramEnd"/>
      <w:r>
        <w:rPr>
          <w:rFonts w:ascii="仿宋" w:eastAsia="仿宋" w:hAnsi="仿宋" w:cs="仿宋" w:hint="eastAsia"/>
          <w:bCs/>
          <w:kern w:val="2"/>
          <w:sz w:val="28"/>
          <w:szCs w:val="28"/>
        </w:rPr>
        <w:t>4号），自10月10日至10月20日期间对中</w:t>
      </w:r>
      <w:r>
        <w:rPr>
          <w:rFonts w:ascii="仿宋" w:eastAsia="仿宋" w:hAnsi="仿宋" w:cs="仿宋" w:hint="eastAsia"/>
          <w:bCs/>
          <w:kern w:val="2"/>
          <w:sz w:val="28"/>
          <w:szCs w:val="28"/>
        </w:rPr>
        <w:lastRenderedPageBreak/>
        <w:t>心城区范围内重点</w:t>
      </w:r>
      <w:proofErr w:type="gramStart"/>
      <w:r>
        <w:rPr>
          <w:rFonts w:ascii="仿宋" w:eastAsia="仿宋" w:hAnsi="仿宋" w:cs="仿宋" w:hint="eastAsia"/>
          <w:bCs/>
          <w:kern w:val="2"/>
          <w:sz w:val="28"/>
          <w:szCs w:val="28"/>
        </w:rPr>
        <w:t>违建集中</w:t>
      </w:r>
      <w:proofErr w:type="gramEnd"/>
      <w:r>
        <w:rPr>
          <w:rFonts w:ascii="仿宋" w:eastAsia="仿宋" w:hAnsi="仿宋" w:cs="仿宋" w:hint="eastAsia"/>
          <w:bCs/>
          <w:kern w:val="2"/>
          <w:sz w:val="28"/>
          <w:szCs w:val="28"/>
        </w:rPr>
        <w:t>开展违法建设集中拆除行动，截止10月20日，已集中</w:t>
      </w:r>
      <w:proofErr w:type="gramStart"/>
      <w:r>
        <w:rPr>
          <w:rFonts w:ascii="仿宋" w:eastAsia="仿宋" w:hAnsi="仿宋" w:cs="仿宋" w:hint="eastAsia"/>
          <w:bCs/>
          <w:kern w:val="2"/>
          <w:sz w:val="28"/>
          <w:szCs w:val="28"/>
        </w:rPr>
        <w:t>拆除违建44处</w:t>
      </w:r>
      <w:proofErr w:type="gramEnd"/>
      <w:r>
        <w:rPr>
          <w:rFonts w:ascii="仿宋" w:eastAsia="仿宋" w:hAnsi="仿宋" w:cs="仿宋" w:hint="eastAsia"/>
          <w:bCs/>
          <w:kern w:val="2"/>
          <w:sz w:val="28"/>
          <w:szCs w:val="28"/>
        </w:rPr>
        <w:t>，1.3万平方米，严格按要求整改落实市委第二巡察组巡察反馈的13类26个具体问题，依法拆除中心城区多处“老大难”违法建设，工作成效得到市委、市政府领导的充分肯定。</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六）农村宅基地确权登记发证工作开展顺利。娄星区房地一体的农村宅基地确权登记发证工作在面临人力、物力、财力及政策等诸多困难因素下，于2019年7月1日，在万宝镇正式启动了试点工作，并在全区其他乡镇加快推动起来，目前已完成13宗地的权籍调查工作。11月4日上午在市自然资源和规划局进行了集体土地不动产登记发证</w:t>
      </w:r>
      <w:proofErr w:type="gramStart"/>
      <w:r>
        <w:rPr>
          <w:rFonts w:ascii="仿宋" w:eastAsia="仿宋" w:hAnsi="仿宋" w:cs="仿宋" w:hint="eastAsia"/>
          <w:bCs/>
          <w:kern w:val="2"/>
          <w:sz w:val="28"/>
          <w:szCs w:val="28"/>
        </w:rPr>
        <w:t>的首证发放</w:t>
      </w:r>
      <w:proofErr w:type="gramEnd"/>
      <w:r>
        <w:rPr>
          <w:rFonts w:ascii="仿宋" w:eastAsia="仿宋" w:hAnsi="仿宋" w:cs="仿宋" w:hint="eastAsia"/>
          <w:bCs/>
          <w:kern w:val="2"/>
          <w:sz w:val="28"/>
          <w:szCs w:val="28"/>
        </w:rPr>
        <w:t>仪式，这标志着娄星区集体土地不动产登记发证工作全面展开。</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七）审批工作进行了规范。我局自3月28日挂牌成立以来，在区分管领导的指导带领下，我局对职责范围内的审批工作进行规范。一是组织原国土、规划、林业相关人员开展了为期一周的调研，广泛征求了各方的意见，研究理顺合并优化审批流程，实现了“一表”流程审批，进一步加强民房审批管理，完善审批制度，简化审批流程。二是进一步加强民房审批后的监管工作，试点推行“带图审批”管理新方法，增加对民房地基基础的复核工作，基础成形且通过复核验收后方可挂牌建设，</w:t>
      </w:r>
      <w:proofErr w:type="gramStart"/>
      <w:r>
        <w:rPr>
          <w:rFonts w:ascii="仿宋" w:eastAsia="仿宋" w:hAnsi="仿宋" w:cs="仿宋" w:hint="eastAsia"/>
          <w:bCs/>
          <w:kern w:val="2"/>
          <w:sz w:val="28"/>
          <w:szCs w:val="28"/>
        </w:rPr>
        <w:t>切实将批后</w:t>
      </w:r>
      <w:proofErr w:type="gramEnd"/>
      <w:r>
        <w:rPr>
          <w:rFonts w:ascii="仿宋" w:eastAsia="仿宋" w:hAnsi="仿宋" w:cs="仿宋" w:hint="eastAsia"/>
          <w:bCs/>
          <w:kern w:val="2"/>
          <w:sz w:val="28"/>
          <w:szCs w:val="28"/>
        </w:rPr>
        <w:t>管理转变为同步管理，有效从源头遏制少批多建、移位建设</w:t>
      </w:r>
      <w:proofErr w:type="gramStart"/>
      <w:r>
        <w:rPr>
          <w:rFonts w:ascii="仿宋" w:eastAsia="仿宋" w:hAnsi="仿宋" w:cs="仿宋" w:hint="eastAsia"/>
          <w:bCs/>
          <w:kern w:val="2"/>
          <w:sz w:val="28"/>
          <w:szCs w:val="28"/>
        </w:rPr>
        <w:t>等违建发生</w:t>
      </w:r>
      <w:proofErr w:type="gramEnd"/>
      <w:r>
        <w:rPr>
          <w:rFonts w:ascii="仿宋" w:eastAsia="仿宋" w:hAnsi="仿宋" w:cs="仿宋" w:hint="eastAsia"/>
          <w:bCs/>
          <w:kern w:val="2"/>
          <w:sz w:val="28"/>
          <w:szCs w:val="28"/>
        </w:rPr>
        <w:t>。三是加强审批政策宣传，提升公众参与度和认识度。目前，2018年审批的1747户和2019年至今审批</w:t>
      </w:r>
      <w:r>
        <w:rPr>
          <w:rFonts w:ascii="仿宋" w:eastAsia="仿宋" w:hAnsi="仿宋" w:cs="仿宋" w:hint="eastAsia"/>
          <w:bCs/>
          <w:kern w:val="2"/>
          <w:sz w:val="28"/>
          <w:szCs w:val="28"/>
        </w:rPr>
        <w:lastRenderedPageBreak/>
        <w:t>的726户民房的审批、发证相关情况全部通过网站、“互联网+监督”等平台对外公示，接受群众监督。四是严格落实矿产资源管理。严格按相关法律法规规定办理本辖区内的5家非煤矿山企业采矿权变更、延续登记手续；收取采矿权出让收益金1500多万元。按照湖南省</w:t>
      </w:r>
      <w:proofErr w:type="gramStart"/>
      <w:r>
        <w:rPr>
          <w:rFonts w:ascii="仿宋" w:eastAsia="仿宋" w:hAnsi="仿宋" w:cs="仿宋" w:hint="eastAsia"/>
          <w:bCs/>
          <w:kern w:val="2"/>
          <w:sz w:val="28"/>
          <w:szCs w:val="28"/>
        </w:rPr>
        <w:t>资源资源</w:t>
      </w:r>
      <w:proofErr w:type="gramEnd"/>
      <w:r>
        <w:rPr>
          <w:rFonts w:ascii="仿宋" w:eastAsia="仿宋" w:hAnsi="仿宋" w:cs="仿宋" w:hint="eastAsia"/>
          <w:bCs/>
          <w:kern w:val="2"/>
          <w:sz w:val="28"/>
          <w:szCs w:val="28"/>
        </w:rPr>
        <w:t>厅（湘国土资</w:t>
      </w:r>
      <w:proofErr w:type="gramStart"/>
      <w:r>
        <w:rPr>
          <w:rFonts w:ascii="仿宋" w:eastAsia="仿宋" w:hAnsi="仿宋" w:cs="仿宋" w:hint="eastAsia"/>
          <w:bCs/>
          <w:kern w:val="2"/>
          <w:sz w:val="28"/>
          <w:szCs w:val="28"/>
        </w:rPr>
        <w:t>规</w:t>
      </w:r>
      <w:proofErr w:type="gramEnd"/>
      <w:r>
        <w:rPr>
          <w:rFonts w:ascii="仿宋" w:eastAsia="仿宋" w:hAnsi="仿宋" w:cs="仿宋" w:hint="eastAsia"/>
          <w:bCs/>
          <w:kern w:val="2"/>
          <w:sz w:val="28"/>
          <w:szCs w:val="28"/>
        </w:rPr>
        <w:t>〔2018〕4号）要求，对娄星区蛇形山煤矿、咸沙坝煤矿等2家煤矿的采矿登记手续于2019年2月申报省厅并已办理完成。依据相关产业政策规定要求，积极配合相关部门对娄星区蛇形</w:t>
      </w:r>
      <w:proofErr w:type="gramStart"/>
      <w:r>
        <w:rPr>
          <w:rFonts w:ascii="仿宋" w:eastAsia="仿宋" w:hAnsi="仿宋" w:cs="仿宋" w:hint="eastAsia"/>
          <w:bCs/>
          <w:kern w:val="2"/>
          <w:sz w:val="28"/>
          <w:szCs w:val="28"/>
        </w:rPr>
        <w:t>山镇秋湖</w:t>
      </w:r>
      <w:proofErr w:type="gramEnd"/>
      <w:r>
        <w:rPr>
          <w:rFonts w:ascii="仿宋" w:eastAsia="仿宋" w:hAnsi="仿宋" w:cs="仿宋" w:hint="eastAsia"/>
          <w:bCs/>
          <w:kern w:val="2"/>
          <w:sz w:val="28"/>
          <w:szCs w:val="28"/>
        </w:rPr>
        <w:t>煤矿进行关闭（注销）退出验收，于2019年8月已办理完成采矿权注销登记申报程序，并上报省自然资源厅。</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（八）驻村帮扶工作</w:t>
      </w:r>
      <w:proofErr w:type="gramStart"/>
      <w:r>
        <w:rPr>
          <w:rFonts w:ascii="仿宋" w:eastAsia="仿宋" w:hAnsi="仿宋" w:cs="仿宋" w:hint="eastAsia"/>
          <w:bCs/>
          <w:kern w:val="2"/>
          <w:sz w:val="28"/>
          <w:szCs w:val="28"/>
        </w:rPr>
        <w:t>开展成效</w:t>
      </w:r>
      <w:proofErr w:type="gramEnd"/>
      <w:r>
        <w:rPr>
          <w:rFonts w:ascii="仿宋" w:eastAsia="仿宋" w:hAnsi="仿宋" w:cs="仿宋" w:hint="eastAsia"/>
          <w:bCs/>
          <w:kern w:val="2"/>
          <w:sz w:val="28"/>
          <w:szCs w:val="28"/>
        </w:rPr>
        <w:t>明显。2019年，根据区委、区政府在安排部署，我局帮扶水洞底镇凤冠村、蛇形山镇姚桥村、</w:t>
      </w:r>
      <w:proofErr w:type="gramStart"/>
      <w:r>
        <w:rPr>
          <w:rFonts w:ascii="仿宋" w:eastAsia="仿宋" w:hAnsi="仿宋" w:cs="仿宋" w:hint="eastAsia"/>
          <w:bCs/>
          <w:kern w:val="2"/>
          <w:sz w:val="28"/>
          <w:szCs w:val="28"/>
        </w:rPr>
        <w:t>增桥村</w:t>
      </w:r>
      <w:proofErr w:type="gramEnd"/>
      <w:r>
        <w:rPr>
          <w:rFonts w:ascii="仿宋" w:eastAsia="仿宋" w:hAnsi="仿宋" w:cs="仿宋" w:hint="eastAsia"/>
          <w:bCs/>
          <w:kern w:val="2"/>
          <w:sz w:val="28"/>
          <w:szCs w:val="28"/>
        </w:rPr>
        <w:t>，根据实际需要，我局建立了三支驻村帮扶工作队常驻工作，三个村共有建档立卡贫困户224户516人，2019年预脱贫户47户103人,2020年预脱贫户4户10人，全局67名干部结对帮扶。进驻以来，我局提高政治站位，坚持从实际出发，通过对贫困户开展“一月一访”，及时掌握贫困户的生活实际和思想动态；因户施策，切实做好贫困户“两不愁，三保障”工作，实施产业帮扶，为贫因户送去果苗、鸡苗，</w:t>
      </w:r>
      <w:proofErr w:type="gramStart"/>
      <w:r>
        <w:rPr>
          <w:rFonts w:ascii="仿宋" w:eastAsia="仿宋" w:hAnsi="仿宋" w:cs="仿宋" w:hint="eastAsia"/>
          <w:bCs/>
          <w:kern w:val="2"/>
          <w:sz w:val="28"/>
          <w:szCs w:val="28"/>
        </w:rPr>
        <w:t>积板引导</w:t>
      </w:r>
      <w:proofErr w:type="gramEnd"/>
      <w:r>
        <w:rPr>
          <w:rFonts w:ascii="仿宋" w:eastAsia="仿宋" w:hAnsi="仿宋" w:cs="仿宋" w:hint="eastAsia"/>
          <w:bCs/>
          <w:kern w:val="2"/>
          <w:sz w:val="28"/>
          <w:szCs w:val="28"/>
        </w:rPr>
        <w:t>224户贫因户发展种、养殖业，并委托专业人员指导种养殖，为贫困户增收；发挥产业扶贫资金效益，其中</w:t>
      </w:r>
      <w:proofErr w:type="gramStart"/>
      <w:r>
        <w:rPr>
          <w:rFonts w:ascii="仿宋" w:eastAsia="仿宋" w:hAnsi="仿宋" w:cs="仿宋" w:hint="eastAsia"/>
          <w:bCs/>
          <w:kern w:val="2"/>
          <w:sz w:val="28"/>
          <w:szCs w:val="28"/>
        </w:rPr>
        <w:t>引导风冠村</w:t>
      </w:r>
      <w:proofErr w:type="gramEnd"/>
      <w:r>
        <w:rPr>
          <w:rFonts w:ascii="仿宋" w:eastAsia="仿宋" w:hAnsi="仿宋" w:cs="仿宋" w:hint="eastAsia"/>
          <w:bCs/>
          <w:kern w:val="2"/>
          <w:sz w:val="28"/>
          <w:szCs w:val="28"/>
        </w:rPr>
        <w:t>贫困户自愿入股驼鸟基地，放益分红。搞好消费扶贫工作，积极发动本局干部职工以及相关社会力量购买贫困群众的农副产品，或通过电商平台等多种方式解决贫困户农副产品销路难的问题。积极开展“六一”、“中</w:t>
      </w:r>
      <w:r>
        <w:rPr>
          <w:rFonts w:ascii="仿宋" w:eastAsia="仿宋" w:hAnsi="仿宋" w:cs="仿宋" w:hint="eastAsia"/>
          <w:bCs/>
          <w:kern w:val="2"/>
          <w:sz w:val="28"/>
          <w:szCs w:val="28"/>
        </w:rPr>
        <w:lastRenderedPageBreak/>
        <w:t>秋”等慰问活动，扶贫日组织全体干部职工向贫困学生和</w:t>
      </w:r>
      <w:proofErr w:type="gramStart"/>
      <w:r>
        <w:rPr>
          <w:rFonts w:ascii="仿宋" w:eastAsia="仿宋" w:hAnsi="仿宋" w:cs="仿宋" w:hint="eastAsia"/>
          <w:bCs/>
          <w:kern w:val="2"/>
          <w:sz w:val="28"/>
          <w:szCs w:val="28"/>
        </w:rPr>
        <w:t>危改户</w:t>
      </w:r>
      <w:proofErr w:type="gramEnd"/>
      <w:r>
        <w:rPr>
          <w:rFonts w:ascii="仿宋" w:eastAsia="仿宋" w:hAnsi="仿宋" w:cs="仿宋" w:hint="eastAsia"/>
          <w:bCs/>
          <w:kern w:val="2"/>
          <w:sz w:val="28"/>
          <w:szCs w:val="28"/>
        </w:rPr>
        <w:t>定向捐款9000元，让贫苦</w:t>
      </w:r>
      <w:proofErr w:type="gramStart"/>
      <w:r>
        <w:rPr>
          <w:rFonts w:ascii="仿宋" w:eastAsia="仿宋" w:hAnsi="仿宋" w:cs="仿宋" w:hint="eastAsia"/>
          <w:bCs/>
          <w:kern w:val="2"/>
          <w:sz w:val="28"/>
          <w:szCs w:val="28"/>
        </w:rPr>
        <w:t>户时刻</w:t>
      </w:r>
      <w:proofErr w:type="gramEnd"/>
      <w:r>
        <w:rPr>
          <w:rFonts w:ascii="仿宋" w:eastAsia="仿宋" w:hAnsi="仿宋" w:cs="仿宋" w:hint="eastAsia"/>
          <w:bCs/>
          <w:kern w:val="2"/>
          <w:sz w:val="28"/>
          <w:szCs w:val="28"/>
        </w:rPr>
        <w:t>感受到党和政府的关怀与温暖。目前，我局将进一步加强帮扶工作力度，全力以赴做好脱贫攻坚年终扫尾工作，确保今年局属三个帮扶村的预脱贫户47户103人全部顺利脱贫摘帽。</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三、部门整体支出规模、使用方向、主要内容和涉及范围。</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我办根据《会计法》、《预算法》、《会计管理法》等制定了本办财务内部控制制度，涵盖财务管理、会计核算、厉行节约等各项内控制度，合法、合</w:t>
      </w:r>
      <w:proofErr w:type="gramStart"/>
      <w:r>
        <w:rPr>
          <w:rFonts w:ascii="仿宋" w:eastAsia="仿宋" w:hAnsi="仿宋" w:cs="仿宋" w:hint="eastAsia"/>
          <w:bCs/>
          <w:kern w:val="2"/>
          <w:sz w:val="28"/>
          <w:szCs w:val="28"/>
        </w:rPr>
        <w:t>规</w:t>
      </w:r>
      <w:proofErr w:type="gramEnd"/>
      <w:r>
        <w:rPr>
          <w:rFonts w:ascii="仿宋" w:eastAsia="仿宋" w:hAnsi="仿宋" w:cs="仿宋" w:hint="eastAsia"/>
          <w:bCs/>
          <w:kern w:val="2"/>
          <w:sz w:val="28"/>
          <w:szCs w:val="28"/>
        </w:rPr>
        <w:t>、完整，并严格遵照执行。</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1、关于2019年整体支出规模情况。2019年支出数3946.5万元，其中：工资福利支出869.96万；商品服务支出1031.35万；对个人和家庭的补助2018.02万，其他资本性支出27.17万元。</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2、资金使用方向。2019年单位收入数3946.5万元，其中：财政拨款收入3946.5万元，其他收入0万元。支出数3946.5万元，其中：一般公共服务支出15.99万元，社会保障和就业支出154.1万元，卫生健康支出53.16万元，城乡社区支出518.42万元，农林水支出2445.87万元，自然资源海洋气象等支出247.3，住房保障支出79.74万元，灾害防治及应急管理支出429.8万元，其他支出2万元。</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3、基本支出：2019年为2998.1万元，</w:t>
      </w:r>
      <w:proofErr w:type="gramStart"/>
      <w:r>
        <w:rPr>
          <w:rFonts w:ascii="仿宋" w:eastAsia="仿宋" w:hAnsi="仿宋" w:cs="仿宋" w:hint="eastAsia"/>
          <w:bCs/>
          <w:kern w:val="2"/>
          <w:sz w:val="28"/>
          <w:szCs w:val="28"/>
        </w:rPr>
        <w:t>系保障</w:t>
      </w:r>
      <w:proofErr w:type="gramEnd"/>
      <w:r>
        <w:rPr>
          <w:rFonts w:ascii="仿宋" w:eastAsia="仿宋" w:hAnsi="仿宋" w:cs="仿宋" w:hint="eastAsia"/>
          <w:bCs/>
          <w:kern w:val="2"/>
          <w:sz w:val="28"/>
          <w:szCs w:val="28"/>
        </w:rPr>
        <w:t>本单位机构正常运转、完成日常工作任务而发生的各项支出，包括用于在职人员基本工资、津贴补贴等人员经费以及办公费、印刷费、水电费、办公设备购置等日常公用经费。其中：工资福利支出869.96万；商品服务支</w:t>
      </w:r>
      <w:r>
        <w:rPr>
          <w:rFonts w:ascii="仿宋" w:eastAsia="仿宋" w:hAnsi="仿宋" w:cs="仿宋" w:hint="eastAsia"/>
          <w:bCs/>
          <w:kern w:val="2"/>
          <w:sz w:val="28"/>
          <w:szCs w:val="28"/>
        </w:rPr>
        <w:lastRenderedPageBreak/>
        <w:t>出933.74万；对个人和家庭的补助 1167.22万，资本性支出27.17万元。</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4、关于2019年度“三公”经费决算情况。“三公”经费支出总计6.74万元，较去年增加了6.74万元，原因为2019年为新成立单位。其中：公车运行维护费2.31万元，公务接待费4.42万元。</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5、关于2019年一般公共预算当年拨款情况说明。2019年一般公共预算拨款收入3946.5万元;一般公共预算拨款支出3946.5万元，其中：一般公共服务支出15.99万元，社会保障和就业支出154.1万元，卫生健康支出53.16万元，城乡社区支出518.42万元，农林水支出2445.87万元，自然资源海洋气象等支出247.3，住房保障支出79.74万元，灾害防治及应急管理支出429.8万元，其他支出2万元。</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6、关于2019年政府性基金预算支出情况的说明。我单位没有使用政府性基金预算支出。</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7、关于2019年收支预算情况的总体说明。2019年部门预算收入有一般公共预算收入；支出包括保障本单位机构正常运转、完成日常工作任务而发生的各项支出，包括人员经费和日常公用经费。</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四、部门整体支出绩效情况</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（一）2019年部门整体支出绩效目标设定及指标设置情况；</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目标1：保障</w:t>
      </w:r>
      <w:r w:rsidR="00C56CF5">
        <w:rPr>
          <w:rFonts w:ascii="仿宋" w:eastAsia="仿宋" w:hAnsi="仿宋" w:cs="仿宋" w:hint="eastAsia"/>
          <w:b/>
          <w:kern w:val="2"/>
          <w:sz w:val="28"/>
          <w:szCs w:val="28"/>
        </w:rPr>
        <w:t>自然资源局</w:t>
      </w:r>
      <w:r>
        <w:rPr>
          <w:rFonts w:ascii="仿宋" w:eastAsia="仿宋" w:hAnsi="仿宋" w:cs="仿宋" w:hint="eastAsia"/>
          <w:b/>
          <w:kern w:val="2"/>
          <w:sz w:val="28"/>
          <w:szCs w:val="28"/>
        </w:rPr>
        <w:t>在职人员的工作正常运转</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产出指标：100%保障工作人员薪酬及正常福利，总成本316.37万元,其中公积金79.74万元，工资性支出338.38万元，养老保险及职业年金135.13万元，医疗保险53.16万元</w:t>
      </w:r>
      <w:r>
        <w:rPr>
          <w:rFonts w:ascii="仿宋" w:eastAsia="仿宋" w:hAnsi="仿宋" w:cs="仿宋" w:hint="eastAsia"/>
          <w:bCs/>
          <w:color w:val="FF0000"/>
          <w:kern w:val="2"/>
          <w:sz w:val="28"/>
          <w:szCs w:val="28"/>
        </w:rPr>
        <w:t>。</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lastRenderedPageBreak/>
        <w:t>社会效益指标：星区集体土地上村（居）</w:t>
      </w:r>
      <w:proofErr w:type="gramStart"/>
      <w:r>
        <w:rPr>
          <w:rFonts w:ascii="仿宋" w:eastAsia="仿宋" w:hAnsi="仿宋" w:cs="仿宋" w:hint="eastAsia"/>
          <w:bCs/>
          <w:kern w:val="2"/>
          <w:sz w:val="28"/>
          <w:szCs w:val="28"/>
        </w:rPr>
        <w:t>民住宅</w:t>
      </w:r>
      <w:proofErr w:type="gramEnd"/>
      <w:r>
        <w:rPr>
          <w:rFonts w:ascii="仿宋" w:eastAsia="仿宋" w:hAnsi="仿宋" w:cs="仿宋" w:hint="eastAsia"/>
          <w:bCs/>
          <w:kern w:val="2"/>
          <w:sz w:val="28"/>
          <w:szCs w:val="28"/>
        </w:rPr>
        <w:t>建设的审批工作顺利开展，持续推进。</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目标2：：做好党建工作</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产出指标：全单位三个党小组，每周学习一次，每周上一堂党课，每月谈心谈话一次，每年红色教育基地学习一次，组织结构完善率95%，凝聚力增强。</w:t>
      </w:r>
    </w:p>
    <w:p w:rsidR="006C5CC9" w:rsidRDefault="00247E46">
      <w:pPr>
        <w:pStyle w:val="a6"/>
        <w:widowControl/>
        <w:spacing w:beforeAutospacing="0" w:afterAutospacing="0"/>
        <w:ind w:firstLineChars="200" w:firstLine="560"/>
        <w:jc w:val="both"/>
        <w:rPr>
          <w:rFonts w:ascii="仿宋" w:eastAsia="仿宋" w:hAnsi="仿宋" w:cs="仿宋"/>
          <w:b/>
          <w:kern w:val="2"/>
          <w:sz w:val="28"/>
          <w:szCs w:val="28"/>
        </w:rPr>
      </w:pPr>
      <w:r>
        <w:rPr>
          <w:rFonts w:ascii="仿宋" w:eastAsia="仿宋" w:hAnsi="仿宋" w:cs="仿宋" w:hint="eastAsia"/>
          <w:bCs/>
          <w:kern w:val="2"/>
          <w:sz w:val="28"/>
          <w:szCs w:val="28"/>
        </w:rPr>
        <w:t>社会效益指标：提高党员的凝聚力，提高思想认识，提升机关形象。</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目标3：严格控制办公经费</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产出指标：严格控制办公用品、打字复印等办公经费。</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社会效益指标：保证全办日常工作正常运转，塑造良好的机关形象。</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目标4：严格控制三</w:t>
      </w:r>
      <w:proofErr w:type="gramStart"/>
      <w:r>
        <w:rPr>
          <w:rFonts w:ascii="仿宋" w:eastAsia="仿宋" w:hAnsi="仿宋" w:cs="仿宋" w:hint="eastAsia"/>
          <w:b/>
          <w:kern w:val="2"/>
          <w:sz w:val="28"/>
          <w:szCs w:val="28"/>
        </w:rPr>
        <w:t>公经费</w:t>
      </w:r>
      <w:proofErr w:type="gramEnd"/>
      <w:r>
        <w:rPr>
          <w:rFonts w:ascii="仿宋" w:eastAsia="仿宋" w:hAnsi="仿宋" w:cs="仿宋" w:hint="eastAsia"/>
          <w:b/>
          <w:kern w:val="2"/>
          <w:sz w:val="28"/>
          <w:szCs w:val="28"/>
        </w:rPr>
        <w:t>的开支</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产出指标：保障机关工作正常运转。</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社会效益指标：厉行节俭严控支出，切实减少三</w:t>
      </w:r>
      <w:proofErr w:type="gramStart"/>
      <w:r>
        <w:rPr>
          <w:rFonts w:ascii="仿宋" w:eastAsia="仿宋" w:hAnsi="仿宋" w:cs="仿宋" w:hint="eastAsia"/>
          <w:bCs/>
          <w:kern w:val="2"/>
          <w:sz w:val="28"/>
          <w:szCs w:val="28"/>
        </w:rPr>
        <w:t>公经费</w:t>
      </w:r>
      <w:proofErr w:type="gramEnd"/>
      <w:r>
        <w:rPr>
          <w:rFonts w:ascii="仿宋" w:eastAsia="仿宋" w:hAnsi="仿宋" w:cs="仿宋" w:hint="eastAsia"/>
          <w:bCs/>
          <w:kern w:val="2"/>
          <w:sz w:val="28"/>
          <w:szCs w:val="28"/>
        </w:rPr>
        <w:t>支出，保障干部职工的切身利益。</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（二）2019年部门支出绩效目标实现情况和指标完成情况；</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2019年娄星区自然资源局在收支预算内，完成了以下整体目标：</w:t>
      </w:r>
    </w:p>
    <w:p w:rsidR="006C5CC9" w:rsidRDefault="00247E46">
      <w:pPr>
        <w:ind w:firstLineChars="200" w:firstLine="562"/>
        <w:rPr>
          <w:rFonts w:ascii="仿宋" w:eastAsia="仿宋" w:hAnsi="仿宋" w:cs="仿宋"/>
          <w:b/>
          <w:sz w:val="28"/>
          <w:szCs w:val="28"/>
        </w:rPr>
      </w:pPr>
      <w:r>
        <w:rPr>
          <w:rFonts w:ascii="仿宋" w:eastAsia="仿宋" w:hAnsi="仿宋" w:cs="仿宋" w:hint="eastAsia"/>
          <w:b/>
          <w:sz w:val="28"/>
          <w:szCs w:val="28"/>
        </w:rPr>
        <w:t>目标1：在职人员的工作正常运转。</w:t>
      </w:r>
    </w:p>
    <w:p w:rsidR="006C5CC9" w:rsidRDefault="00247E46">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bCs/>
          <w:sz w:val="28"/>
          <w:szCs w:val="28"/>
        </w:rPr>
        <w:t>完成情况及效果：保证机关人员经费及日常工作的正常运转。</w:t>
      </w:r>
      <w:r>
        <w:rPr>
          <w:rFonts w:ascii="仿宋" w:eastAsia="仿宋" w:hAnsi="仿宋" w:cs="仿宋" w:hint="eastAsia"/>
          <w:sz w:val="28"/>
          <w:szCs w:val="28"/>
        </w:rPr>
        <w:t>2019年年末总人数</w:t>
      </w:r>
      <w:r>
        <w:rPr>
          <w:rFonts w:ascii="仿宋" w:eastAsia="仿宋" w:hAnsi="仿宋" w:cs="仿宋" w:hint="eastAsia"/>
          <w:bCs/>
          <w:sz w:val="28"/>
          <w:szCs w:val="28"/>
        </w:rPr>
        <w:t>191人，其中行政人员127人，其他人员64人</w:t>
      </w:r>
      <w:r>
        <w:rPr>
          <w:rFonts w:ascii="仿宋" w:eastAsia="仿宋" w:hAnsi="仿宋" w:cs="仿宋" w:hint="eastAsia"/>
          <w:sz w:val="28"/>
          <w:szCs w:val="28"/>
        </w:rPr>
        <w:t>。机关运行经费完成960.91万元，</w:t>
      </w:r>
      <w:r>
        <w:rPr>
          <w:rFonts w:ascii="仿宋" w:eastAsia="仿宋" w:hAnsi="仿宋" w:cs="仿宋" w:hint="eastAsia"/>
          <w:bCs/>
          <w:sz w:val="28"/>
          <w:szCs w:val="28"/>
        </w:rPr>
        <w:t>单位人员工资逐月保障，单位人员对财政</w:t>
      </w:r>
      <w:r>
        <w:rPr>
          <w:rFonts w:ascii="仿宋" w:eastAsia="仿宋" w:hAnsi="仿宋" w:cs="仿宋" w:hint="eastAsia"/>
          <w:bCs/>
          <w:sz w:val="28"/>
          <w:szCs w:val="28"/>
        </w:rPr>
        <w:lastRenderedPageBreak/>
        <w:t>资金保障和单位经费保障的预计满意度100%。</w:t>
      </w:r>
      <w:r>
        <w:rPr>
          <w:rFonts w:ascii="仿宋" w:eastAsia="仿宋" w:hAnsi="仿宋" w:cs="仿宋" w:hint="eastAsia"/>
          <w:sz w:val="28"/>
          <w:szCs w:val="28"/>
        </w:rPr>
        <w:t>切实保证机关的正常运转，促进了与各级财政部门和各财政预决算单位的工作协调发展，保障了财政资金使用效益，严明了财政廉政建设。</w:t>
      </w:r>
    </w:p>
    <w:p w:rsidR="006C5CC9" w:rsidRDefault="00247E46">
      <w:pPr>
        <w:snapToGrid w:val="0"/>
        <w:ind w:firstLineChars="200" w:firstLine="562"/>
        <w:rPr>
          <w:rFonts w:ascii="仿宋" w:eastAsia="仿宋" w:hAnsi="仿宋" w:cs="仿宋"/>
          <w:b/>
          <w:sz w:val="28"/>
          <w:szCs w:val="28"/>
        </w:rPr>
      </w:pPr>
      <w:r>
        <w:rPr>
          <w:rFonts w:ascii="仿宋" w:eastAsia="仿宋" w:hAnsi="仿宋" w:cs="仿宋" w:hint="eastAsia"/>
          <w:b/>
          <w:sz w:val="28"/>
          <w:szCs w:val="28"/>
        </w:rPr>
        <w:t>目标2：做好党建工作</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sz w:val="28"/>
          <w:szCs w:val="28"/>
        </w:rPr>
        <w:t>完成情况及效果：</w:t>
      </w:r>
      <w:r>
        <w:rPr>
          <w:rFonts w:ascii="仿宋" w:eastAsia="仿宋" w:hAnsi="仿宋" w:cs="仿宋" w:hint="eastAsia"/>
          <w:bCs/>
          <w:kern w:val="2"/>
          <w:sz w:val="28"/>
          <w:szCs w:val="28"/>
        </w:rPr>
        <w:t>，每周学习一次，每周上一堂党课，每月谈心谈话一次，组织结构完善率95%，凝聚力增强。</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目标3：严格控制办公经费</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完成情况及效果：</w:t>
      </w:r>
      <w:r>
        <w:rPr>
          <w:rFonts w:ascii="仿宋" w:eastAsia="仿宋" w:hAnsi="仿宋" w:cs="仿宋" w:hint="eastAsia"/>
          <w:sz w:val="28"/>
          <w:szCs w:val="28"/>
        </w:rPr>
        <w:t>2019年在职127人，提高办事效率，提升服务水平。保障日常办公经费。</w:t>
      </w:r>
      <w:r>
        <w:rPr>
          <w:rFonts w:ascii="仿宋" w:eastAsia="仿宋" w:hAnsi="仿宋" w:cs="仿宋" w:hint="eastAsia"/>
          <w:bCs/>
          <w:kern w:val="2"/>
          <w:sz w:val="28"/>
          <w:szCs w:val="28"/>
        </w:rPr>
        <w:t>做好办公日常工作，圆满完成上级交办的其他各项工作任务</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目标4：严格控制三</w:t>
      </w:r>
      <w:proofErr w:type="gramStart"/>
      <w:r>
        <w:rPr>
          <w:rFonts w:ascii="仿宋" w:eastAsia="仿宋" w:hAnsi="仿宋" w:cs="仿宋" w:hint="eastAsia"/>
          <w:b/>
          <w:kern w:val="2"/>
          <w:sz w:val="28"/>
          <w:szCs w:val="28"/>
        </w:rPr>
        <w:t>公经费</w:t>
      </w:r>
      <w:proofErr w:type="gramEnd"/>
      <w:r>
        <w:rPr>
          <w:rFonts w:ascii="仿宋" w:eastAsia="仿宋" w:hAnsi="仿宋" w:cs="仿宋" w:hint="eastAsia"/>
          <w:b/>
          <w:kern w:val="2"/>
          <w:sz w:val="28"/>
          <w:szCs w:val="28"/>
        </w:rPr>
        <w:t>的开支</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完成情况及效果：2019年三</w:t>
      </w:r>
      <w:proofErr w:type="gramStart"/>
      <w:r>
        <w:rPr>
          <w:rFonts w:ascii="仿宋" w:eastAsia="仿宋" w:hAnsi="仿宋" w:cs="仿宋" w:hint="eastAsia"/>
          <w:bCs/>
          <w:kern w:val="2"/>
          <w:sz w:val="28"/>
          <w:szCs w:val="28"/>
        </w:rPr>
        <w:t>公经费</w:t>
      </w:r>
      <w:proofErr w:type="gramEnd"/>
      <w:r>
        <w:rPr>
          <w:rFonts w:ascii="仿宋" w:eastAsia="仿宋" w:hAnsi="仿宋" w:cs="仿宋" w:hint="eastAsia"/>
          <w:bCs/>
          <w:kern w:val="2"/>
          <w:sz w:val="28"/>
          <w:szCs w:val="28"/>
        </w:rPr>
        <w:t>总计6.74万元。其中：公车运行维护费2.31万元，公务接待费4.42万元。严格执行中央八项规定、省委九项规定等相关制度，保障正常运转，厉行节约。</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目标5：按时间节点完成各项目工作任务</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一）城乡建设用地增减挂钩年内收官。为加快推进增减挂钩工作，积极推进2019年增减挂钩工作的开展，第一期水田4.7530公顷、旱地17.3683公顷、其他农用地46.4107公顷；第二期水田7.1502公顷、旱地16.8562公顷、其他农用地48.5005公顷；第三期水田6.8992公顷、旱地18.4913公顷、其他农用地52.8788公顷已完成验收入库。</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lastRenderedPageBreak/>
        <w:t>（二）农村“空心房”整治完成预期目标。全区各乡镇累计上报摸底3602户（栋）452302.37平方米，上报完成拆除2635户（栋）330117.18平方米，完成已调查摸底任务的73%，“</w:t>
      </w:r>
      <w:proofErr w:type="gramStart"/>
      <w:r>
        <w:rPr>
          <w:rFonts w:ascii="仿宋" w:eastAsia="仿宋" w:hAnsi="仿宋" w:cs="仿宋" w:hint="eastAsia"/>
          <w:bCs/>
          <w:kern w:val="2"/>
          <w:sz w:val="28"/>
          <w:szCs w:val="28"/>
        </w:rPr>
        <w:t>一</w:t>
      </w:r>
      <w:proofErr w:type="gramEnd"/>
      <w:r>
        <w:rPr>
          <w:rFonts w:ascii="仿宋" w:eastAsia="仿宋" w:hAnsi="仿宋" w:cs="仿宋" w:hint="eastAsia"/>
          <w:bCs/>
          <w:kern w:val="2"/>
          <w:sz w:val="28"/>
          <w:szCs w:val="28"/>
        </w:rPr>
        <w:t>乡三镇四带五片”所涉62个村的整治工作任务基本完成，现正组织进行实地验收。通过整治，大部分破烂不堪、年久失修的危房、老房、旧房已被拆除，不仅提高了土地利用率，人居环境也得到了较大改善，整治效果明显。</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（三）抢抓季节组织完成联村建绿和人工造林。市直单位联村建绿情况。根据《2019年娄底市娄星区联村建绿暨绿色通道建设实施方案》要求,2019年共完成市直单位联村建绿11个村，主要分布</w:t>
      </w:r>
      <w:proofErr w:type="gramStart"/>
      <w:r>
        <w:rPr>
          <w:rFonts w:ascii="仿宋" w:eastAsia="仿宋" w:hAnsi="仿宋" w:cs="仿宋" w:hint="eastAsia"/>
          <w:bCs/>
          <w:kern w:val="2"/>
          <w:sz w:val="28"/>
          <w:szCs w:val="28"/>
        </w:rPr>
        <w:t>在孙水河沿</w:t>
      </w:r>
      <w:proofErr w:type="gramEnd"/>
      <w:r>
        <w:rPr>
          <w:rFonts w:ascii="仿宋" w:eastAsia="仿宋" w:hAnsi="仿宋" w:cs="仿宋" w:hint="eastAsia"/>
          <w:bCs/>
          <w:kern w:val="2"/>
          <w:sz w:val="28"/>
          <w:szCs w:val="28"/>
        </w:rPr>
        <w:t>线的水洞底镇，总投资147.4万元，共栽植银杏、桂花、红叶石楠、楠木、杜鹃、等苗木22000株。成活率90%以上。区直单位联村建绿情况。全区联村建绿暨绿色通道建设区级财政共投入资金3000多万元，主要完成4条生态文明样板路及沿线村的联村建绿。对沿线40个村域范围内已硬化公路约195公里、秀美样板路沿线两侧100m以内的住宅5317户、四条样板路两侧裸露山地约480亩实施绿化。共栽植村级公路绿化苗木20000株、住宅绿化苗木41500株、山地绿化苗木94000株。其中通过双江乡生态文明样板</w:t>
      </w:r>
      <w:proofErr w:type="gramStart"/>
      <w:r>
        <w:rPr>
          <w:rFonts w:ascii="仿宋" w:eastAsia="仿宋" w:hAnsi="仿宋" w:cs="仿宋" w:hint="eastAsia"/>
          <w:bCs/>
          <w:kern w:val="2"/>
          <w:sz w:val="28"/>
          <w:szCs w:val="28"/>
        </w:rPr>
        <w:t>路独立</w:t>
      </w:r>
      <w:proofErr w:type="gramEnd"/>
      <w:r>
        <w:rPr>
          <w:rFonts w:ascii="仿宋" w:eastAsia="仿宋" w:hAnsi="仿宋" w:cs="仿宋" w:hint="eastAsia"/>
          <w:bCs/>
          <w:kern w:val="2"/>
          <w:sz w:val="28"/>
          <w:szCs w:val="28"/>
        </w:rPr>
        <w:t>设计，对紧靠公路两侧住宅320户示范户及可视范围内残次林地、重点地段进行景观设计，共栽植银杏、樱花、紫微、桂花等大苗11297株，小苗60440株。双江生态文明样板路二期工程9个景观节点共栽植绿化大苗3685株。人工造林工作。2019年完成营造林生产任务人工造林1万亩，其中重点工程造林营造长防林2200亩、中央财政造林2000</w:t>
      </w:r>
      <w:r>
        <w:rPr>
          <w:rFonts w:ascii="仿宋" w:eastAsia="仿宋" w:hAnsi="仿宋" w:cs="仿宋" w:hint="eastAsia"/>
          <w:bCs/>
          <w:kern w:val="2"/>
          <w:sz w:val="28"/>
          <w:szCs w:val="28"/>
        </w:rPr>
        <w:lastRenderedPageBreak/>
        <w:t>亩；完成主要交通沿线裸露山地人工造林470亩；完成新造油茶林900亩；完成低产林改造2000亩（其中更新改造1500亩及示范林500亩）；完成三边造林及“四旁一区”造林2430亩。完成封山育林2万亩，其中重点工程长防林封育4000亩。</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（三）未实现既定绩效目标或未完成指标任务的分析说明。 </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 娄星区自然资源局既定绩效目标均已完成。</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五、总体评价和自评得分情况</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（一）区绩效办对2019年部门（单位）的绩效评估考核结果是优秀；</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（二）根据《部门整体支出绩效评价指标自评打分表》，对2019年度部门（单位）自评得分情况进行简要说明，并对部门（单位）2019年度整体支出绩效进行评价。</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根据部门整体支出绩效评价指标自评结果为优秀，具体得分情况如下：</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1、预算配置得分13分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①在职人员控制率得分5分： 2019年本单位人员编制数为127人，实际在编人数127人；在职人员控制率是（127/127）×100%≦100%，计5分。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②“三公经费”变动率得8分：2019年的“三公经费”预算数为6.74万元，</w:t>
      </w:r>
      <w:r w:rsidR="00364CB7">
        <w:rPr>
          <w:rFonts w:ascii="仿宋" w:eastAsia="仿宋" w:hAnsi="仿宋" w:cs="仿宋" w:hint="eastAsia"/>
          <w:bCs/>
          <w:kern w:val="2"/>
          <w:sz w:val="28"/>
          <w:szCs w:val="28"/>
        </w:rPr>
        <w:t>2018</w:t>
      </w:r>
      <w:r>
        <w:rPr>
          <w:rFonts w:ascii="仿宋" w:eastAsia="仿宋" w:hAnsi="仿宋" w:cs="仿宋" w:hint="eastAsia"/>
          <w:bCs/>
          <w:kern w:val="2"/>
          <w:sz w:val="28"/>
          <w:szCs w:val="28"/>
        </w:rPr>
        <w:t>年的三</w:t>
      </w:r>
      <w:proofErr w:type="gramStart"/>
      <w:r>
        <w:rPr>
          <w:rFonts w:ascii="仿宋" w:eastAsia="仿宋" w:hAnsi="仿宋" w:cs="仿宋" w:hint="eastAsia"/>
          <w:bCs/>
          <w:kern w:val="2"/>
          <w:sz w:val="28"/>
          <w:szCs w:val="28"/>
        </w:rPr>
        <w:t>公经费</w:t>
      </w:r>
      <w:proofErr w:type="gramEnd"/>
      <w:r>
        <w:rPr>
          <w:rFonts w:ascii="仿宋" w:eastAsia="仿宋" w:hAnsi="仿宋" w:cs="仿宋" w:hint="eastAsia"/>
          <w:bCs/>
          <w:kern w:val="2"/>
          <w:sz w:val="28"/>
          <w:szCs w:val="28"/>
        </w:rPr>
        <w:t>预算数为0万元，原因为新成立单位，“三公经费”变动率无，计8分。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2、预算执行得分10分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lastRenderedPageBreak/>
        <w:t>①预算完成率得10分：预算完成率=（上年结转0万元+年初预算数1704.85万元+本年追加预算2241.65-年末结余0万元）/(上年结转0万元+年初预算数1704.85万元+本年追加预算2241.65)*100%，计10分。 </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②预算控制率得0分：预算控制率=（本年追加预算2241.65/年初预算数1704.85万元）*100%=131.49%≧30%，计0分。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3、预算管理得分41分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①公用经费控制率得8分：公用经费控制率=（实际支出公用经费总额960.91万元/预算安排公用经费总额960.91万元）*100%≧100%,计8分。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②“三公经费”控制率得8分：“三公经费”控制率=（“三公经费”实际支出数6.74万元/“三公经费”预算安排数6.74万元）*100%=100%=100%，计8分。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③政府采购执行率得6分：政府采购执行率=（实际采购金额0万元/政府采购预算数0万元）*100%=100%，计6分。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④管理制度</w:t>
      </w:r>
      <w:proofErr w:type="gramStart"/>
      <w:r>
        <w:rPr>
          <w:rFonts w:ascii="仿宋" w:eastAsia="仿宋" w:hAnsi="仿宋" w:cs="仿宋" w:hint="eastAsia"/>
          <w:bCs/>
          <w:kern w:val="2"/>
          <w:sz w:val="28"/>
          <w:szCs w:val="28"/>
        </w:rPr>
        <w:t>健全性得8分</w:t>
      </w:r>
      <w:proofErr w:type="gramEnd"/>
      <w:r>
        <w:rPr>
          <w:rFonts w:ascii="仿宋" w:eastAsia="仿宋" w:hAnsi="仿宋" w:cs="仿宋" w:hint="eastAsia"/>
          <w:bCs/>
          <w:kern w:val="2"/>
          <w:sz w:val="28"/>
          <w:szCs w:val="28"/>
        </w:rPr>
        <w:t>：有内部财务管理制度、内部控制制度、会计核算制度等管理制度，2分；有本部门厉行节约制度，2分；相关管理制度合法、合</w:t>
      </w:r>
      <w:proofErr w:type="gramStart"/>
      <w:r>
        <w:rPr>
          <w:rFonts w:ascii="仿宋" w:eastAsia="仿宋" w:hAnsi="仿宋" w:cs="仿宋" w:hint="eastAsia"/>
          <w:bCs/>
          <w:kern w:val="2"/>
          <w:sz w:val="28"/>
          <w:szCs w:val="28"/>
        </w:rPr>
        <w:t>规</w:t>
      </w:r>
      <w:proofErr w:type="gramEnd"/>
      <w:r>
        <w:rPr>
          <w:rFonts w:ascii="仿宋" w:eastAsia="仿宋" w:hAnsi="仿宋" w:cs="仿宋" w:hint="eastAsia"/>
          <w:bCs/>
          <w:kern w:val="2"/>
          <w:sz w:val="28"/>
          <w:szCs w:val="28"/>
        </w:rPr>
        <w:t>、完整，2分；相关管理制度得到有效执行，并有考核制度，2分。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⑤资金使用合</w:t>
      </w:r>
      <w:proofErr w:type="gramStart"/>
      <w:r>
        <w:rPr>
          <w:rFonts w:ascii="仿宋" w:eastAsia="仿宋" w:hAnsi="仿宋" w:cs="仿宋" w:hint="eastAsia"/>
          <w:bCs/>
          <w:kern w:val="2"/>
          <w:sz w:val="28"/>
          <w:szCs w:val="28"/>
        </w:rPr>
        <w:t>规性得</w:t>
      </w:r>
      <w:proofErr w:type="gramEnd"/>
      <w:r>
        <w:rPr>
          <w:rFonts w:ascii="仿宋" w:eastAsia="仿宋" w:hAnsi="仿宋" w:cs="仿宋" w:hint="eastAsia"/>
          <w:bCs/>
          <w:kern w:val="2"/>
          <w:sz w:val="28"/>
          <w:szCs w:val="28"/>
        </w:rPr>
        <w:t>6分：本年度支出基本符合国家财经法规和财务管理制度规定以及有关专项资金管理办法的规定；资金拨付有完</w:t>
      </w:r>
      <w:r>
        <w:rPr>
          <w:rFonts w:ascii="仿宋" w:eastAsia="仿宋" w:hAnsi="仿宋" w:cs="仿宋" w:hint="eastAsia"/>
          <w:bCs/>
          <w:kern w:val="2"/>
          <w:sz w:val="28"/>
          <w:szCs w:val="28"/>
        </w:rPr>
        <w:lastRenderedPageBreak/>
        <w:t>整的审批程序和手续；支出符合部门预算批复的用途；资金使用无截留、挤占、挪用、虚列支出等情况。</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⑥预决算信息公开性得5分：由区财政局统一公开信息。</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4、职责履行得8分：2019年我单位在全体干部职工的共同努力下圆满出色完成了各项工作目标和任务。年终考评结果为优秀。</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5、履职效益得18分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①经济效益、社会效益各得3分：开展各种工作评议和调研，得到社会的好评。计6分。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②行政效能6分：我单位在2019年不断改善行政管理、严格经费及资产管理，改进文风会风，精简会议，提高了管理效率，降低了管理成本。计6分。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③社会公众或服务对象满意度得6分：服务对象全市市民，满意度95%以上，计6分。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综合以上各项指标，我单位财务管理制度健全规范，无违规违纪现象。2019年部门整体支出绩效自评得分90分。</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六、存在问题与建议</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（一）存在的问题</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1、财政年初预算供给不足，导致预算控制率弱。</w:t>
      </w:r>
    </w:p>
    <w:p w:rsidR="006C5CC9" w:rsidRDefault="00247E46">
      <w:pPr>
        <w:pStyle w:val="a6"/>
        <w:widowControl/>
        <w:spacing w:beforeAutospacing="0" w:afterAutospacing="0"/>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（二）建议</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1、抓好绩效评价管理人员的队伍建设和业务，建立绩效评价的长效机制。</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2、进一步完善管理制度，促进规范管理。</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lastRenderedPageBreak/>
        <w:t>3、进一步提高部门预算合理性、全面性，确保预算全覆盖。</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4、根据工作需要，科学合理调剂编制、优化配置编制资源。</w:t>
      </w:r>
    </w:p>
    <w:p w:rsidR="006C5CC9" w:rsidRDefault="00247E46">
      <w:pPr>
        <w:pStyle w:val="a6"/>
        <w:widowControl/>
        <w:spacing w:beforeAutospacing="0" w:afterAutospacing="0"/>
        <w:ind w:firstLineChars="200" w:firstLine="560"/>
        <w:jc w:val="both"/>
        <w:rPr>
          <w:rFonts w:ascii="仿宋" w:eastAsia="仿宋" w:hAnsi="仿宋" w:cs="仿宋"/>
          <w:bCs/>
          <w:kern w:val="2"/>
          <w:sz w:val="28"/>
          <w:szCs w:val="28"/>
        </w:rPr>
      </w:pPr>
      <w:r>
        <w:rPr>
          <w:rFonts w:ascii="仿宋" w:eastAsia="仿宋" w:hAnsi="仿宋" w:cs="仿宋" w:hint="eastAsia"/>
          <w:bCs/>
          <w:kern w:val="2"/>
          <w:sz w:val="28"/>
          <w:szCs w:val="28"/>
        </w:rPr>
        <w:t> </w:t>
      </w:r>
    </w:p>
    <w:p w:rsidR="006C5CC9" w:rsidRDefault="00247E46">
      <w:pPr>
        <w:pStyle w:val="a6"/>
        <w:widowControl/>
        <w:spacing w:beforeAutospacing="0" w:afterAutospacing="0"/>
        <w:jc w:val="both"/>
        <w:rPr>
          <w:rFonts w:ascii="微软雅黑" w:eastAsia="微软雅黑" w:hAnsi="微软雅黑" w:cs="微软雅黑"/>
          <w:color w:val="030303"/>
        </w:rPr>
      </w:pPr>
      <w:r>
        <w:rPr>
          <w:rFonts w:ascii="微软雅黑" w:eastAsia="微软雅黑" w:hAnsi="微软雅黑" w:cs="微软雅黑" w:hint="eastAsia"/>
          <w:color w:val="030303"/>
          <w:sz w:val="32"/>
          <w:szCs w:val="32"/>
        </w:rPr>
        <w:t>附件2-4</w:t>
      </w:r>
    </w:p>
    <w:p w:rsidR="006C5CC9" w:rsidRDefault="00247E46">
      <w:pPr>
        <w:pStyle w:val="a6"/>
        <w:widowControl/>
        <w:spacing w:beforeAutospacing="0" w:afterAutospacing="0" w:line="30" w:lineRule="atLeast"/>
        <w:ind w:left="93"/>
        <w:jc w:val="center"/>
        <w:rPr>
          <w:rFonts w:ascii="微软雅黑" w:eastAsia="微软雅黑" w:hAnsi="微软雅黑" w:cs="微软雅黑"/>
          <w:color w:val="030303"/>
        </w:rPr>
      </w:pPr>
      <w:r>
        <w:rPr>
          <w:rFonts w:ascii="微软雅黑" w:eastAsia="微软雅黑" w:hAnsi="微软雅黑" w:cs="微软雅黑" w:hint="eastAsia"/>
          <w:color w:val="030303"/>
          <w:sz w:val="44"/>
          <w:szCs w:val="44"/>
        </w:rPr>
        <w:t>部门整体支出绩效评价基础数据表</w:t>
      </w:r>
    </w:p>
    <w:p w:rsidR="006C5CC9" w:rsidRDefault="00247E46">
      <w:pPr>
        <w:pStyle w:val="a6"/>
        <w:widowControl/>
        <w:spacing w:beforeAutospacing="0" w:afterAutospacing="0" w:line="30" w:lineRule="atLeast"/>
        <w:jc w:val="both"/>
        <w:rPr>
          <w:rFonts w:ascii="微软雅黑" w:eastAsia="微软雅黑" w:hAnsi="微软雅黑" w:cs="微软雅黑"/>
          <w:color w:val="030303"/>
        </w:rPr>
      </w:pPr>
      <w:r>
        <w:rPr>
          <w:rFonts w:ascii="微软雅黑" w:eastAsia="微软雅黑" w:hAnsi="微软雅黑" w:cs="微软雅黑" w:hint="eastAsia"/>
          <w:color w:val="030303"/>
        </w:rPr>
        <w:t xml:space="preserve">填报单位：娄底市娄星区自然资源局      单位：万元 </w:t>
      </w:r>
    </w:p>
    <w:tbl>
      <w:tblPr>
        <w:tblpPr w:leftFromText="180" w:rightFromText="180" w:vertAnchor="text" w:horzAnchor="page" w:tblpX="1282" w:tblpY="631"/>
        <w:tblOverlap w:val="never"/>
        <w:tblW w:w="9504" w:type="dxa"/>
        <w:tblCellMar>
          <w:top w:w="15" w:type="dxa"/>
          <w:left w:w="15" w:type="dxa"/>
          <w:bottom w:w="15" w:type="dxa"/>
          <w:right w:w="15" w:type="dxa"/>
        </w:tblCellMar>
        <w:tblLook w:val="04A0"/>
      </w:tblPr>
      <w:tblGrid>
        <w:gridCol w:w="2897"/>
        <w:gridCol w:w="1770"/>
        <w:gridCol w:w="2265"/>
        <w:gridCol w:w="2572"/>
      </w:tblGrid>
      <w:tr w:rsidR="006C5CC9">
        <w:trPr>
          <w:trHeight w:val="679"/>
        </w:trPr>
        <w:tc>
          <w:tcPr>
            <w:tcW w:w="28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财政供养人员情况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编制数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201</w:t>
            </w:r>
            <w:r>
              <w:rPr>
                <w:rFonts w:ascii="仿宋_GB2312" w:eastAsia="仿宋_GB2312" w:cs="仿宋_GB2312" w:hint="eastAsia"/>
              </w:rPr>
              <w:t>9</w:t>
            </w:r>
            <w:r>
              <w:rPr>
                <w:rFonts w:ascii="仿宋_GB2312" w:eastAsia="仿宋_GB2312" w:cs="仿宋_GB2312"/>
              </w:rPr>
              <w:t>年实际</w:t>
            </w:r>
          </w:p>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在职人数</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控制率</w:t>
            </w:r>
          </w:p>
        </w:tc>
      </w:tr>
      <w:tr w:rsidR="006C5CC9">
        <w:trPr>
          <w:trHeight w:val="177"/>
        </w:trPr>
        <w:tc>
          <w:tcPr>
            <w:tcW w:w="2897"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6C5CC9">
            <w:pPr>
              <w:rPr>
                <w:rFonts w:ascii="宋体"/>
                <w:sz w:val="24"/>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15" w:lineRule="atLeast"/>
              <w:jc w:val="center"/>
              <w:rPr>
                <w:rFonts w:ascii="仿宋_GB2312" w:eastAsia="仿宋_GB2312" w:cs="仿宋_GB2312"/>
              </w:rPr>
            </w:pPr>
            <w:r>
              <w:rPr>
                <w:rFonts w:ascii="仿宋_GB2312" w:eastAsia="仿宋_GB2312" w:cs="仿宋_GB2312" w:hint="eastAsia"/>
              </w:rPr>
              <w:t>127</w:t>
            </w:r>
            <w:r>
              <w:rPr>
                <w:rFonts w:ascii="仿宋_GB2312" w:eastAsia="仿宋_GB2312" w:cs="仿宋_GB2312"/>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15" w:lineRule="atLeast"/>
              <w:jc w:val="center"/>
              <w:rPr>
                <w:rFonts w:ascii="仿宋_GB2312" w:eastAsia="仿宋_GB2312" w:cs="仿宋_GB2312"/>
              </w:rPr>
            </w:pPr>
            <w:r>
              <w:rPr>
                <w:rFonts w:ascii="仿宋_GB2312" w:eastAsia="仿宋_GB2312" w:cs="仿宋_GB2312" w:hint="eastAsia"/>
              </w:rPr>
              <w:t>191</w:t>
            </w:r>
            <w:r>
              <w:rPr>
                <w:rFonts w:ascii="仿宋_GB2312" w:eastAsia="仿宋_GB2312" w:cs="仿宋_GB2312"/>
              </w:rPr>
              <w:t xml:space="preserve">　</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15" w:lineRule="atLeast"/>
              <w:jc w:val="center"/>
              <w:rPr>
                <w:rFonts w:ascii="仿宋_GB2312" w:eastAsia="仿宋_GB2312" w:cs="仿宋_GB2312"/>
              </w:rPr>
            </w:pPr>
            <w:r>
              <w:rPr>
                <w:rFonts w:ascii="仿宋_GB2312" w:eastAsia="仿宋_GB2312" w:cs="仿宋_GB2312"/>
              </w:rPr>
              <w:t xml:space="preserve">100%　</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经费控制情况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201</w:t>
            </w:r>
            <w:r>
              <w:rPr>
                <w:rFonts w:ascii="仿宋_GB2312" w:eastAsia="仿宋_GB2312" w:cs="仿宋_GB2312" w:hint="eastAsia"/>
              </w:rPr>
              <w:t>8</w:t>
            </w:r>
            <w:r>
              <w:rPr>
                <w:rFonts w:ascii="仿宋_GB2312" w:eastAsia="仿宋_GB2312" w:cs="仿宋_GB2312"/>
              </w:rPr>
              <w:t>年决算数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201</w:t>
            </w:r>
            <w:r>
              <w:rPr>
                <w:rFonts w:ascii="仿宋_GB2312" w:eastAsia="仿宋_GB2312" w:cs="仿宋_GB2312" w:hint="eastAsia"/>
              </w:rPr>
              <w:t>9</w:t>
            </w:r>
            <w:r>
              <w:rPr>
                <w:rFonts w:ascii="仿宋_GB2312" w:eastAsia="仿宋_GB2312" w:cs="仿宋_GB2312"/>
              </w:rPr>
              <w:t>年预算数</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201</w:t>
            </w:r>
            <w:r>
              <w:rPr>
                <w:rFonts w:ascii="仿宋_GB2312" w:eastAsia="仿宋_GB2312" w:cs="仿宋_GB2312" w:hint="eastAsia"/>
              </w:rPr>
              <w:t>9</w:t>
            </w:r>
            <w:r>
              <w:rPr>
                <w:rFonts w:ascii="仿宋_GB2312" w:eastAsia="仿宋_GB2312" w:cs="仿宋_GB2312"/>
              </w:rPr>
              <w:t>年决算数</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三</w:t>
            </w:r>
            <w:proofErr w:type="gramStart"/>
            <w:r>
              <w:rPr>
                <w:rFonts w:ascii="仿宋_GB2312" w:eastAsia="仿宋_GB2312" w:cs="仿宋_GB2312"/>
              </w:rPr>
              <w:t>公经费</w:t>
            </w:r>
            <w:proofErr w:type="gramEnd"/>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0</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6.74</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6.74</w:t>
            </w:r>
          </w:p>
        </w:tc>
      </w:tr>
      <w:tr w:rsidR="006C5CC9">
        <w:trPr>
          <w:trHeight w:val="39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1.公务用车购置和维护经费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0</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2.31</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2.31</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其中：公车购置</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0</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0</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0</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公车运行维护</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0</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2.31</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2.31</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2.出国经费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0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0　</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0　</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3.公务接待</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0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4.43</w:t>
            </w:r>
            <w:r>
              <w:rPr>
                <w:rFonts w:ascii="仿宋_GB2312" w:eastAsia="仿宋_GB2312" w:cs="仿宋_GB2312"/>
              </w:rPr>
              <w:t xml:space="preserve">　</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4.43</w:t>
            </w:r>
            <w:r>
              <w:rPr>
                <w:rFonts w:ascii="仿宋_GB2312" w:eastAsia="仿宋_GB2312" w:cs="仿宋_GB2312"/>
              </w:rPr>
              <w:t xml:space="preserve">　</w:t>
            </w:r>
          </w:p>
        </w:tc>
      </w:tr>
      <w:tr w:rsidR="006C5CC9">
        <w:trPr>
          <w:trHeight w:val="39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项目支出：</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1.业务工作专项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2.运行维护专项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 xml:space="preserve">　</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公用经费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266.98</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266.98</w:t>
            </w:r>
          </w:p>
        </w:tc>
      </w:tr>
      <w:tr w:rsidR="006C5CC9">
        <w:trPr>
          <w:trHeight w:val="39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其中：</w:t>
            </w:r>
            <w:r>
              <w:rPr>
                <w:rFonts w:ascii="仿宋_GB2312" w:eastAsia="仿宋_GB2312" w:cs="仿宋_GB2312"/>
                <w:sz w:val="20"/>
                <w:szCs w:val="20"/>
              </w:rPr>
              <w:t>办公经费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w:t>
            </w:r>
            <w:r>
              <w:rPr>
                <w:rFonts w:ascii="仿宋_GB2312" w:eastAsia="仿宋_GB2312" w:cs="仿宋_GB2312"/>
                <w:color w:val="FF0000"/>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138.88</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138.88</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sz w:val="20"/>
                <w:szCs w:val="20"/>
              </w:rPr>
              <w:t>水费、电费、差旅费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127.98</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127.98</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sz w:val="20"/>
                <w:szCs w:val="20"/>
              </w:rPr>
              <w:t>会议费、培训费</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0.12</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0.12</w:t>
            </w:r>
          </w:p>
        </w:tc>
      </w:tr>
      <w:tr w:rsidR="006C5CC9">
        <w:trPr>
          <w:trHeight w:val="371"/>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政府采购金额</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0</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0</w:t>
            </w:r>
          </w:p>
        </w:tc>
      </w:tr>
      <w:tr w:rsidR="006C5CC9">
        <w:trPr>
          <w:trHeight w:val="476"/>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rPr>
                <w:rFonts w:ascii="仿宋_GB2312" w:eastAsia="仿宋_GB2312" w:cs="仿宋_GB2312"/>
              </w:rPr>
            </w:pPr>
            <w:r>
              <w:rPr>
                <w:rFonts w:ascii="仿宋_GB2312" w:eastAsia="仿宋_GB2312" w:cs="仿宋_GB2312"/>
              </w:rPr>
              <w:t>部门整体支出预算调整</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1704.85</w:t>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hint="eastAsia"/>
              </w:rPr>
              <w:t>3946.5</w:t>
            </w:r>
          </w:p>
        </w:tc>
      </w:tr>
      <w:tr w:rsidR="006C5CC9">
        <w:trPr>
          <w:trHeight w:val="1176"/>
        </w:trPr>
        <w:tc>
          <w:tcPr>
            <w:tcW w:w="289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厉行节约保障措施</w:t>
            </w:r>
          </w:p>
        </w:tc>
        <w:tc>
          <w:tcPr>
            <w:tcW w:w="660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C5CC9" w:rsidRDefault="00247E46">
            <w:pPr>
              <w:pStyle w:val="a6"/>
              <w:widowControl/>
              <w:spacing w:beforeAutospacing="0" w:afterAutospacing="0" w:line="23" w:lineRule="atLeast"/>
              <w:jc w:val="center"/>
              <w:rPr>
                <w:rFonts w:ascii="仿宋_GB2312" w:eastAsia="仿宋_GB2312" w:cs="仿宋_GB2312"/>
              </w:rPr>
            </w:pPr>
            <w:r>
              <w:rPr>
                <w:rFonts w:ascii="仿宋_GB2312" w:eastAsia="仿宋_GB2312" w:cs="仿宋_GB2312"/>
              </w:rPr>
              <w:t>娄底市娄星区</w:t>
            </w:r>
            <w:r w:rsidR="00364CB7">
              <w:rPr>
                <w:rFonts w:ascii="仿宋_GB2312" w:eastAsia="仿宋_GB2312" w:cs="仿宋_GB2312" w:hint="eastAsia"/>
              </w:rPr>
              <w:t>自然资源局</w:t>
            </w:r>
            <w:r>
              <w:rPr>
                <w:rFonts w:ascii="仿宋_GB2312" w:eastAsia="仿宋_GB2312" w:cs="仿宋_GB2312"/>
              </w:rPr>
              <w:t xml:space="preserve">厉行节约制度　</w:t>
            </w:r>
          </w:p>
        </w:tc>
      </w:tr>
    </w:tbl>
    <w:p w:rsidR="006C5CC9" w:rsidRDefault="00247E46">
      <w:pPr>
        <w:pStyle w:val="a6"/>
        <w:widowControl/>
        <w:spacing w:beforeAutospacing="0" w:afterAutospacing="0" w:line="30" w:lineRule="atLeast"/>
        <w:jc w:val="both"/>
        <w:rPr>
          <w:rFonts w:ascii="微软雅黑" w:eastAsia="微软雅黑" w:hAnsi="微软雅黑" w:cs="微软雅黑"/>
          <w:color w:val="030303"/>
        </w:rPr>
      </w:pPr>
      <w:r>
        <w:rPr>
          <w:rFonts w:ascii="微软雅黑" w:eastAsia="微软雅黑" w:hAnsi="微软雅黑" w:cs="微软雅黑" w:hint="eastAsia"/>
          <w:color w:val="030303"/>
        </w:rPr>
        <w:t>填报人：梁丽芳     联系方式：15115888666</w:t>
      </w:r>
    </w:p>
    <w:p w:rsidR="006C5CC9" w:rsidRDefault="00247E46">
      <w:pPr>
        <w:pStyle w:val="a6"/>
        <w:widowControl/>
        <w:spacing w:beforeAutospacing="0" w:afterAutospacing="0" w:line="30" w:lineRule="atLeast"/>
        <w:jc w:val="both"/>
        <w:rPr>
          <w:rFonts w:ascii="微软雅黑" w:eastAsia="微软雅黑" w:hAnsi="微软雅黑" w:cs="微软雅黑"/>
          <w:color w:val="030303"/>
        </w:rPr>
      </w:pPr>
      <w:r>
        <w:rPr>
          <w:rFonts w:ascii="微软雅黑" w:eastAsia="微软雅黑" w:hAnsi="微软雅黑" w:cs="微软雅黑" w:hint="eastAsia"/>
          <w:color w:val="030303"/>
          <w:sz w:val="22"/>
          <w:szCs w:val="22"/>
        </w:rPr>
        <w:lastRenderedPageBreak/>
        <w:t>说明：“项目支出”需要填报除专项资金和基本支出以外的所有项目情况，包括业务工作项目、运行维护项目等；“公用经费”填报基本支出中的一般商品和服务支出。</w:t>
      </w:r>
    </w:p>
    <w:p w:rsidR="006C5CC9" w:rsidRDefault="006C5CC9">
      <w:pPr>
        <w:pStyle w:val="a6"/>
        <w:widowControl/>
        <w:spacing w:beforeAutospacing="0" w:afterAutospacing="0" w:line="30" w:lineRule="atLeast"/>
        <w:jc w:val="both"/>
        <w:rPr>
          <w:rFonts w:ascii="微软雅黑" w:eastAsia="微软雅黑" w:hAnsi="微软雅黑" w:cs="微软雅黑"/>
          <w:color w:val="030303"/>
          <w:sz w:val="32"/>
          <w:szCs w:val="32"/>
        </w:rPr>
      </w:pPr>
    </w:p>
    <w:p w:rsidR="006C5CC9" w:rsidRDefault="00247E46">
      <w:pPr>
        <w:widowControl/>
        <w:jc w:val="left"/>
        <w:rPr>
          <w:rFonts w:ascii="黑体" w:eastAsia="黑体" w:hAnsi="黑体" w:cs="宋体"/>
          <w:kern w:val="0"/>
          <w:sz w:val="32"/>
          <w:szCs w:val="32"/>
        </w:rPr>
      </w:pPr>
      <w:r>
        <w:rPr>
          <w:rFonts w:ascii="黑体" w:eastAsia="黑体" w:hAnsi="黑体" w:cs="宋体" w:hint="eastAsia"/>
          <w:kern w:val="0"/>
          <w:sz w:val="32"/>
          <w:szCs w:val="32"/>
        </w:rPr>
        <w:t>附件2-5</w:t>
      </w:r>
    </w:p>
    <w:p w:rsidR="006C5CC9" w:rsidRDefault="006C5CC9">
      <w:pPr>
        <w:widowControl/>
        <w:jc w:val="left"/>
        <w:rPr>
          <w:rFonts w:ascii="黑体" w:eastAsia="黑体" w:hAnsi="黑体" w:cs="宋体"/>
          <w:kern w:val="0"/>
          <w:sz w:val="32"/>
          <w:szCs w:val="32"/>
        </w:rPr>
      </w:pPr>
    </w:p>
    <w:p w:rsidR="006C5CC9" w:rsidRDefault="00247E46">
      <w:pPr>
        <w:widowControl/>
        <w:ind w:left="93"/>
        <w:jc w:val="center"/>
        <w:rPr>
          <w:rFonts w:ascii="方正小标宋简体" w:eastAsia="方正小标宋简体" w:hAnsi="仿宋" w:cs="宋体"/>
          <w:bCs/>
          <w:kern w:val="0"/>
          <w:sz w:val="44"/>
          <w:szCs w:val="44"/>
        </w:rPr>
      </w:pPr>
      <w:r>
        <w:rPr>
          <w:rFonts w:ascii="方正小标宋简体" w:eastAsia="方正小标宋简体" w:hAnsi="仿宋" w:cs="宋体" w:hint="eastAsia"/>
          <w:bCs/>
          <w:kern w:val="0"/>
          <w:sz w:val="44"/>
          <w:szCs w:val="44"/>
        </w:rPr>
        <w:t>部门整体支出绩效评价指标自评打分表</w:t>
      </w:r>
    </w:p>
    <w:tbl>
      <w:tblPr>
        <w:tblW w:w="9562" w:type="dxa"/>
        <w:jc w:val="center"/>
        <w:tblLayout w:type="fixed"/>
        <w:tblLook w:val="04A0"/>
      </w:tblPr>
      <w:tblGrid>
        <w:gridCol w:w="518"/>
        <w:gridCol w:w="416"/>
        <w:gridCol w:w="659"/>
        <w:gridCol w:w="434"/>
        <w:gridCol w:w="843"/>
        <w:gridCol w:w="458"/>
        <w:gridCol w:w="2272"/>
        <w:gridCol w:w="3304"/>
        <w:gridCol w:w="658"/>
      </w:tblGrid>
      <w:tr w:rsidR="006C5CC9">
        <w:trPr>
          <w:tblHeader/>
          <w:jc w:val="center"/>
        </w:trPr>
        <w:tc>
          <w:tcPr>
            <w:tcW w:w="518" w:type="dxa"/>
            <w:tcBorders>
              <w:top w:val="single" w:sz="4" w:space="0" w:color="000000"/>
              <w:left w:val="single" w:sz="4" w:space="0" w:color="000000"/>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一级指标</w:t>
            </w:r>
          </w:p>
        </w:tc>
        <w:tc>
          <w:tcPr>
            <w:tcW w:w="416"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分值</w:t>
            </w:r>
          </w:p>
        </w:tc>
        <w:tc>
          <w:tcPr>
            <w:tcW w:w="659"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二级指标</w:t>
            </w:r>
          </w:p>
        </w:tc>
        <w:tc>
          <w:tcPr>
            <w:tcW w:w="434"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分值</w:t>
            </w:r>
          </w:p>
        </w:tc>
        <w:tc>
          <w:tcPr>
            <w:tcW w:w="843"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三级</w:t>
            </w:r>
          </w:p>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指标</w:t>
            </w:r>
          </w:p>
        </w:tc>
        <w:tc>
          <w:tcPr>
            <w:tcW w:w="458"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分值</w:t>
            </w:r>
          </w:p>
        </w:tc>
        <w:tc>
          <w:tcPr>
            <w:tcW w:w="2272"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评价标准</w:t>
            </w:r>
          </w:p>
        </w:tc>
        <w:tc>
          <w:tcPr>
            <w:tcW w:w="3304"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指标说明</w:t>
            </w:r>
          </w:p>
        </w:tc>
        <w:tc>
          <w:tcPr>
            <w:tcW w:w="658" w:type="dxa"/>
            <w:tcBorders>
              <w:top w:val="single" w:sz="4" w:space="0" w:color="000000"/>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得分</w:t>
            </w:r>
          </w:p>
        </w:tc>
      </w:tr>
      <w:tr w:rsidR="006C5CC9">
        <w:trPr>
          <w:trHeight w:val="1686"/>
          <w:jc w:val="center"/>
        </w:trPr>
        <w:tc>
          <w:tcPr>
            <w:tcW w:w="518" w:type="dxa"/>
            <w:vMerge w:val="restart"/>
            <w:tcBorders>
              <w:top w:val="nil"/>
              <w:left w:val="single" w:sz="4" w:space="0" w:color="000000"/>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投入</w:t>
            </w:r>
          </w:p>
        </w:tc>
        <w:tc>
          <w:tcPr>
            <w:tcW w:w="416"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13</w:t>
            </w:r>
          </w:p>
        </w:tc>
        <w:tc>
          <w:tcPr>
            <w:tcW w:w="659"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预算配置</w:t>
            </w:r>
          </w:p>
        </w:tc>
        <w:tc>
          <w:tcPr>
            <w:tcW w:w="434"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13</w:t>
            </w:r>
          </w:p>
        </w:tc>
        <w:tc>
          <w:tcPr>
            <w:tcW w:w="843"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在职人员控制率</w:t>
            </w:r>
          </w:p>
        </w:tc>
        <w:tc>
          <w:tcPr>
            <w:tcW w:w="4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5</w:t>
            </w:r>
          </w:p>
        </w:tc>
        <w:tc>
          <w:tcPr>
            <w:tcW w:w="2272" w:type="dxa"/>
            <w:tcBorders>
              <w:top w:val="nil"/>
              <w:left w:val="nil"/>
              <w:bottom w:val="nil"/>
              <w:right w:val="nil"/>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以100%为标准。在职人员控制率</w:t>
            </w:r>
            <w:r>
              <w:rPr>
                <w:rFonts w:ascii="仿宋_GB2312" w:eastAsia="仿宋" w:hAnsi="仿宋" w:cs="宋体" w:hint="eastAsia"/>
                <w:kern w:val="0"/>
                <w:sz w:val="20"/>
                <w:szCs w:val="20"/>
              </w:rPr>
              <w:t>≦</w:t>
            </w:r>
            <w:r>
              <w:rPr>
                <w:rFonts w:ascii="仿宋_GB2312" w:eastAsia="仿宋_GB2312" w:hAnsi="仿宋" w:cs="宋体" w:hint="eastAsia"/>
                <w:kern w:val="0"/>
                <w:sz w:val="20"/>
                <w:szCs w:val="20"/>
              </w:rPr>
              <w:t>100%，计5分；每超过一个百分点扣0.5分，扣完为止。</w:t>
            </w:r>
          </w:p>
        </w:tc>
        <w:tc>
          <w:tcPr>
            <w:tcW w:w="3304" w:type="dxa"/>
            <w:tcBorders>
              <w:top w:val="nil"/>
              <w:left w:val="single" w:sz="4" w:space="0" w:color="000000"/>
              <w:bottom w:val="single" w:sz="4" w:space="0" w:color="000000"/>
              <w:right w:val="single" w:sz="4" w:space="0" w:color="000000"/>
            </w:tcBorders>
            <w:vAlign w:val="center"/>
          </w:tcPr>
          <w:p w:rsidR="006C5CC9" w:rsidRDefault="00247E46">
            <w:pPr>
              <w:pStyle w:val="a6"/>
              <w:widowControl/>
              <w:spacing w:beforeAutospacing="0" w:afterAutospacing="0" w:line="15" w:lineRule="atLeast"/>
              <w:rPr>
                <w:rFonts w:ascii="宋体" w:hAnsi="宋体" w:cs="宋体"/>
              </w:rPr>
            </w:pPr>
            <w:r>
              <w:rPr>
                <w:rFonts w:ascii="仿宋_GB2312" w:eastAsia="仿宋_GB2312" w:hAnsi="仿宋" w:cs="宋体" w:hint="eastAsia"/>
                <w:sz w:val="20"/>
                <w:szCs w:val="20"/>
              </w:rPr>
              <w:t>在职人员控制率=（在职人员数/编制数）×100%=127/127</w:t>
            </w:r>
            <w:r>
              <w:rPr>
                <w:rFonts w:ascii="仿宋_GB2312" w:eastAsia="仿宋_GB2312" w:cs="仿宋_GB2312" w:hint="eastAsia"/>
                <w:sz w:val="20"/>
                <w:szCs w:val="20"/>
              </w:rPr>
              <w:t>≧</w:t>
            </w:r>
            <w:r>
              <w:rPr>
                <w:rFonts w:ascii="仿宋_GB2312" w:eastAsia="仿宋_GB2312" w:hAnsi="仿宋" w:cs="宋体" w:hint="eastAsia"/>
                <w:sz w:val="20"/>
                <w:szCs w:val="20"/>
              </w:rPr>
              <w:t>100%</w:t>
            </w:r>
          </w:p>
        </w:tc>
        <w:tc>
          <w:tcPr>
            <w:tcW w:w="6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4"/>
              </w:rPr>
            </w:pPr>
            <w:r>
              <w:rPr>
                <w:rFonts w:ascii="仿宋_GB2312" w:eastAsia="仿宋_GB2312" w:hAnsi="仿宋" w:cs="宋体" w:hint="eastAsia"/>
                <w:kern w:val="0"/>
                <w:sz w:val="24"/>
              </w:rPr>
              <w:t>5</w:t>
            </w:r>
          </w:p>
        </w:tc>
      </w:tr>
      <w:tr w:rsidR="006C5CC9">
        <w:trPr>
          <w:trHeight w:val="1085"/>
          <w:jc w:val="center"/>
        </w:trPr>
        <w:tc>
          <w:tcPr>
            <w:tcW w:w="518" w:type="dxa"/>
            <w:vMerge/>
            <w:tcBorders>
              <w:top w:val="nil"/>
              <w:left w:val="single" w:sz="4" w:space="0" w:color="000000"/>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16"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659"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34"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843"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“三公经费”变动率</w:t>
            </w:r>
          </w:p>
        </w:tc>
        <w:tc>
          <w:tcPr>
            <w:tcW w:w="4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8</w:t>
            </w:r>
          </w:p>
        </w:tc>
        <w:tc>
          <w:tcPr>
            <w:tcW w:w="2272" w:type="dxa"/>
            <w:tcBorders>
              <w:top w:val="single" w:sz="4" w:space="0" w:color="000000"/>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“三公经费”变动率</w:t>
            </w:r>
            <w:r>
              <w:rPr>
                <w:rFonts w:ascii="仿宋_GB2312" w:eastAsia="仿宋" w:hAnsi="仿宋" w:cs="宋体" w:hint="eastAsia"/>
                <w:kern w:val="0"/>
                <w:sz w:val="20"/>
                <w:szCs w:val="20"/>
              </w:rPr>
              <w:t>≦</w:t>
            </w:r>
            <w:r>
              <w:rPr>
                <w:rFonts w:ascii="仿宋_GB2312" w:eastAsia="仿宋_GB2312" w:hAnsi="仿宋" w:cs="宋体" w:hint="eastAsia"/>
                <w:kern w:val="0"/>
                <w:sz w:val="20"/>
                <w:szCs w:val="20"/>
              </w:rPr>
              <w:t>0,计8分；“三公经费”＞0，每超过一个百分点扣0.8分，扣完为止。</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spacing w:beforeAutospacing="0" w:afterAutospacing="0" w:line="15" w:lineRule="atLeast"/>
              <w:rPr>
                <w:rFonts w:ascii="仿宋_GB2312" w:eastAsia="仿宋_GB2312" w:hAnsi="宋体" w:cs="仿宋_GB2312"/>
                <w:sz w:val="20"/>
                <w:szCs w:val="20"/>
              </w:rPr>
            </w:pPr>
            <w:r>
              <w:rPr>
                <w:rFonts w:ascii="仿宋_GB2312" w:eastAsia="仿宋_GB2312" w:hAnsi="仿宋" w:cs="宋体" w:hint="eastAsia"/>
                <w:sz w:val="20"/>
                <w:szCs w:val="20"/>
              </w:rPr>
              <w:t>“三公经费”变动率=[（本年度“三公经费”预算数-上年度“三公经费”预算数）/上年度“三公经费”预算数]×100%=（6.74-0）/0= 0</w:t>
            </w:r>
            <w:r>
              <w:rPr>
                <w:rFonts w:ascii="仿宋_GB2312" w:eastAsia="仿宋" w:hAnsi="仿宋" w:cs="宋体" w:hint="eastAsia"/>
                <w:sz w:val="20"/>
                <w:szCs w:val="20"/>
              </w:rPr>
              <w:t>≦</w:t>
            </w:r>
            <w:r>
              <w:rPr>
                <w:rFonts w:ascii="仿宋_GB2312" w:eastAsia="仿宋_GB2312" w:hAnsi="仿宋" w:cs="宋体" w:hint="eastAsia"/>
                <w:sz w:val="20"/>
                <w:szCs w:val="20"/>
              </w:rPr>
              <w:t>0</w:t>
            </w:r>
          </w:p>
        </w:tc>
        <w:tc>
          <w:tcPr>
            <w:tcW w:w="6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4"/>
              </w:rPr>
            </w:pPr>
            <w:r>
              <w:rPr>
                <w:rFonts w:ascii="仿宋_GB2312" w:eastAsia="仿宋_GB2312" w:hAnsi="仿宋" w:cs="宋体" w:hint="eastAsia"/>
                <w:kern w:val="0"/>
                <w:sz w:val="24"/>
              </w:rPr>
              <w:t>8</w:t>
            </w:r>
          </w:p>
        </w:tc>
      </w:tr>
      <w:tr w:rsidR="006C5CC9">
        <w:trPr>
          <w:jc w:val="center"/>
        </w:trPr>
        <w:tc>
          <w:tcPr>
            <w:tcW w:w="518" w:type="dxa"/>
            <w:vMerge w:val="restart"/>
            <w:tcBorders>
              <w:top w:val="nil"/>
              <w:left w:val="single" w:sz="4" w:space="0" w:color="000000"/>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过                                                                                                                                       程</w:t>
            </w:r>
          </w:p>
        </w:tc>
        <w:tc>
          <w:tcPr>
            <w:tcW w:w="416"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61</w:t>
            </w:r>
          </w:p>
        </w:tc>
        <w:tc>
          <w:tcPr>
            <w:tcW w:w="659"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预算执行</w:t>
            </w:r>
          </w:p>
        </w:tc>
        <w:tc>
          <w:tcPr>
            <w:tcW w:w="434"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20</w:t>
            </w:r>
          </w:p>
        </w:tc>
        <w:tc>
          <w:tcPr>
            <w:tcW w:w="843"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预算完成率</w:t>
            </w:r>
          </w:p>
        </w:tc>
        <w:tc>
          <w:tcPr>
            <w:tcW w:w="4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w:t>
            </w:r>
          </w:p>
        </w:tc>
        <w:tc>
          <w:tcPr>
            <w:tcW w:w="2272"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100%计满分，每低于5%扣1分，扣完为止。</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spacing w:beforeAutospacing="0" w:afterAutospacing="0" w:line="15" w:lineRule="atLeast"/>
              <w:rPr>
                <w:rFonts w:ascii="仿宋_GB2312" w:eastAsia="仿宋_GB2312" w:hAnsi="宋体" w:cs="仿宋_GB2312"/>
                <w:sz w:val="20"/>
                <w:szCs w:val="20"/>
              </w:rPr>
            </w:pPr>
            <w:r>
              <w:rPr>
                <w:rFonts w:ascii="仿宋_GB2312" w:eastAsia="仿宋_GB2312" w:cs="仿宋_GB2312" w:hint="eastAsia"/>
                <w:sz w:val="20"/>
                <w:szCs w:val="20"/>
              </w:rPr>
              <w:t>（上年结转0万元+年初预算数1704.85万元+本年追加预算2241.65万元-年末结余0万元）/(上年结转0万元+年初预算数1704.85万元+本年追加预算2241.65万元)*100%=100%</w:t>
            </w:r>
          </w:p>
        </w:tc>
        <w:tc>
          <w:tcPr>
            <w:tcW w:w="6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4"/>
              </w:rPr>
            </w:pPr>
            <w:r>
              <w:rPr>
                <w:rFonts w:ascii="仿宋_GB2312" w:eastAsia="仿宋_GB2312" w:hAnsi="仿宋" w:cs="宋体" w:hint="eastAsia"/>
                <w:kern w:val="0"/>
                <w:sz w:val="24"/>
              </w:rPr>
              <w:t>10</w:t>
            </w:r>
          </w:p>
        </w:tc>
      </w:tr>
      <w:tr w:rsidR="006C5CC9">
        <w:trPr>
          <w:trHeight w:val="1273"/>
          <w:jc w:val="center"/>
        </w:trPr>
        <w:tc>
          <w:tcPr>
            <w:tcW w:w="518" w:type="dxa"/>
            <w:vMerge/>
            <w:tcBorders>
              <w:top w:val="nil"/>
              <w:left w:val="single" w:sz="4" w:space="0" w:color="000000"/>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16"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659"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34"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843"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预算控制率</w:t>
            </w:r>
          </w:p>
        </w:tc>
        <w:tc>
          <w:tcPr>
            <w:tcW w:w="4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w:t>
            </w:r>
          </w:p>
        </w:tc>
        <w:tc>
          <w:tcPr>
            <w:tcW w:w="2272"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预算控制率=0，计10分；0-10%（含），计8分；10-20%（含），计6分；20-30%（含），计4分；大于30%不得分。</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spacing w:beforeAutospacing="0" w:afterAutospacing="0" w:line="15" w:lineRule="atLeast"/>
              <w:rPr>
                <w:rFonts w:ascii="仿宋_GB2312" w:eastAsia="仿宋_GB2312" w:hAnsi="宋体" w:cs="仿宋_GB2312"/>
                <w:sz w:val="20"/>
                <w:szCs w:val="20"/>
              </w:rPr>
            </w:pPr>
            <w:r>
              <w:rPr>
                <w:rFonts w:ascii="仿宋_GB2312" w:eastAsia="仿宋_GB2312" w:cs="仿宋_GB2312"/>
                <w:sz w:val="20"/>
                <w:szCs w:val="20"/>
              </w:rPr>
              <w:t>预算控制率=</w:t>
            </w:r>
            <w:r>
              <w:rPr>
                <w:rFonts w:ascii="仿宋_GB2312" w:eastAsia="仿宋_GB2312" w:cs="仿宋_GB2312" w:hint="eastAsia"/>
                <w:sz w:val="20"/>
                <w:szCs w:val="20"/>
              </w:rPr>
              <w:t>（本年追加预算2241.65/年初预算数1704.85万元）*100%=131.49%≧30%</w:t>
            </w:r>
          </w:p>
        </w:tc>
        <w:tc>
          <w:tcPr>
            <w:tcW w:w="6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4"/>
              </w:rPr>
            </w:pPr>
            <w:r>
              <w:rPr>
                <w:rFonts w:ascii="仿宋_GB2312" w:eastAsia="仿宋_GB2312" w:hAnsi="仿宋" w:cs="宋体" w:hint="eastAsia"/>
                <w:kern w:val="0"/>
                <w:sz w:val="24"/>
              </w:rPr>
              <w:t>0</w:t>
            </w:r>
          </w:p>
        </w:tc>
      </w:tr>
      <w:tr w:rsidR="006C5CC9">
        <w:trPr>
          <w:trHeight w:val="1275"/>
          <w:jc w:val="center"/>
        </w:trPr>
        <w:tc>
          <w:tcPr>
            <w:tcW w:w="518" w:type="dxa"/>
            <w:vMerge/>
            <w:tcBorders>
              <w:top w:val="nil"/>
              <w:left w:val="single" w:sz="4" w:space="0" w:color="000000"/>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16"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659"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预算管理</w:t>
            </w:r>
          </w:p>
        </w:tc>
        <w:tc>
          <w:tcPr>
            <w:tcW w:w="434" w:type="dxa"/>
            <w:vMerge w:val="restart"/>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41</w:t>
            </w:r>
          </w:p>
        </w:tc>
        <w:tc>
          <w:tcPr>
            <w:tcW w:w="843"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公用经费控制率</w:t>
            </w:r>
          </w:p>
        </w:tc>
        <w:tc>
          <w:tcPr>
            <w:tcW w:w="4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8</w:t>
            </w:r>
          </w:p>
        </w:tc>
        <w:tc>
          <w:tcPr>
            <w:tcW w:w="2272"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100%以下（含）计满分，每超出1%扣1分，扣完为止。</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spacing w:beforeAutospacing="0" w:afterAutospacing="0" w:line="15" w:lineRule="atLeast"/>
              <w:rPr>
                <w:rFonts w:ascii="仿宋_GB2312" w:eastAsia="仿宋_GB2312" w:hAnsi="宋体" w:cs="仿宋_GB2312"/>
                <w:sz w:val="20"/>
                <w:szCs w:val="20"/>
              </w:rPr>
            </w:pPr>
            <w:r>
              <w:rPr>
                <w:rFonts w:ascii="仿宋_GB2312" w:eastAsia="仿宋_GB2312" w:cs="仿宋_GB2312"/>
                <w:sz w:val="20"/>
                <w:szCs w:val="20"/>
              </w:rPr>
              <w:t>公用经费控制率=</w:t>
            </w:r>
            <w:r>
              <w:rPr>
                <w:rFonts w:ascii="仿宋_GB2312" w:eastAsia="仿宋_GB2312" w:cs="仿宋_GB2312" w:hint="eastAsia"/>
                <w:sz w:val="20"/>
                <w:szCs w:val="20"/>
              </w:rPr>
              <w:t>（实际支出公用经费总额960.91万元/预算安排公用经费总额960.91万元）*100%=100%</w:t>
            </w:r>
            <w:r>
              <w:rPr>
                <w:rFonts w:ascii="仿宋_GB2312" w:eastAsia="仿宋_GB2312" w:cs="仿宋_GB2312"/>
                <w:sz w:val="20"/>
                <w:szCs w:val="20"/>
              </w:rPr>
              <w:t>。</w:t>
            </w:r>
            <w:r>
              <w:rPr>
                <w:rFonts w:ascii="仿宋_GB2312" w:eastAsia="仿宋_GB2312" w:cs="仿宋_GB2312"/>
                <w:sz w:val="20"/>
                <w:szCs w:val="20"/>
              </w:rPr>
              <w:t> </w:t>
            </w:r>
            <w:r>
              <w:rPr>
                <w:rFonts w:ascii="仿宋_GB2312" w:eastAsia="仿宋_GB2312" w:cs="仿宋_GB2312"/>
                <w:sz w:val="20"/>
                <w:szCs w:val="20"/>
              </w:rPr>
              <w:br/>
            </w:r>
          </w:p>
        </w:tc>
        <w:tc>
          <w:tcPr>
            <w:tcW w:w="6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4"/>
              </w:rPr>
            </w:pPr>
            <w:r>
              <w:rPr>
                <w:rFonts w:ascii="仿宋_GB2312" w:eastAsia="仿宋_GB2312" w:hAnsi="仿宋" w:cs="宋体" w:hint="eastAsia"/>
                <w:kern w:val="0"/>
                <w:sz w:val="24"/>
              </w:rPr>
              <w:t>8</w:t>
            </w:r>
          </w:p>
        </w:tc>
      </w:tr>
      <w:tr w:rsidR="006C5CC9">
        <w:trPr>
          <w:trHeight w:val="928"/>
          <w:jc w:val="center"/>
        </w:trPr>
        <w:tc>
          <w:tcPr>
            <w:tcW w:w="518" w:type="dxa"/>
            <w:vMerge/>
            <w:tcBorders>
              <w:top w:val="nil"/>
              <w:left w:val="single" w:sz="4" w:space="0" w:color="000000"/>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16"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659"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34"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843"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“三公经费”控制率</w:t>
            </w:r>
          </w:p>
        </w:tc>
        <w:tc>
          <w:tcPr>
            <w:tcW w:w="4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8</w:t>
            </w:r>
          </w:p>
        </w:tc>
        <w:tc>
          <w:tcPr>
            <w:tcW w:w="2272"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100%以下（含）计满分，每超出1%扣1分，扣完为止。</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spacing w:beforeAutospacing="0" w:afterAutospacing="0" w:line="15" w:lineRule="atLeast"/>
              <w:rPr>
                <w:rFonts w:ascii="仿宋_GB2312" w:eastAsia="仿宋_GB2312" w:hAnsi="宋体" w:cs="仿宋_GB2312"/>
                <w:sz w:val="20"/>
                <w:szCs w:val="20"/>
              </w:rPr>
            </w:pPr>
            <w:r>
              <w:rPr>
                <w:rFonts w:ascii="仿宋_GB2312" w:eastAsia="仿宋_GB2312" w:cs="仿宋_GB2312"/>
                <w:sz w:val="20"/>
                <w:szCs w:val="20"/>
              </w:rPr>
              <w:t>“</w:t>
            </w:r>
            <w:r>
              <w:rPr>
                <w:rFonts w:ascii="仿宋_GB2312" w:eastAsia="仿宋_GB2312" w:cs="仿宋_GB2312"/>
                <w:sz w:val="20"/>
                <w:szCs w:val="20"/>
              </w:rPr>
              <w:t>三公经费</w:t>
            </w:r>
            <w:r>
              <w:rPr>
                <w:rFonts w:ascii="仿宋_GB2312" w:eastAsia="仿宋_GB2312" w:cs="仿宋_GB2312"/>
                <w:sz w:val="20"/>
                <w:szCs w:val="20"/>
              </w:rPr>
              <w:t>”</w:t>
            </w:r>
            <w:r>
              <w:rPr>
                <w:rFonts w:ascii="仿宋_GB2312" w:eastAsia="仿宋_GB2312" w:cs="仿宋_GB2312"/>
                <w:sz w:val="20"/>
                <w:szCs w:val="20"/>
              </w:rPr>
              <w:t>控制率-</w:t>
            </w:r>
            <w:r>
              <w:rPr>
                <w:rFonts w:ascii="仿宋_GB2312" w:eastAsia="仿宋_GB2312" w:cs="仿宋_GB2312" w:hint="eastAsia"/>
                <w:sz w:val="20"/>
                <w:szCs w:val="20"/>
              </w:rPr>
              <w:t>（“三公经费”实际支出数6.74元/“三公经费”</w:t>
            </w:r>
            <w:r>
              <w:rPr>
                <w:rFonts w:ascii="仿宋_GB2312" w:eastAsia="仿宋_GB2312" w:cs="仿宋_GB2312" w:hint="eastAsia"/>
                <w:sz w:val="20"/>
                <w:szCs w:val="20"/>
              </w:rPr>
              <w:lastRenderedPageBreak/>
              <w:t>预算安排数6.74万元）*100%=100%≦100%</w:t>
            </w:r>
          </w:p>
        </w:tc>
        <w:tc>
          <w:tcPr>
            <w:tcW w:w="6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4"/>
              </w:rPr>
            </w:pPr>
            <w:r>
              <w:rPr>
                <w:rFonts w:ascii="仿宋_GB2312" w:eastAsia="仿宋_GB2312" w:hAnsi="仿宋" w:cs="宋体" w:hint="eastAsia"/>
                <w:kern w:val="0"/>
                <w:sz w:val="24"/>
              </w:rPr>
              <w:lastRenderedPageBreak/>
              <w:t>8</w:t>
            </w:r>
          </w:p>
        </w:tc>
      </w:tr>
      <w:tr w:rsidR="006C5CC9">
        <w:trPr>
          <w:trHeight w:val="918"/>
          <w:jc w:val="center"/>
        </w:trPr>
        <w:tc>
          <w:tcPr>
            <w:tcW w:w="518" w:type="dxa"/>
            <w:vMerge/>
            <w:tcBorders>
              <w:top w:val="nil"/>
              <w:left w:val="single" w:sz="4" w:space="0" w:color="000000"/>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16"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659"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434" w:type="dxa"/>
            <w:vMerge/>
            <w:tcBorders>
              <w:top w:val="nil"/>
              <w:left w:val="nil"/>
              <w:bottom w:val="single" w:sz="4" w:space="0" w:color="000000"/>
              <w:right w:val="single" w:sz="4" w:space="0" w:color="000000"/>
            </w:tcBorders>
            <w:vAlign w:val="center"/>
          </w:tcPr>
          <w:p w:rsidR="006C5CC9" w:rsidRDefault="006C5CC9">
            <w:pPr>
              <w:widowControl/>
              <w:spacing w:line="240" w:lineRule="exact"/>
              <w:jc w:val="left"/>
              <w:rPr>
                <w:rFonts w:ascii="仿宋_GB2312" w:eastAsia="仿宋_GB2312" w:hAnsi="仿宋" w:cs="宋体"/>
                <w:kern w:val="0"/>
                <w:sz w:val="20"/>
                <w:szCs w:val="20"/>
              </w:rPr>
            </w:pPr>
          </w:p>
        </w:tc>
        <w:tc>
          <w:tcPr>
            <w:tcW w:w="843"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政府采购执行率</w:t>
            </w:r>
          </w:p>
        </w:tc>
        <w:tc>
          <w:tcPr>
            <w:tcW w:w="4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6</w:t>
            </w:r>
          </w:p>
        </w:tc>
        <w:tc>
          <w:tcPr>
            <w:tcW w:w="2272" w:type="dxa"/>
            <w:tcBorders>
              <w:top w:val="nil"/>
              <w:left w:val="nil"/>
              <w:bottom w:val="single" w:sz="4" w:space="0" w:color="000000"/>
              <w:right w:val="single" w:sz="4" w:space="0" w:color="000000"/>
            </w:tcBorders>
            <w:vAlign w:val="center"/>
          </w:tcPr>
          <w:p w:rsidR="006C5CC9" w:rsidRDefault="00247E46">
            <w:pPr>
              <w:widowControl/>
              <w:spacing w:line="240" w:lineRule="exact"/>
              <w:jc w:val="left"/>
              <w:rPr>
                <w:rFonts w:ascii="仿宋_GB2312" w:eastAsia="仿宋_GB2312" w:hAnsi="仿宋" w:cs="宋体"/>
                <w:kern w:val="0"/>
                <w:sz w:val="20"/>
                <w:szCs w:val="20"/>
              </w:rPr>
            </w:pPr>
            <w:r>
              <w:rPr>
                <w:rFonts w:ascii="仿宋_GB2312" w:eastAsia="仿宋_GB2312" w:hAnsi="仿宋" w:cs="宋体" w:hint="eastAsia"/>
                <w:kern w:val="0"/>
                <w:sz w:val="20"/>
                <w:szCs w:val="20"/>
              </w:rPr>
              <w:t>100%计满分，每超过（降低）5%扣2分，扣完为止。</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spacing w:beforeAutospacing="0" w:afterAutospacing="0" w:line="15" w:lineRule="atLeast"/>
              <w:rPr>
                <w:rFonts w:ascii="仿宋_GB2312" w:eastAsia="仿宋_GB2312" w:hAnsi="宋体" w:cs="仿宋_GB2312"/>
                <w:sz w:val="20"/>
                <w:szCs w:val="20"/>
              </w:rPr>
            </w:pPr>
            <w:r>
              <w:rPr>
                <w:rFonts w:ascii="仿宋_GB2312" w:eastAsia="仿宋_GB2312" w:cs="仿宋_GB2312"/>
                <w:sz w:val="20"/>
                <w:szCs w:val="20"/>
              </w:rPr>
              <w:t>政府采购执行率=</w:t>
            </w:r>
            <w:r>
              <w:rPr>
                <w:rFonts w:ascii="仿宋_GB2312" w:eastAsia="仿宋_GB2312" w:cs="仿宋_GB2312" w:hint="eastAsia"/>
                <w:sz w:val="20"/>
                <w:szCs w:val="20"/>
              </w:rPr>
              <w:t>（实际采购金额0万元/政府采购预算数0万元）*100%=100%</w:t>
            </w:r>
          </w:p>
        </w:tc>
        <w:tc>
          <w:tcPr>
            <w:tcW w:w="658" w:type="dxa"/>
            <w:tcBorders>
              <w:top w:val="nil"/>
              <w:left w:val="nil"/>
              <w:bottom w:val="single" w:sz="4" w:space="0" w:color="000000"/>
              <w:right w:val="single" w:sz="4" w:space="0" w:color="000000"/>
            </w:tcBorders>
            <w:vAlign w:val="center"/>
          </w:tcPr>
          <w:p w:rsidR="006C5CC9" w:rsidRDefault="00247E46">
            <w:pPr>
              <w:widowControl/>
              <w:spacing w:line="240" w:lineRule="exact"/>
              <w:jc w:val="center"/>
              <w:rPr>
                <w:rFonts w:ascii="仿宋_GB2312" w:eastAsia="仿宋_GB2312" w:hAnsi="仿宋" w:cs="宋体"/>
                <w:kern w:val="0"/>
                <w:sz w:val="24"/>
              </w:rPr>
            </w:pPr>
            <w:r>
              <w:rPr>
                <w:rFonts w:ascii="仿宋_GB2312" w:eastAsia="仿宋_GB2312" w:hAnsi="仿宋" w:cs="宋体" w:hint="eastAsia"/>
                <w:kern w:val="0"/>
                <w:sz w:val="24"/>
              </w:rPr>
              <w:t>6</w:t>
            </w:r>
          </w:p>
        </w:tc>
      </w:tr>
      <w:tr w:rsidR="006C5CC9">
        <w:trPr>
          <w:trHeight w:val="3093"/>
          <w:jc w:val="center"/>
        </w:trPr>
        <w:tc>
          <w:tcPr>
            <w:tcW w:w="518" w:type="dxa"/>
            <w:vMerge w:val="restart"/>
            <w:tcBorders>
              <w:top w:val="nil"/>
              <w:left w:val="single" w:sz="4" w:space="0" w:color="000000"/>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过                                                                                                                                       程</w:t>
            </w:r>
          </w:p>
        </w:tc>
        <w:tc>
          <w:tcPr>
            <w:tcW w:w="416" w:type="dxa"/>
            <w:vMerge w:val="restart"/>
            <w:tcBorders>
              <w:top w:val="nil"/>
              <w:left w:val="nil"/>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61</w:t>
            </w:r>
          </w:p>
        </w:tc>
        <w:tc>
          <w:tcPr>
            <w:tcW w:w="659" w:type="dxa"/>
            <w:vMerge w:val="restart"/>
            <w:tcBorders>
              <w:top w:val="nil"/>
              <w:left w:val="nil"/>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预算管理</w:t>
            </w:r>
          </w:p>
        </w:tc>
        <w:tc>
          <w:tcPr>
            <w:tcW w:w="434" w:type="dxa"/>
            <w:vMerge/>
            <w:tcBorders>
              <w:top w:val="nil"/>
              <w:left w:val="nil"/>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843" w:type="dxa"/>
            <w:tcBorders>
              <w:top w:val="nil"/>
              <w:left w:val="nil"/>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管理制度健全性</w:t>
            </w:r>
          </w:p>
        </w:tc>
        <w:tc>
          <w:tcPr>
            <w:tcW w:w="458" w:type="dxa"/>
            <w:tcBorders>
              <w:top w:val="nil"/>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8</w:t>
            </w:r>
          </w:p>
        </w:tc>
        <w:tc>
          <w:tcPr>
            <w:tcW w:w="2272" w:type="dxa"/>
            <w:tcBorders>
              <w:top w:val="nil"/>
              <w:left w:val="nil"/>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①有内部财务管理制度、会计核算制度等管理制度，2分；</w:t>
            </w:r>
            <w:r>
              <w:rPr>
                <w:rFonts w:ascii="仿宋_GB2312" w:eastAsia="仿宋_GB2312" w:hAnsi="仿宋" w:cs="宋体" w:hint="eastAsia"/>
                <w:kern w:val="0"/>
                <w:sz w:val="20"/>
                <w:szCs w:val="20"/>
              </w:rPr>
              <w:br/>
              <w:t>②有本部门厉行节约制度,2分；</w:t>
            </w:r>
            <w:r>
              <w:rPr>
                <w:rFonts w:ascii="仿宋_GB2312" w:eastAsia="仿宋_GB2312" w:hAnsi="仿宋" w:cs="宋体" w:hint="eastAsia"/>
                <w:kern w:val="0"/>
                <w:sz w:val="20"/>
                <w:szCs w:val="20"/>
              </w:rPr>
              <w:br/>
              <w:t>③相关管理制度合法、合</w:t>
            </w:r>
            <w:proofErr w:type="gramStart"/>
            <w:r>
              <w:rPr>
                <w:rFonts w:ascii="仿宋_GB2312" w:eastAsia="仿宋_GB2312" w:hAnsi="仿宋" w:cs="宋体" w:hint="eastAsia"/>
                <w:kern w:val="0"/>
                <w:sz w:val="20"/>
                <w:szCs w:val="20"/>
              </w:rPr>
              <w:t>规</w:t>
            </w:r>
            <w:proofErr w:type="gramEnd"/>
            <w:r>
              <w:rPr>
                <w:rFonts w:ascii="仿宋_GB2312" w:eastAsia="仿宋_GB2312" w:hAnsi="仿宋" w:cs="宋体" w:hint="eastAsia"/>
                <w:kern w:val="0"/>
                <w:sz w:val="20"/>
                <w:szCs w:val="20"/>
              </w:rPr>
              <w:t>、完整，2分；④相关管理制度得到有效执行，2分。</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spacing w:beforeAutospacing="0" w:afterAutospacing="0" w:line="23" w:lineRule="atLeast"/>
              <w:rPr>
                <w:rFonts w:ascii="仿宋_GB2312" w:eastAsia="仿宋_GB2312" w:hAnsi="宋体" w:cs="仿宋_GB2312"/>
                <w:sz w:val="20"/>
                <w:szCs w:val="20"/>
              </w:rPr>
            </w:pPr>
            <w:r>
              <w:rPr>
                <w:rFonts w:ascii="仿宋_GB2312" w:eastAsia="仿宋_GB2312" w:cs="仿宋_GB2312"/>
                <w:sz w:val="20"/>
                <w:szCs w:val="20"/>
              </w:rPr>
              <w:t>附件请提供证明材料。</w:t>
            </w:r>
          </w:p>
        </w:tc>
        <w:tc>
          <w:tcPr>
            <w:tcW w:w="658" w:type="dxa"/>
            <w:tcBorders>
              <w:top w:val="nil"/>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8</w:t>
            </w:r>
          </w:p>
        </w:tc>
      </w:tr>
      <w:tr w:rsidR="006C5CC9">
        <w:trPr>
          <w:trHeight w:val="4893"/>
          <w:jc w:val="center"/>
        </w:trPr>
        <w:tc>
          <w:tcPr>
            <w:tcW w:w="518" w:type="dxa"/>
            <w:vMerge/>
            <w:tcBorders>
              <w:top w:val="nil"/>
              <w:left w:val="single" w:sz="4" w:space="0" w:color="000000"/>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416" w:type="dxa"/>
            <w:vMerge/>
            <w:tcBorders>
              <w:top w:val="nil"/>
              <w:left w:val="nil"/>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659" w:type="dxa"/>
            <w:vMerge/>
            <w:tcBorders>
              <w:top w:val="nil"/>
              <w:left w:val="nil"/>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434" w:type="dxa"/>
            <w:vMerge/>
            <w:tcBorders>
              <w:top w:val="nil"/>
              <w:left w:val="nil"/>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843" w:type="dxa"/>
            <w:tcBorders>
              <w:top w:val="nil"/>
              <w:left w:val="nil"/>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资金使用合</w:t>
            </w:r>
            <w:proofErr w:type="gramStart"/>
            <w:r>
              <w:rPr>
                <w:rFonts w:ascii="仿宋_GB2312" w:eastAsia="仿宋_GB2312" w:hAnsi="仿宋" w:cs="宋体" w:hint="eastAsia"/>
                <w:kern w:val="0"/>
                <w:sz w:val="20"/>
                <w:szCs w:val="20"/>
              </w:rPr>
              <w:t>规</w:t>
            </w:r>
            <w:proofErr w:type="gramEnd"/>
            <w:r>
              <w:rPr>
                <w:rFonts w:ascii="仿宋_GB2312" w:eastAsia="仿宋_GB2312" w:hAnsi="仿宋" w:cs="宋体" w:hint="eastAsia"/>
                <w:kern w:val="0"/>
                <w:sz w:val="20"/>
                <w:szCs w:val="20"/>
              </w:rPr>
              <w:t>性</w:t>
            </w:r>
          </w:p>
        </w:tc>
        <w:tc>
          <w:tcPr>
            <w:tcW w:w="458" w:type="dxa"/>
            <w:tcBorders>
              <w:top w:val="nil"/>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6</w:t>
            </w:r>
          </w:p>
        </w:tc>
        <w:tc>
          <w:tcPr>
            <w:tcW w:w="2272" w:type="dxa"/>
            <w:tcBorders>
              <w:top w:val="nil"/>
              <w:left w:val="nil"/>
              <w:bottom w:val="single" w:sz="4" w:space="0" w:color="000000"/>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仿宋_GB2312" w:eastAsia="仿宋_GB2312" w:hAnsi="仿宋" w:cs="宋体" w:hint="eastAsia"/>
                <w:kern w:val="0"/>
                <w:sz w:val="20"/>
                <w:szCs w:val="20"/>
              </w:rPr>
              <w:br/>
              <w:t>以上情况每出现一例不符合要求的扣1分，扣完为止。</w:t>
            </w:r>
          </w:p>
        </w:tc>
        <w:tc>
          <w:tcPr>
            <w:tcW w:w="3304" w:type="dxa"/>
            <w:tcBorders>
              <w:top w:val="nil"/>
              <w:left w:val="nil"/>
              <w:bottom w:val="single" w:sz="4" w:space="0" w:color="000000"/>
              <w:right w:val="single" w:sz="4" w:space="0" w:color="000000"/>
            </w:tcBorders>
            <w:vAlign w:val="center"/>
          </w:tcPr>
          <w:p w:rsidR="006C5CC9" w:rsidRDefault="00247E46">
            <w:pPr>
              <w:pStyle w:val="a6"/>
              <w:widowControl/>
              <w:numPr>
                <w:ilvl w:val="0"/>
                <w:numId w:val="1"/>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支出符合国家财经法规和财务管理制度规定以及有关专项资金管理办法的规定；</w:t>
            </w:r>
          </w:p>
          <w:p w:rsidR="006C5CC9" w:rsidRDefault="00247E46">
            <w:pPr>
              <w:pStyle w:val="a6"/>
              <w:widowControl/>
              <w:numPr>
                <w:ilvl w:val="0"/>
                <w:numId w:val="1"/>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资金拨付有完整的审批程序和手续；</w:t>
            </w:r>
          </w:p>
          <w:p w:rsidR="006C5CC9" w:rsidRDefault="00247E46">
            <w:pPr>
              <w:pStyle w:val="a6"/>
              <w:widowControl/>
              <w:numPr>
                <w:ilvl w:val="0"/>
                <w:numId w:val="1"/>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项目支出按规定经过评估论证；</w:t>
            </w:r>
          </w:p>
          <w:p w:rsidR="006C5CC9" w:rsidRDefault="00247E46">
            <w:pPr>
              <w:pStyle w:val="a6"/>
              <w:widowControl/>
              <w:numPr>
                <w:ilvl w:val="0"/>
                <w:numId w:val="1"/>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支出符合部门预算批复的用途；</w:t>
            </w:r>
          </w:p>
          <w:p w:rsidR="006C5CC9" w:rsidRDefault="00247E46">
            <w:pPr>
              <w:pStyle w:val="a6"/>
              <w:widowControl/>
              <w:numPr>
                <w:ilvl w:val="0"/>
                <w:numId w:val="1"/>
              </w:numPr>
              <w:spacing w:beforeAutospacing="0" w:afterAutospacing="0" w:line="23" w:lineRule="atLeast"/>
              <w:rPr>
                <w:rFonts w:ascii="仿宋_GB2312" w:eastAsia="仿宋_GB2312" w:hAnsi="宋体" w:cs="仿宋_GB2312"/>
                <w:sz w:val="20"/>
                <w:szCs w:val="20"/>
              </w:rPr>
            </w:pPr>
            <w:r>
              <w:rPr>
                <w:rFonts w:ascii="仿宋_GB2312" w:eastAsia="仿宋_GB2312" w:cs="仿宋_GB2312"/>
                <w:sz w:val="20"/>
                <w:szCs w:val="20"/>
              </w:rPr>
              <w:t>资金使用无截留、挤占、挪用、虚列支出等情况。</w:t>
            </w:r>
          </w:p>
        </w:tc>
        <w:tc>
          <w:tcPr>
            <w:tcW w:w="658" w:type="dxa"/>
            <w:tcBorders>
              <w:top w:val="nil"/>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6</w:t>
            </w:r>
          </w:p>
        </w:tc>
      </w:tr>
      <w:tr w:rsidR="006C5CC9">
        <w:trPr>
          <w:trHeight w:val="4502"/>
          <w:jc w:val="center"/>
        </w:trPr>
        <w:tc>
          <w:tcPr>
            <w:tcW w:w="518" w:type="dxa"/>
            <w:vMerge/>
            <w:tcBorders>
              <w:top w:val="nil"/>
              <w:left w:val="single" w:sz="4" w:space="0" w:color="000000"/>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416" w:type="dxa"/>
            <w:vMerge/>
            <w:tcBorders>
              <w:top w:val="nil"/>
              <w:left w:val="nil"/>
              <w:bottom w:val="single" w:sz="4" w:space="0" w:color="auto"/>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659" w:type="dxa"/>
            <w:vMerge/>
            <w:tcBorders>
              <w:top w:val="nil"/>
              <w:left w:val="nil"/>
              <w:bottom w:val="single" w:sz="4" w:space="0" w:color="auto"/>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434" w:type="dxa"/>
            <w:vMerge/>
            <w:tcBorders>
              <w:top w:val="nil"/>
              <w:left w:val="nil"/>
              <w:bottom w:val="single" w:sz="4" w:space="0" w:color="auto"/>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843" w:type="dxa"/>
            <w:tcBorders>
              <w:top w:val="nil"/>
              <w:left w:val="nil"/>
              <w:bottom w:val="single" w:sz="4" w:space="0" w:color="auto"/>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预决算信息公开性</w:t>
            </w:r>
          </w:p>
        </w:tc>
        <w:tc>
          <w:tcPr>
            <w:tcW w:w="458" w:type="dxa"/>
            <w:tcBorders>
              <w:top w:val="nil"/>
              <w:left w:val="nil"/>
              <w:bottom w:val="single" w:sz="4" w:space="0" w:color="auto"/>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5</w:t>
            </w:r>
          </w:p>
        </w:tc>
        <w:tc>
          <w:tcPr>
            <w:tcW w:w="2272" w:type="dxa"/>
            <w:tcBorders>
              <w:top w:val="nil"/>
              <w:left w:val="nil"/>
              <w:bottom w:val="single" w:sz="4" w:space="0" w:color="auto"/>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304" w:type="dxa"/>
            <w:tcBorders>
              <w:top w:val="nil"/>
              <w:left w:val="nil"/>
              <w:bottom w:val="single" w:sz="4" w:space="0" w:color="auto"/>
              <w:right w:val="single" w:sz="4" w:space="0" w:color="000000"/>
            </w:tcBorders>
            <w:vAlign w:val="center"/>
          </w:tcPr>
          <w:p w:rsidR="006C5CC9" w:rsidRDefault="00247E46">
            <w:pPr>
              <w:pStyle w:val="a6"/>
              <w:widowControl/>
              <w:numPr>
                <w:ilvl w:val="0"/>
                <w:numId w:val="2"/>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按规定内容公开预决算信息；</w:t>
            </w:r>
          </w:p>
          <w:p w:rsidR="006C5CC9" w:rsidRDefault="00247E46">
            <w:pPr>
              <w:pStyle w:val="a6"/>
              <w:widowControl/>
              <w:numPr>
                <w:ilvl w:val="0"/>
                <w:numId w:val="2"/>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按规定时限公开预决算信息；</w:t>
            </w:r>
          </w:p>
          <w:p w:rsidR="006C5CC9" w:rsidRDefault="00247E46">
            <w:pPr>
              <w:pStyle w:val="a6"/>
              <w:widowControl/>
              <w:numPr>
                <w:ilvl w:val="0"/>
                <w:numId w:val="2"/>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基础数据信息和会计信息资料真实；</w:t>
            </w:r>
          </w:p>
          <w:p w:rsidR="006C5CC9" w:rsidRDefault="00247E46">
            <w:pPr>
              <w:pStyle w:val="a6"/>
              <w:widowControl/>
              <w:numPr>
                <w:ilvl w:val="0"/>
                <w:numId w:val="2"/>
              </w:numPr>
              <w:spacing w:beforeAutospacing="0" w:afterAutospacing="0" w:line="23" w:lineRule="atLeast"/>
              <w:rPr>
                <w:rFonts w:ascii="仿宋_GB2312" w:eastAsia="仿宋_GB2312" w:cs="仿宋_GB2312"/>
                <w:sz w:val="20"/>
                <w:szCs w:val="20"/>
              </w:rPr>
            </w:pPr>
            <w:r>
              <w:rPr>
                <w:rFonts w:ascii="仿宋_GB2312" w:eastAsia="仿宋_GB2312" w:cs="仿宋_GB2312"/>
                <w:sz w:val="20"/>
                <w:szCs w:val="20"/>
              </w:rPr>
              <w:t>基础数据信息和会计信息资料完整；</w:t>
            </w:r>
          </w:p>
          <w:p w:rsidR="006C5CC9" w:rsidRDefault="00247E46">
            <w:pPr>
              <w:pStyle w:val="a6"/>
              <w:widowControl/>
              <w:numPr>
                <w:ilvl w:val="0"/>
                <w:numId w:val="2"/>
              </w:numPr>
              <w:spacing w:beforeAutospacing="0" w:afterAutospacing="0" w:line="23" w:lineRule="atLeast"/>
              <w:rPr>
                <w:rFonts w:ascii="仿宋_GB2312" w:eastAsia="仿宋_GB2312" w:hAnsi="宋体" w:cs="仿宋_GB2312"/>
                <w:sz w:val="20"/>
                <w:szCs w:val="20"/>
              </w:rPr>
            </w:pPr>
            <w:r>
              <w:rPr>
                <w:rFonts w:ascii="仿宋_GB2312" w:eastAsia="仿宋_GB2312" w:cs="仿宋_GB2312"/>
                <w:sz w:val="20"/>
                <w:szCs w:val="20"/>
              </w:rPr>
              <w:t>基础数据信息和汇集信息资料准确。</w:t>
            </w:r>
          </w:p>
        </w:tc>
        <w:tc>
          <w:tcPr>
            <w:tcW w:w="658" w:type="dxa"/>
            <w:tcBorders>
              <w:top w:val="nil"/>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5</w:t>
            </w:r>
          </w:p>
        </w:tc>
      </w:tr>
      <w:tr w:rsidR="006C5CC9">
        <w:trPr>
          <w:trHeight w:val="1962"/>
          <w:jc w:val="center"/>
        </w:trPr>
        <w:tc>
          <w:tcPr>
            <w:tcW w:w="518" w:type="dxa"/>
            <w:vMerge w:val="restart"/>
            <w:tcBorders>
              <w:top w:val="nil"/>
              <w:left w:val="single" w:sz="4" w:space="0" w:color="auto"/>
              <w:bottom w:val="single" w:sz="4" w:space="0" w:color="000000"/>
              <w:right w:val="single" w:sz="4" w:space="0" w:color="auto"/>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产出及效率</w:t>
            </w:r>
          </w:p>
        </w:tc>
        <w:tc>
          <w:tcPr>
            <w:tcW w:w="416" w:type="dxa"/>
            <w:vMerge w:val="restart"/>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26</w:t>
            </w:r>
          </w:p>
        </w:tc>
        <w:tc>
          <w:tcPr>
            <w:tcW w:w="659"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职责履行</w:t>
            </w:r>
          </w:p>
        </w:tc>
        <w:tc>
          <w:tcPr>
            <w:tcW w:w="434"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8</w:t>
            </w:r>
          </w:p>
        </w:tc>
        <w:tc>
          <w:tcPr>
            <w:tcW w:w="843"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重点工作和业务工作</w:t>
            </w:r>
          </w:p>
        </w:tc>
        <w:tc>
          <w:tcPr>
            <w:tcW w:w="458"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8</w:t>
            </w:r>
          </w:p>
        </w:tc>
        <w:tc>
          <w:tcPr>
            <w:tcW w:w="2272"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单位年终考评结果。</w:t>
            </w:r>
          </w:p>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考评结果为优秀的计8分；良好的计6分；一般的计4分；不合格的不计分。</w:t>
            </w:r>
            <w:r>
              <w:rPr>
                <w:rFonts w:ascii="仿宋_GB2312" w:eastAsia="仿宋_GB2312" w:hAnsi="仿宋" w:cs="宋体" w:hint="eastAsia"/>
                <w:kern w:val="0"/>
                <w:sz w:val="20"/>
                <w:szCs w:val="20"/>
              </w:rPr>
              <w:br/>
            </w:r>
          </w:p>
        </w:tc>
        <w:tc>
          <w:tcPr>
            <w:tcW w:w="3304" w:type="dxa"/>
            <w:tcBorders>
              <w:top w:val="single" w:sz="4" w:space="0" w:color="auto"/>
              <w:left w:val="single" w:sz="4" w:space="0" w:color="auto"/>
              <w:bottom w:val="single" w:sz="4" w:space="0" w:color="auto"/>
              <w:right w:val="single" w:sz="4" w:space="0" w:color="auto"/>
            </w:tcBorders>
            <w:vAlign w:val="center"/>
          </w:tcPr>
          <w:p w:rsidR="006C5CC9" w:rsidRDefault="00247E46">
            <w:pPr>
              <w:pStyle w:val="a6"/>
              <w:widowControl/>
              <w:spacing w:beforeAutospacing="0" w:afterAutospacing="0" w:line="23" w:lineRule="atLeast"/>
              <w:rPr>
                <w:rFonts w:ascii="仿宋_GB2312" w:eastAsia="仿宋_GB2312" w:hAnsi="宋体" w:cs="仿宋_GB2312"/>
                <w:sz w:val="20"/>
                <w:szCs w:val="20"/>
              </w:rPr>
            </w:pPr>
            <w:r>
              <w:rPr>
                <w:rFonts w:ascii="仿宋_GB2312" w:eastAsia="仿宋_GB2312" w:cs="仿宋_GB2312"/>
                <w:sz w:val="20"/>
                <w:szCs w:val="20"/>
              </w:rPr>
              <w:t>201</w:t>
            </w:r>
            <w:r>
              <w:rPr>
                <w:rFonts w:ascii="仿宋_GB2312" w:eastAsia="仿宋_GB2312" w:cs="仿宋_GB2312" w:hint="eastAsia"/>
                <w:sz w:val="20"/>
                <w:szCs w:val="20"/>
              </w:rPr>
              <w:t>9</w:t>
            </w:r>
            <w:r>
              <w:rPr>
                <w:rFonts w:ascii="仿宋_GB2312" w:eastAsia="仿宋_GB2312" w:cs="仿宋_GB2312"/>
                <w:sz w:val="20"/>
                <w:szCs w:val="20"/>
              </w:rPr>
              <w:t>年全区绩效评估结果尚未出来，</w:t>
            </w:r>
            <w:r>
              <w:rPr>
                <w:rFonts w:ascii="仿宋_GB2312" w:eastAsia="仿宋_GB2312" w:cs="仿宋_GB2312" w:hint="eastAsia"/>
                <w:sz w:val="20"/>
                <w:szCs w:val="20"/>
              </w:rPr>
              <w:t>2019年我单位在全体干部职工的共同努力下圆满出色完成了各项工作目标和任务</w:t>
            </w:r>
            <w:r>
              <w:rPr>
                <w:rFonts w:ascii="仿宋_GB2312" w:eastAsia="仿宋_GB2312" w:cs="仿宋_GB2312"/>
                <w:sz w:val="20"/>
                <w:szCs w:val="20"/>
              </w:rPr>
              <w:t>，</w:t>
            </w:r>
            <w:r>
              <w:rPr>
                <w:rFonts w:ascii="仿宋_GB2312" w:eastAsia="仿宋_GB2312" w:cs="仿宋_GB2312" w:hint="eastAsia"/>
                <w:sz w:val="20"/>
                <w:szCs w:val="20"/>
              </w:rPr>
              <w:t>年终考评结果</w:t>
            </w:r>
            <w:r>
              <w:rPr>
                <w:rFonts w:ascii="仿宋_GB2312" w:eastAsia="仿宋_GB2312" w:cs="仿宋_GB2312"/>
                <w:sz w:val="20"/>
                <w:szCs w:val="20"/>
              </w:rPr>
              <w:t>可以评为优秀。</w:t>
            </w:r>
          </w:p>
        </w:tc>
        <w:tc>
          <w:tcPr>
            <w:tcW w:w="658" w:type="dxa"/>
            <w:tcBorders>
              <w:top w:val="nil"/>
              <w:left w:val="single" w:sz="4" w:space="0" w:color="auto"/>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8</w:t>
            </w:r>
          </w:p>
        </w:tc>
      </w:tr>
      <w:tr w:rsidR="006C5CC9">
        <w:trPr>
          <w:trHeight w:val="1154"/>
          <w:jc w:val="center"/>
        </w:trPr>
        <w:tc>
          <w:tcPr>
            <w:tcW w:w="518" w:type="dxa"/>
            <w:vMerge/>
            <w:tcBorders>
              <w:top w:val="nil"/>
              <w:left w:val="single" w:sz="4" w:space="0" w:color="auto"/>
              <w:bottom w:val="single" w:sz="4" w:space="0" w:color="000000"/>
              <w:right w:val="single" w:sz="4" w:space="0" w:color="auto"/>
            </w:tcBorders>
            <w:vAlign w:val="center"/>
          </w:tcPr>
          <w:p w:rsidR="006C5CC9" w:rsidRDefault="006C5CC9">
            <w:pPr>
              <w:widowControl/>
              <w:jc w:val="left"/>
              <w:rPr>
                <w:rFonts w:ascii="仿宋_GB2312" w:eastAsia="仿宋_GB2312" w:hAnsi="仿宋" w:cs="宋体"/>
                <w:kern w:val="0"/>
                <w:sz w:val="20"/>
                <w:szCs w:val="20"/>
              </w:rPr>
            </w:pPr>
          </w:p>
        </w:tc>
        <w:tc>
          <w:tcPr>
            <w:tcW w:w="416" w:type="dxa"/>
            <w:vMerge/>
            <w:tcBorders>
              <w:top w:val="single" w:sz="4" w:space="0" w:color="auto"/>
              <w:left w:val="single" w:sz="4" w:space="0" w:color="auto"/>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659" w:type="dxa"/>
            <w:vMerge w:val="restart"/>
            <w:tcBorders>
              <w:top w:val="single" w:sz="4" w:space="0" w:color="auto"/>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履职 效益</w:t>
            </w:r>
          </w:p>
        </w:tc>
        <w:tc>
          <w:tcPr>
            <w:tcW w:w="434" w:type="dxa"/>
            <w:vMerge w:val="restart"/>
            <w:tcBorders>
              <w:top w:val="single" w:sz="4" w:space="0" w:color="auto"/>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6</w:t>
            </w:r>
          </w:p>
        </w:tc>
        <w:tc>
          <w:tcPr>
            <w:tcW w:w="843" w:type="dxa"/>
            <w:tcBorders>
              <w:top w:val="single" w:sz="4" w:space="0" w:color="auto"/>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经济</w:t>
            </w:r>
          </w:p>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效益</w:t>
            </w:r>
          </w:p>
        </w:tc>
        <w:tc>
          <w:tcPr>
            <w:tcW w:w="458" w:type="dxa"/>
            <w:vMerge w:val="restart"/>
            <w:tcBorders>
              <w:top w:val="single" w:sz="4" w:space="0" w:color="auto"/>
              <w:left w:val="nil"/>
              <w:bottom w:val="nil"/>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6</w:t>
            </w:r>
          </w:p>
        </w:tc>
        <w:tc>
          <w:tcPr>
            <w:tcW w:w="5576" w:type="dxa"/>
            <w:gridSpan w:val="2"/>
            <w:vMerge w:val="restart"/>
            <w:tcBorders>
              <w:top w:val="single" w:sz="4" w:space="0" w:color="auto"/>
              <w:left w:val="nil"/>
              <w:bottom w:val="nil"/>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cs="仿宋_GB2312" w:hint="eastAsia"/>
                <w:sz w:val="20"/>
                <w:szCs w:val="20"/>
              </w:rPr>
              <w:t>2019年，</w:t>
            </w:r>
            <w:proofErr w:type="gramStart"/>
            <w:r>
              <w:rPr>
                <w:rFonts w:ascii="仿宋_GB2312" w:eastAsia="仿宋_GB2312" w:cs="仿宋_GB2312" w:hint="eastAsia"/>
                <w:sz w:val="20"/>
                <w:szCs w:val="20"/>
              </w:rPr>
              <w:t>我机关</w:t>
            </w:r>
            <w:proofErr w:type="gramEnd"/>
            <w:r>
              <w:rPr>
                <w:rFonts w:ascii="仿宋_GB2312" w:eastAsia="仿宋_GB2312" w:cs="仿宋_GB2312" w:hint="eastAsia"/>
                <w:sz w:val="20"/>
                <w:szCs w:val="20"/>
              </w:rPr>
              <w:t>各项工作在区委、区政府的高度重视和正确领导下，在各乡镇街道及相关单位的通力协作、大力支持下，通过全体工作人员的不懈努力下，面对征地拆迁安置环境的不利局面，主动出击、迎难而上、认真履职、扎实工作，在逆境中求发展，取得了一定的成绩，其他各项工作也稳步推进、协调发展、成效显著，为全区乃至全市经济、社会事业发展做出了积极的贡献。</w:t>
            </w:r>
          </w:p>
        </w:tc>
        <w:tc>
          <w:tcPr>
            <w:tcW w:w="658" w:type="dxa"/>
            <w:vMerge w:val="restart"/>
            <w:tcBorders>
              <w:top w:val="nil"/>
              <w:left w:val="nil"/>
              <w:right w:val="single" w:sz="4" w:space="0" w:color="000000"/>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6</w:t>
            </w:r>
          </w:p>
        </w:tc>
      </w:tr>
      <w:tr w:rsidR="006C5CC9">
        <w:trPr>
          <w:trHeight w:val="1360"/>
          <w:jc w:val="center"/>
        </w:trPr>
        <w:tc>
          <w:tcPr>
            <w:tcW w:w="518" w:type="dxa"/>
            <w:vMerge/>
            <w:tcBorders>
              <w:top w:val="nil"/>
              <w:left w:val="single" w:sz="4" w:space="0" w:color="auto"/>
              <w:bottom w:val="single" w:sz="4" w:space="0" w:color="000000"/>
              <w:right w:val="single" w:sz="4" w:space="0" w:color="auto"/>
            </w:tcBorders>
            <w:vAlign w:val="center"/>
          </w:tcPr>
          <w:p w:rsidR="006C5CC9" w:rsidRDefault="006C5CC9">
            <w:pPr>
              <w:widowControl/>
              <w:jc w:val="left"/>
              <w:rPr>
                <w:rFonts w:ascii="仿宋_GB2312" w:eastAsia="仿宋_GB2312" w:hAnsi="仿宋" w:cs="宋体"/>
                <w:kern w:val="0"/>
                <w:sz w:val="20"/>
                <w:szCs w:val="20"/>
              </w:rPr>
            </w:pPr>
          </w:p>
        </w:tc>
        <w:tc>
          <w:tcPr>
            <w:tcW w:w="416" w:type="dxa"/>
            <w:vMerge/>
            <w:tcBorders>
              <w:top w:val="nil"/>
              <w:left w:val="single" w:sz="4" w:space="0" w:color="auto"/>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659" w:type="dxa"/>
            <w:vMerge/>
            <w:tcBorders>
              <w:top w:val="nil"/>
              <w:left w:val="nil"/>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434" w:type="dxa"/>
            <w:vMerge/>
            <w:tcBorders>
              <w:top w:val="nil"/>
              <w:left w:val="nil"/>
              <w:bottom w:val="single" w:sz="4" w:space="0" w:color="000000"/>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843" w:type="dxa"/>
            <w:tcBorders>
              <w:top w:val="nil"/>
              <w:left w:val="nil"/>
              <w:bottom w:val="single" w:sz="4" w:space="0" w:color="000000"/>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社会</w:t>
            </w:r>
          </w:p>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效益</w:t>
            </w:r>
          </w:p>
        </w:tc>
        <w:tc>
          <w:tcPr>
            <w:tcW w:w="458" w:type="dxa"/>
            <w:vMerge/>
            <w:tcBorders>
              <w:top w:val="nil"/>
              <w:left w:val="nil"/>
              <w:bottom w:val="nil"/>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5576" w:type="dxa"/>
            <w:gridSpan w:val="2"/>
            <w:vMerge/>
            <w:tcBorders>
              <w:top w:val="nil"/>
              <w:left w:val="nil"/>
              <w:bottom w:val="nil"/>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658" w:type="dxa"/>
            <w:vMerge/>
            <w:tcBorders>
              <w:left w:val="nil"/>
              <w:bottom w:val="nil"/>
              <w:right w:val="single" w:sz="4" w:space="0" w:color="000000"/>
            </w:tcBorders>
            <w:vAlign w:val="center"/>
          </w:tcPr>
          <w:p w:rsidR="006C5CC9" w:rsidRDefault="006C5CC9">
            <w:pPr>
              <w:widowControl/>
              <w:jc w:val="center"/>
              <w:rPr>
                <w:rFonts w:ascii="仿宋_GB2312" w:eastAsia="仿宋_GB2312" w:hAnsi="仿宋" w:cs="宋体"/>
                <w:kern w:val="0"/>
                <w:sz w:val="24"/>
              </w:rPr>
            </w:pPr>
          </w:p>
        </w:tc>
      </w:tr>
      <w:tr w:rsidR="006C5CC9">
        <w:trPr>
          <w:trHeight w:val="2454"/>
          <w:jc w:val="center"/>
        </w:trPr>
        <w:tc>
          <w:tcPr>
            <w:tcW w:w="518" w:type="dxa"/>
            <w:vMerge/>
            <w:tcBorders>
              <w:top w:val="nil"/>
              <w:left w:val="single" w:sz="4" w:space="0" w:color="auto"/>
              <w:bottom w:val="single" w:sz="4" w:space="0" w:color="auto"/>
              <w:right w:val="single" w:sz="4" w:space="0" w:color="auto"/>
            </w:tcBorders>
            <w:vAlign w:val="center"/>
          </w:tcPr>
          <w:p w:rsidR="006C5CC9" w:rsidRDefault="006C5CC9">
            <w:pPr>
              <w:widowControl/>
              <w:jc w:val="left"/>
              <w:rPr>
                <w:rFonts w:ascii="仿宋_GB2312" w:eastAsia="仿宋_GB2312" w:hAnsi="仿宋" w:cs="宋体"/>
                <w:kern w:val="0"/>
                <w:sz w:val="20"/>
                <w:szCs w:val="20"/>
              </w:rPr>
            </w:pPr>
          </w:p>
        </w:tc>
        <w:tc>
          <w:tcPr>
            <w:tcW w:w="416" w:type="dxa"/>
            <w:vMerge/>
            <w:tcBorders>
              <w:top w:val="nil"/>
              <w:left w:val="single" w:sz="4" w:space="0" w:color="auto"/>
              <w:bottom w:val="single" w:sz="4" w:space="0" w:color="auto"/>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659" w:type="dxa"/>
            <w:vMerge/>
            <w:tcBorders>
              <w:top w:val="nil"/>
              <w:left w:val="nil"/>
              <w:bottom w:val="single" w:sz="4" w:space="0" w:color="auto"/>
              <w:right w:val="single" w:sz="4" w:space="0" w:color="000000"/>
            </w:tcBorders>
            <w:vAlign w:val="center"/>
          </w:tcPr>
          <w:p w:rsidR="006C5CC9" w:rsidRDefault="006C5CC9">
            <w:pPr>
              <w:widowControl/>
              <w:jc w:val="left"/>
              <w:rPr>
                <w:rFonts w:ascii="仿宋_GB2312" w:eastAsia="仿宋_GB2312" w:hAnsi="仿宋" w:cs="宋体"/>
                <w:kern w:val="0"/>
                <w:sz w:val="20"/>
                <w:szCs w:val="20"/>
              </w:rPr>
            </w:pPr>
          </w:p>
        </w:tc>
        <w:tc>
          <w:tcPr>
            <w:tcW w:w="434" w:type="dxa"/>
            <w:vMerge w:val="restart"/>
            <w:tcBorders>
              <w:top w:val="nil"/>
              <w:left w:val="nil"/>
              <w:bottom w:val="single" w:sz="4" w:space="0" w:color="auto"/>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12</w:t>
            </w:r>
          </w:p>
        </w:tc>
        <w:tc>
          <w:tcPr>
            <w:tcW w:w="843" w:type="dxa"/>
            <w:tcBorders>
              <w:top w:val="nil"/>
              <w:left w:val="nil"/>
              <w:bottom w:val="single" w:sz="4" w:space="0" w:color="auto"/>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行政</w:t>
            </w:r>
          </w:p>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效能</w:t>
            </w:r>
          </w:p>
        </w:tc>
        <w:tc>
          <w:tcPr>
            <w:tcW w:w="458" w:type="dxa"/>
            <w:tcBorders>
              <w:top w:val="single" w:sz="4" w:space="0" w:color="000000"/>
              <w:left w:val="nil"/>
              <w:bottom w:val="single" w:sz="4" w:space="0" w:color="auto"/>
              <w:right w:val="single" w:sz="4" w:space="0" w:color="000000"/>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6</w:t>
            </w:r>
          </w:p>
        </w:tc>
        <w:tc>
          <w:tcPr>
            <w:tcW w:w="2272" w:type="dxa"/>
            <w:tcBorders>
              <w:top w:val="single" w:sz="4" w:space="0" w:color="000000"/>
              <w:left w:val="nil"/>
              <w:bottom w:val="single" w:sz="4" w:space="0" w:color="auto"/>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促进部门改进文风会风，加强经费及资产管理，推动网上办事，提高行政效率，降低行政成本效果较好的计6分；一般3分；无效果或者效果不明显0分。</w:t>
            </w:r>
          </w:p>
        </w:tc>
        <w:tc>
          <w:tcPr>
            <w:tcW w:w="3304" w:type="dxa"/>
            <w:tcBorders>
              <w:top w:val="single" w:sz="4" w:space="0" w:color="000000"/>
              <w:left w:val="nil"/>
              <w:bottom w:val="single" w:sz="4" w:space="0" w:color="auto"/>
              <w:right w:val="single" w:sz="4" w:space="0" w:color="000000"/>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cs="仿宋_GB2312" w:hint="eastAsia"/>
                <w:sz w:val="20"/>
                <w:szCs w:val="20"/>
              </w:rPr>
              <w:t>我单位在2019年不断改善行政管理、严格经费及资产管理，改进文风会风，精简会议，提高了管理效率，降低了管理成本。</w:t>
            </w:r>
          </w:p>
        </w:tc>
        <w:tc>
          <w:tcPr>
            <w:tcW w:w="658" w:type="dxa"/>
            <w:tcBorders>
              <w:top w:val="single" w:sz="4" w:space="0" w:color="000000"/>
              <w:left w:val="nil"/>
              <w:bottom w:val="single" w:sz="4" w:space="0" w:color="auto"/>
              <w:right w:val="single" w:sz="4" w:space="0" w:color="000000"/>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6</w:t>
            </w:r>
          </w:p>
        </w:tc>
      </w:tr>
      <w:tr w:rsidR="006C5CC9">
        <w:trPr>
          <w:trHeight w:val="1865"/>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6C5CC9" w:rsidRDefault="006C5CC9">
            <w:pPr>
              <w:widowControl/>
              <w:jc w:val="left"/>
              <w:rPr>
                <w:rFonts w:ascii="仿宋_GB2312" w:eastAsia="仿宋_GB2312" w:hAnsi="仿宋" w:cs="宋体"/>
                <w:kern w:val="0"/>
                <w:sz w:val="20"/>
                <w:szCs w:val="20"/>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6C5CC9" w:rsidRDefault="006C5CC9">
            <w:pPr>
              <w:widowControl/>
              <w:jc w:val="left"/>
              <w:rPr>
                <w:rFonts w:ascii="仿宋_GB2312" w:eastAsia="仿宋_GB2312" w:hAnsi="仿宋" w:cs="宋体"/>
                <w:kern w:val="0"/>
                <w:sz w:val="20"/>
                <w:szCs w:val="20"/>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C5CC9" w:rsidRDefault="006C5CC9">
            <w:pPr>
              <w:widowControl/>
              <w:jc w:val="left"/>
              <w:rPr>
                <w:rFonts w:ascii="仿宋_GB2312" w:eastAsia="仿宋_GB2312" w:hAnsi="仿宋" w:cs="宋体"/>
                <w:kern w:val="0"/>
                <w:sz w:val="20"/>
                <w:szCs w:val="20"/>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6C5CC9" w:rsidRDefault="006C5CC9">
            <w:pPr>
              <w:widowControl/>
              <w:jc w:val="left"/>
              <w:rPr>
                <w:rFonts w:ascii="仿宋_GB2312" w:eastAsia="仿宋_GB2312" w:hAnsi="仿宋" w:cs="宋体"/>
                <w:kern w:val="0"/>
                <w:sz w:val="20"/>
                <w:szCs w:val="20"/>
              </w:rPr>
            </w:pPr>
          </w:p>
        </w:tc>
        <w:tc>
          <w:tcPr>
            <w:tcW w:w="843"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社会公众或服务对象满意度</w:t>
            </w:r>
          </w:p>
        </w:tc>
        <w:tc>
          <w:tcPr>
            <w:tcW w:w="458"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6</w:t>
            </w:r>
          </w:p>
        </w:tc>
        <w:tc>
          <w:tcPr>
            <w:tcW w:w="2272"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hAnsi="仿宋" w:cs="宋体" w:hint="eastAsia"/>
                <w:kern w:val="0"/>
                <w:sz w:val="20"/>
                <w:szCs w:val="20"/>
              </w:rPr>
              <w:t>90%（含）以上计6分；</w:t>
            </w:r>
            <w:r>
              <w:rPr>
                <w:rFonts w:ascii="仿宋_GB2312" w:eastAsia="仿宋_GB2312" w:hAnsi="仿宋" w:cs="宋体" w:hint="eastAsia"/>
                <w:kern w:val="0"/>
                <w:sz w:val="20"/>
                <w:szCs w:val="20"/>
              </w:rPr>
              <w:br/>
              <w:t>80%（含）-90%，计4分；</w:t>
            </w:r>
            <w:r>
              <w:rPr>
                <w:rFonts w:ascii="仿宋_GB2312" w:eastAsia="仿宋_GB2312" w:hAnsi="仿宋" w:cs="宋体" w:hint="eastAsia"/>
                <w:kern w:val="0"/>
                <w:sz w:val="20"/>
                <w:szCs w:val="20"/>
              </w:rPr>
              <w:br/>
              <w:t>70%（含）-80%，计2分；</w:t>
            </w:r>
            <w:r>
              <w:rPr>
                <w:rFonts w:ascii="仿宋_GB2312" w:eastAsia="仿宋_GB2312" w:hAnsi="仿宋" w:cs="宋体" w:hint="eastAsia"/>
                <w:kern w:val="0"/>
                <w:sz w:val="20"/>
                <w:szCs w:val="20"/>
              </w:rPr>
              <w:br/>
              <w:t>低于70%计0分。</w:t>
            </w:r>
          </w:p>
        </w:tc>
        <w:tc>
          <w:tcPr>
            <w:tcW w:w="3304"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left"/>
              <w:rPr>
                <w:rFonts w:ascii="仿宋_GB2312" w:eastAsia="仿宋_GB2312" w:hAnsi="仿宋" w:cs="宋体"/>
                <w:kern w:val="0"/>
                <w:sz w:val="20"/>
                <w:szCs w:val="20"/>
              </w:rPr>
            </w:pPr>
            <w:r>
              <w:rPr>
                <w:rFonts w:ascii="仿宋_GB2312" w:eastAsia="仿宋_GB2312" w:cs="仿宋_GB2312"/>
                <w:sz w:val="20"/>
                <w:szCs w:val="20"/>
              </w:rPr>
              <w:t>社会公众或服务对象是指部门（单位）履行职责而影响到的部门、群体或个人，一般采取社会调查的方式。</w:t>
            </w:r>
            <w:r>
              <w:rPr>
                <w:rFonts w:ascii="仿宋_GB2312" w:eastAsia="仿宋_GB2312" w:cs="仿宋_GB2312" w:hint="eastAsia"/>
                <w:sz w:val="20"/>
                <w:szCs w:val="20"/>
              </w:rPr>
              <w:t>我</w:t>
            </w:r>
            <w:proofErr w:type="gramStart"/>
            <w:r>
              <w:rPr>
                <w:rFonts w:ascii="仿宋_GB2312" w:eastAsia="仿宋_GB2312" w:cs="仿宋_GB2312" w:hint="eastAsia"/>
                <w:sz w:val="20"/>
                <w:szCs w:val="20"/>
              </w:rPr>
              <w:t>办服务</w:t>
            </w:r>
            <w:proofErr w:type="gramEnd"/>
            <w:r>
              <w:rPr>
                <w:rFonts w:ascii="仿宋_GB2312" w:eastAsia="仿宋_GB2312" w:cs="仿宋_GB2312" w:hint="eastAsia"/>
                <w:sz w:val="20"/>
                <w:szCs w:val="20"/>
              </w:rPr>
              <w:t>对象是全市市民，满意度95%以上</w:t>
            </w:r>
            <w:r>
              <w:rPr>
                <w:rFonts w:ascii="仿宋_GB2312" w:eastAsia="仿宋_GB2312" w:cs="仿宋_GB2312"/>
                <w:sz w:val="20"/>
                <w:szCs w:val="20"/>
              </w:rPr>
              <w:t>。</w:t>
            </w:r>
          </w:p>
        </w:tc>
        <w:tc>
          <w:tcPr>
            <w:tcW w:w="658"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6</w:t>
            </w:r>
          </w:p>
        </w:tc>
      </w:tr>
      <w:tr w:rsidR="006C5CC9">
        <w:trPr>
          <w:trHeight w:val="517"/>
          <w:jc w:val="center"/>
        </w:trPr>
        <w:tc>
          <w:tcPr>
            <w:tcW w:w="8904" w:type="dxa"/>
            <w:gridSpan w:val="8"/>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合计得分</w:t>
            </w:r>
          </w:p>
        </w:tc>
        <w:tc>
          <w:tcPr>
            <w:tcW w:w="658" w:type="dxa"/>
            <w:tcBorders>
              <w:top w:val="single" w:sz="4" w:space="0" w:color="auto"/>
              <w:left w:val="single" w:sz="4" w:space="0" w:color="auto"/>
              <w:bottom w:val="single" w:sz="4" w:space="0" w:color="auto"/>
              <w:right w:val="single" w:sz="4" w:space="0" w:color="auto"/>
            </w:tcBorders>
            <w:vAlign w:val="center"/>
          </w:tcPr>
          <w:p w:rsidR="006C5CC9" w:rsidRDefault="00247E46">
            <w:pPr>
              <w:widowControl/>
              <w:jc w:val="center"/>
              <w:rPr>
                <w:rFonts w:ascii="仿宋_GB2312" w:eastAsia="仿宋_GB2312" w:hAnsi="仿宋" w:cs="宋体"/>
                <w:kern w:val="0"/>
                <w:sz w:val="24"/>
              </w:rPr>
            </w:pPr>
            <w:r>
              <w:rPr>
                <w:rFonts w:ascii="仿宋_GB2312" w:eastAsia="仿宋_GB2312" w:hAnsi="仿宋" w:cs="宋体" w:hint="eastAsia"/>
                <w:kern w:val="0"/>
                <w:sz w:val="24"/>
              </w:rPr>
              <w:t>90</w:t>
            </w:r>
          </w:p>
        </w:tc>
      </w:tr>
    </w:tbl>
    <w:p w:rsidR="006C5CC9" w:rsidRDefault="006C5CC9">
      <w:pPr>
        <w:widowControl/>
        <w:ind w:firstLineChars="200" w:firstLine="640"/>
        <w:jc w:val="left"/>
        <w:rPr>
          <w:rFonts w:ascii="仿宋" w:eastAsia="仿宋" w:hAnsi="仿宋" w:cs="仿宋"/>
          <w:kern w:val="0"/>
          <w:sz w:val="32"/>
          <w:szCs w:val="32"/>
        </w:rPr>
      </w:pPr>
    </w:p>
    <w:p w:rsidR="006C5CC9" w:rsidRDefault="006C5CC9">
      <w:pPr>
        <w:widowControl/>
        <w:ind w:firstLineChars="200" w:firstLine="640"/>
        <w:jc w:val="left"/>
        <w:rPr>
          <w:rFonts w:ascii="仿宋" w:eastAsia="仿宋" w:hAnsi="仿宋" w:cs="仿宋"/>
          <w:kern w:val="0"/>
          <w:sz w:val="32"/>
          <w:szCs w:val="32"/>
        </w:rPr>
      </w:pPr>
    </w:p>
    <w:p w:rsidR="006C5CC9" w:rsidRDefault="006C5CC9">
      <w:pPr>
        <w:pStyle w:val="a6"/>
        <w:widowControl/>
        <w:spacing w:beforeAutospacing="0" w:afterAutospacing="0" w:line="30" w:lineRule="atLeast"/>
        <w:ind w:firstLine="640"/>
        <w:jc w:val="both"/>
        <w:rPr>
          <w:rFonts w:ascii="微软雅黑" w:eastAsia="微软雅黑" w:hAnsi="微软雅黑" w:cs="微软雅黑"/>
          <w:color w:val="030303"/>
        </w:rPr>
      </w:pPr>
    </w:p>
    <w:sectPr w:rsidR="006C5CC9" w:rsidSect="006C5C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0E7" w:rsidRDefault="009510E7" w:rsidP="00364CB7">
      <w:r>
        <w:separator/>
      </w:r>
    </w:p>
  </w:endnote>
  <w:endnote w:type="continuationSeparator" w:id="0">
    <w:p w:rsidR="009510E7" w:rsidRDefault="009510E7" w:rsidP="00364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0E7" w:rsidRDefault="009510E7" w:rsidP="00364CB7">
      <w:r>
        <w:separator/>
      </w:r>
    </w:p>
  </w:footnote>
  <w:footnote w:type="continuationSeparator" w:id="0">
    <w:p w:rsidR="009510E7" w:rsidRDefault="009510E7" w:rsidP="00364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7822D"/>
    <w:multiLevelType w:val="singleLevel"/>
    <w:tmpl w:val="FC07822D"/>
    <w:lvl w:ilvl="0">
      <w:start w:val="1"/>
      <w:numFmt w:val="decimal"/>
      <w:suff w:val="nothing"/>
      <w:lvlText w:val="%1、"/>
      <w:lvlJc w:val="left"/>
      <w:pPr>
        <w:ind w:left="200" w:firstLine="0"/>
      </w:pPr>
    </w:lvl>
  </w:abstractNum>
  <w:abstractNum w:abstractNumId="1">
    <w:nsid w:val="533D5D04"/>
    <w:multiLevelType w:val="singleLevel"/>
    <w:tmpl w:val="533D5D04"/>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1A451E1"/>
    <w:rsid w:val="00223C17"/>
    <w:rsid w:val="00247E46"/>
    <w:rsid w:val="00364CB7"/>
    <w:rsid w:val="006C5CC9"/>
    <w:rsid w:val="009510E7"/>
    <w:rsid w:val="00C56CF5"/>
    <w:rsid w:val="23EC401A"/>
    <w:rsid w:val="31AF1789"/>
    <w:rsid w:val="3A39647F"/>
    <w:rsid w:val="3DDD1E2D"/>
    <w:rsid w:val="45C373A3"/>
    <w:rsid w:val="4C7F20BB"/>
    <w:rsid w:val="61A451E1"/>
    <w:rsid w:val="6F3F40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uiPriority="99"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C5CC9"/>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rsid w:val="006C5CC9"/>
    <w:pPr>
      <w:ind w:firstLine="664"/>
    </w:pPr>
  </w:style>
  <w:style w:type="paragraph" w:styleId="a4">
    <w:name w:val="Body Text"/>
    <w:basedOn w:val="a"/>
    <w:next w:val="a5"/>
    <w:uiPriority w:val="99"/>
    <w:qFormat/>
    <w:rsid w:val="006C5CC9"/>
    <w:pPr>
      <w:spacing w:after="120"/>
    </w:pPr>
  </w:style>
  <w:style w:type="paragraph" w:styleId="a5">
    <w:name w:val="header"/>
    <w:basedOn w:val="a"/>
    <w:qFormat/>
    <w:rsid w:val="006C5CC9"/>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6C5CC9"/>
    <w:pPr>
      <w:spacing w:beforeAutospacing="1" w:afterAutospacing="1"/>
      <w:jc w:val="left"/>
    </w:pPr>
    <w:rPr>
      <w:rFonts w:cs="Times New Roman"/>
      <w:kern w:val="0"/>
      <w:sz w:val="24"/>
    </w:rPr>
  </w:style>
  <w:style w:type="character" w:styleId="a7">
    <w:name w:val="Strong"/>
    <w:basedOn w:val="a1"/>
    <w:qFormat/>
    <w:rsid w:val="006C5CC9"/>
    <w:rPr>
      <w:b/>
    </w:rPr>
  </w:style>
  <w:style w:type="paragraph" w:customStyle="1" w:styleId="p0">
    <w:name w:val="p0"/>
    <w:basedOn w:val="a"/>
    <w:qFormat/>
    <w:rsid w:val="006C5CC9"/>
    <w:pPr>
      <w:widowControl/>
    </w:pPr>
    <w:rPr>
      <w:kern w:val="0"/>
      <w:szCs w:val="21"/>
    </w:rPr>
  </w:style>
  <w:style w:type="paragraph" w:styleId="a8">
    <w:name w:val="footer"/>
    <w:basedOn w:val="a"/>
    <w:link w:val="Char"/>
    <w:rsid w:val="00364CB7"/>
    <w:pPr>
      <w:tabs>
        <w:tab w:val="center" w:pos="4153"/>
        <w:tab w:val="right" w:pos="8306"/>
      </w:tabs>
      <w:snapToGrid w:val="0"/>
      <w:jc w:val="left"/>
    </w:pPr>
    <w:rPr>
      <w:sz w:val="18"/>
      <w:szCs w:val="18"/>
    </w:rPr>
  </w:style>
  <w:style w:type="character" w:customStyle="1" w:styleId="Char">
    <w:name w:val="页脚 Char"/>
    <w:basedOn w:val="a1"/>
    <w:link w:val="a8"/>
    <w:rsid w:val="00364CB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2065</Words>
  <Characters>11776</Characters>
  <Application>Microsoft Office Word</Application>
  <DocSecurity>0</DocSecurity>
  <Lines>98</Lines>
  <Paragraphs>27</Paragraphs>
  <ScaleCrop>false</ScaleCrop>
  <Company>Microsoft</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cp:lastPrinted>2020-06-29T03:38:00Z</cp:lastPrinted>
  <dcterms:created xsi:type="dcterms:W3CDTF">2020-06-01T02:07:00Z</dcterms:created>
  <dcterms:modified xsi:type="dcterms:W3CDTF">2020-06-29T03:41:00Z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