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adjustRightInd w:val="0"/>
        <w:snapToGrid w:val="0"/>
        <w:jc w:val="left"/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  <w:t>附件</w:t>
      </w:r>
    </w:p>
    <w:p>
      <w:pPr>
        <w:adjustRightInd w:val="0"/>
        <w:snapToGrid w:val="0"/>
        <w:jc w:val="left"/>
        <w:rPr>
          <w:rFonts w:hint="eastAsia" w:ascii="方正小标宋简体" w:hAnsi="宋体" w:eastAsia="方正小标宋简体" w:cs="宋体"/>
          <w:color w:val="000000"/>
          <w:kern w:val="0"/>
          <w:sz w:val="28"/>
          <w:szCs w:val="28"/>
          <w:lang w:val="en-US" w:eastAsia="zh-CN"/>
        </w:rPr>
      </w:pP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按比例安排残疾人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（残疾军人）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就业情况核定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须提交的材料</w:t>
      </w:r>
      <w:bookmarkEnd w:id="0"/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  号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《湖南省按比例安排残疾人就业情况核定申报表》（下载地址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http://www.xt.gov.cn/c22/20170327/i4363.html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年度1月、6月、12月的职工名册和工资表（包括正式职工和其他人员）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已安排就业的残疾人证原件(第二代残疾人证)、残疾军人证原件（1至8级）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已安排就业的残疾人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（残疾军人）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一年以上劳动合同或服务协议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财税〔2015〕72号第八条“用人单位在职职工，是指用人单位在编人员或依法与用人单位签订1年以上（含1年）劳动合同（服务协议）的人员。季节性用工应当折算为年平均用工人数。以劳务派遣用工的，计入派遣单位在职职工人数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763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已安排就业的残疾人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（残疾军人）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社会保险参保证明</w:t>
            </w:r>
          </w:p>
          <w:p>
            <w:pPr>
              <w:adjustRightInd w:val="0"/>
              <w:snapToGrid w:val="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（包括医疗、生育、工伤、失业、养老五种保险，必须写明险种并有人社部门盖章）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注：不含新型农村社会养老保险、城镇居民社会养老保险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城镇居民基本医疗保险、新型农村合作医疗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C6674"/>
    <w:rsid w:val="50DC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2020-03-19T02:35:00Z</dcterms:created>
  <dc:creator>29596</dc:creator>
  <cp:lastModifiedBy>29596</cp:lastModifiedBy>
  <dcterms:modified xsi:type="dcterms:W3CDTF">2020-03-19T02:36:27Z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