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widowControl/>
        <w:spacing w:line="800" w:lineRule="exact"/>
        <w:jc w:val="center"/>
        <w:textAlignment w:val="center"/>
        <w:rPr>
          <w:rFonts w:ascii="宋体" w:cs="宋体"/>
          <w:b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4"/>
          <w:kern w:val="0"/>
          <w:sz w:val="40"/>
          <w:szCs w:val="40"/>
        </w:rPr>
        <w:t>资兴市复工企业（就业扶贫车间）交通补贴申表</w:t>
      </w:r>
    </w:p>
    <w:p>
      <w:pPr>
        <w:spacing w:line="400" w:lineRule="exact"/>
        <w:ind w:left="-540" w:leftChars="-257" w:firstLine="540" w:firstLineChars="180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单位公章：                             单位：人、元</w:t>
      </w:r>
    </w:p>
    <w:tbl>
      <w:tblPr>
        <w:tblStyle w:val="2"/>
        <w:tblpPr w:leftFromText="180" w:rightFromText="180" w:vertAnchor="page" w:horzAnchor="page" w:tblpX="1727" w:tblpY="32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391"/>
        <w:gridCol w:w="1478"/>
        <w:gridCol w:w="1383"/>
        <w:gridCol w:w="1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3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注册类型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3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开户账号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上年末职工人数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本月职工人数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复工率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申请补贴金额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5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top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主管部门意见：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（单位盖章）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</w:t>
            </w:r>
          </w:p>
          <w:p>
            <w:pPr>
              <w:widowControl/>
              <w:jc w:val="center"/>
              <w:textAlignment w:val="top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1" w:hRule="atLeast"/>
        </w:trPr>
        <w:tc>
          <w:tcPr>
            <w:tcW w:w="853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cs="宋体"/>
                <w:sz w:val="24"/>
              </w:rPr>
            </w:pPr>
          </w:p>
        </w:tc>
      </w:tr>
    </w:tbl>
    <w:p>
      <w:pPr>
        <w:spacing w:line="400" w:lineRule="exact"/>
        <w:ind w:left="-540" w:leftChars="-257" w:firstLine="540" w:firstLineChars="180"/>
        <w:rPr>
          <w:rFonts w:hint="eastAsia" w:ascii="仿宋_GB2312" w:hAnsi="宋体" w:eastAsia="仿宋_GB2312" w:cs="宋体"/>
          <w:sz w:val="30"/>
          <w:szCs w:val="30"/>
        </w:rPr>
      </w:pPr>
    </w:p>
    <w:p>
      <w:pPr>
        <w:spacing w:line="400" w:lineRule="exact"/>
        <w:ind w:left="-540" w:leftChars="-257" w:firstLine="540" w:firstLineChars="180"/>
      </w:pPr>
      <w:r>
        <w:rPr>
          <w:rFonts w:hint="eastAsia" w:ascii="仿宋_GB2312" w:hAnsi="宋体" w:eastAsia="仿宋_GB2312" w:cs="宋体"/>
          <w:sz w:val="30"/>
          <w:szCs w:val="30"/>
        </w:rPr>
        <w:t>说明：</w:t>
      </w:r>
      <w:r>
        <w:rPr>
          <w:rFonts w:hint="eastAsia" w:ascii="仿宋_GB2312" w:hAnsi="宋体" w:eastAsia="仿宋_GB2312" w:cs="宋体"/>
          <w:color w:val="000000"/>
          <w:sz w:val="30"/>
          <w:szCs w:val="30"/>
        </w:rPr>
        <w:t>园区内企业由资兴经济开发区初审，园区外企业由市科技工信局初审，扶贫车间由市就业服务中心初审。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10A8A"/>
    <w:rsid w:val="3551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2020-02-27T10:30:00Z</dcterms:created>
  <dc:creator>Tomy</dc:creator>
  <cp:lastModifiedBy>Tomy</cp:lastModifiedBy>
  <dcterms:modified xsi:type="dcterms:W3CDTF">2020-02-27T10:31:20Z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