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ind w:left="0" w:right="0" w:firstLine="0"/>
        <w:rPr>
          <w:rFonts w:hint="eastAsia" w:ascii="宋体" w:hAnsi="宋体" w:eastAsia="宋体" w:cs="宋体"/>
          <w:b w:val="0"/>
          <w:i w:val="0"/>
          <w:caps w:val="0"/>
          <w:color w:val="333333"/>
          <w:spacing w:val="8"/>
          <w:sz w:val="24"/>
          <w:szCs w:val="24"/>
          <w:u w:val="none"/>
        </w:rPr>
      </w:pPr>
      <w:r>
        <w:rPr>
          <w:rFonts w:ascii="黑体" w:hAnsi="宋体" w:eastAsia="黑体" w:cs="黑体"/>
          <w:b w:val="0"/>
          <w:i w:val="0"/>
          <w:caps w:val="0"/>
          <w:color w:val="000000"/>
          <w:spacing w:val="8"/>
          <w:sz w:val="25"/>
          <w:szCs w:val="25"/>
          <w:u w:val="none"/>
          <w:bdr w:val="none" w:color="auto" w:sz="0" w:space="0"/>
          <w:shd w:val="clear" w:fill="FFFFFF"/>
        </w:rPr>
        <w:t>附件</w:t>
      </w:r>
    </w:p>
    <w:p>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ind w:left="0" w:right="0" w:firstLine="0"/>
        <w:jc w:val="center"/>
        <w:rPr>
          <w:rFonts w:hint="eastAsia" w:ascii="宋体" w:hAnsi="宋体" w:eastAsia="宋体" w:cs="宋体"/>
          <w:b w:val="0"/>
          <w:i w:val="0"/>
          <w:caps w:val="0"/>
          <w:color w:val="333333"/>
          <w:spacing w:val="8"/>
          <w:sz w:val="24"/>
          <w:szCs w:val="24"/>
          <w:u w:val="none"/>
        </w:rPr>
      </w:pPr>
      <w:r>
        <w:rPr>
          <w:rStyle w:val="4"/>
          <w:rFonts w:hint="eastAsia" w:ascii="宋体" w:hAnsi="宋体" w:eastAsia="宋体" w:cs="宋体"/>
          <w:i w:val="0"/>
          <w:caps w:val="0"/>
          <w:color w:val="333333"/>
          <w:spacing w:val="8"/>
          <w:sz w:val="24"/>
          <w:szCs w:val="24"/>
          <w:u w:val="none"/>
          <w:bdr w:val="none" w:color="auto" w:sz="0" w:space="0"/>
          <w:shd w:val="clear" w:fill="FFFFFF"/>
        </w:rPr>
        <w:t>岳阳市新兴优势产业链发展重点规划表</w:t>
      </w:r>
    </w:p>
    <w:tbl>
      <w:tblPr>
        <w:tblW w:w="98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85"/>
        <w:gridCol w:w="784"/>
        <w:gridCol w:w="654"/>
        <w:gridCol w:w="1167"/>
        <w:gridCol w:w="2379"/>
        <w:gridCol w:w="2200"/>
        <w:gridCol w:w="840"/>
        <w:gridCol w:w="930"/>
        <w:gridCol w:w="468"/>
      </w:tblGrid>
      <w:tr>
        <w:tblPrEx>
          <w:tblLayout w:type="fixed"/>
          <w:tblCellMar>
            <w:top w:w="0" w:type="dxa"/>
            <w:left w:w="0" w:type="dxa"/>
            <w:bottom w:w="0" w:type="dxa"/>
            <w:right w:w="0" w:type="dxa"/>
          </w:tblCellMar>
        </w:tblPrEx>
        <w:trPr>
          <w:trHeight w:val="420" w:hRule="atLeast"/>
        </w:trPr>
        <w:tc>
          <w:tcPr>
            <w:tcW w:w="385"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序号</w:t>
            </w:r>
          </w:p>
        </w:tc>
        <w:tc>
          <w:tcPr>
            <w:tcW w:w="1438" w:type="dxa"/>
            <w:gridSpan w:val="2"/>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产业链名称</w:t>
            </w:r>
          </w:p>
        </w:tc>
        <w:tc>
          <w:tcPr>
            <w:tcW w:w="1167"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龙头企业</w:t>
            </w:r>
          </w:p>
        </w:tc>
        <w:tc>
          <w:tcPr>
            <w:tcW w:w="2379"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重点企业</w:t>
            </w:r>
          </w:p>
        </w:tc>
        <w:tc>
          <w:tcPr>
            <w:tcW w:w="2200"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重点项目</w:t>
            </w:r>
          </w:p>
        </w:tc>
        <w:tc>
          <w:tcPr>
            <w:tcW w:w="840"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产业链</w:t>
            </w:r>
            <w:r>
              <w:rPr>
                <w:rStyle w:val="4"/>
                <w:rFonts w:hint="eastAsia" w:ascii="宋体" w:hAnsi="宋体" w:eastAsia="宋体" w:cs="宋体"/>
                <w:i w:val="0"/>
                <w:caps w:val="0"/>
                <w:color w:val="000000"/>
                <w:spacing w:val="8"/>
                <w:sz w:val="19"/>
                <w:szCs w:val="19"/>
                <w:u w:val="none"/>
                <w:bdr w:val="none" w:color="auto" w:sz="0" w:space="0"/>
              </w:rPr>
              <w:t>链长</w:t>
            </w:r>
          </w:p>
        </w:tc>
        <w:tc>
          <w:tcPr>
            <w:tcW w:w="930"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产业链办公室主任</w:t>
            </w:r>
          </w:p>
        </w:tc>
        <w:tc>
          <w:tcPr>
            <w:tcW w:w="468"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产业链办</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公室单位</w:t>
            </w:r>
          </w:p>
        </w:tc>
      </w:tr>
      <w:tr>
        <w:tblPrEx>
          <w:tblLayout w:type="fixed"/>
          <w:tblCellMar>
            <w:top w:w="0" w:type="dxa"/>
            <w:left w:w="0" w:type="dxa"/>
            <w:bottom w:w="0" w:type="dxa"/>
            <w:right w:w="0" w:type="dxa"/>
          </w:tblCellMar>
        </w:tblPrEx>
        <w:trPr>
          <w:trHeight w:val="465" w:hRule="atLeast"/>
        </w:trPr>
        <w:tc>
          <w:tcPr>
            <w:tcW w:w="38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jc w:val="both"/>
              <w:rPr>
                <w:rFonts w:hint="eastAsia" w:ascii="-apple-system-font" w:hAnsi="-apple-system-font" w:eastAsia="-apple-system-font" w:cs="-apple-system-font"/>
                <w:b w:val="0"/>
                <w:i w:val="0"/>
                <w:caps w:val="0"/>
                <w:color w:val="333333"/>
                <w:spacing w:val="8"/>
                <w:sz w:val="25"/>
                <w:szCs w:val="25"/>
                <w:u w:val="none"/>
              </w:rPr>
            </w:pPr>
          </w:p>
        </w:tc>
        <w:tc>
          <w:tcPr>
            <w:tcW w:w="78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大产业链</w:t>
            </w: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Style w:val="4"/>
                <w:rFonts w:hint="eastAsia" w:ascii="宋体" w:hAnsi="宋体" w:eastAsia="宋体" w:cs="宋体"/>
                <w:i w:val="0"/>
                <w:caps w:val="0"/>
                <w:color w:val="000000"/>
                <w:spacing w:val="8"/>
                <w:sz w:val="19"/>
                <w:szCs w:val="19"/>
                <w:u w:val="none"/>
                <w:bdr w:val="none" w:color="auto" w:sz="0" w:space="0"/>
              </w:rPr>
              <w:t>子产业链</w:t>
            </w:r>
          </w:p>
        </w:tc>
        <w:tc>
          <w:tcPr>
            <w:tcW w:w="1167"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379"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200"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840"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930"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468"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r>
      <w:tr>
        <w:tblPrEx>
          <w:tblLayout w:type="fixed"/>
          <w:tblCellMar>
            <w:top w:w="0" w:type="dxa"/>
            <w:left w:w="0" w:type="dxa"/>
            <w:bottom w:w="0" w:type="dxa"/>
            <w:right w:w="0" w:type="dxa"/>
          </w:tblCellMar>
        </w:tblPrEx>
        <w:trPr>
          <w:trHeight w:val="4440"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1</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石油化工及新材料产业链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中国石化长岭炼油化工有限责任公司、中国石油化工股份有限公司巴陵分公司、中国石化催化剂有限公司长岭分公司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凯美特气体股份有限公司、湖南瑞源石化股份有限公司、湖南中创化工股份有限公司、际华三五一七橡胶制品有限公司、岳阳昌德化工实业有限公司、湖南聚仁化工新材料科技有限公司、岳阳慧璟新材料科技有限公司、岳阳金瀚高新技术股份有限责任公司、岳阳景嘉化工有限公司、湖南国发精细化工科技有限公司、湖南中翔化学科技有限公司、湖南蓝彬新材料科技有限公司 、湖南比德生化科技有限公司、岳阳市宇恒化工有限公司、湖南金叶众望科技股份有限公司、湖南湘陆科技有限公司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己内酰胺产业链搬迁与升级转型项目、巴陵石化5万吨/年SEBS装置建设、际华高分子材料高科产业园、金瀚高新20万吨/年植物油抽提溶剂中间体项目、景嘉化工30000吨/年五氯丙烷项目、中翔化学甲醇甲醛一体化项目、蓝彬新材料年产20000吨高性能反射隔热节能复合功能涂料新建项目、昌德化工66000t/a特种胺新材料项目、慧璟新材料科技有限公司-年产1万吨特种氧化铝及2500吨分子筛微孔材料项目、国发精细绿色工艺新材料转型升级项目、凯美特电子特种气体项目、中石化长岭分公司120万吨/年催化重整联合装置（前期）、100万吨/年己内酰胺、60万吨/年聚合切片及45万/年纺丝石化一体化项目（前期）</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杨昆</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卢文波</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岳阳绿色化工产业园</w:t>
            </w:r>
          </w:p>
        </w:tc>
      </w:tr>
      <w:tr>
        <w:trPr>
          <w:trHeight w:val="3855"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2</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食品加工产业链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湖南省君山银针茶业股份有限公司、道道全粮油股份有限公司、湖南省华文食品有限公司、湖南省长康实业有限责任公司、湖南九鼎科技（集团）有限公司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君山银针茶业、君山印象农业科技有限公司、洞庭山科技有限公司、岳阳县洞庭春纯天然茶叶、湖南省临湘永巨茶业、湖南省九狮寨高山茶业、临湘市明伦茶业中粮米业（岳阳）有限公司、岳阳岳海粮农产业园有限公司、湖南省旺辉食品有限公司、湖南省义丰祥实业有限责任公司、湖南省十三村食品有限公司、益海嘉里（岳阳）粮油工业有限公司、湖南省华康食品有限责任公司、白象食品、湖南童记三利和食品有限公司、华容插旗菜业有限公司、湖南山润油茶科技发展有限公司、 湖南省玉峰食品实业有限公司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中储粮油脂基地、道道全临港新区食用油加工综合项目、芝麻粕酿造特色酱油技术改造项目（长康）、华容芥菜产业园建设项目、九鼎岳阳产业服务园项目、和润食品岳海粮农产业园建设项目、湖南君山银针茶业有限公司君山银针黄茶产业园、君山印象农业科技有限公司洞庭山茶叶加工、开口爽年产8万吨休闲食品项目、山润山茶油工业旅游油茶产业示范园建设项目、玉峰食品新型健康面筋食品开发及产业化、横岭湖农业稻虾淡水鱼深加工项目、全民鸽业乳鸽深加工产业园项目、湘铺食品年产3000吨豌豆粉丝生产、益海嘉里岳阳食品生产加工项目（前期）</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李为</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余雄</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平江工业</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集中区</w:t>
            </w:r>
          </w:p>
        </w:tc>
      </w:tr>
      <w:tr>
        <w:trPr>
          <w:trHeight w:val="2910"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3</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电力能源产业链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中国水电八局公司机电设备制造岳阳分公司、华能岳阳电厂、湖南鸿跃电池材料有限公司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285" w:lineRule="atLeast"/>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华电平江电厂、神华国华华容电厂、荆竹山风电场、窑坡山风电场、湘阴鼻湖渔光互补光伏电站、华容塌西湖渔光互补光伏电站、湖南凯特电力科技有限公司、湖南天跃电气有限公司、湖南湘变电气有限责任公司、湖南东方电器有限公司、湖南金高电力器材有限公司、临湘市华临电力电杆有限公司、五凌临湘电力有限公司、湖南庆胜新能源科技有限公司、湖南中塑新能源有限公司、湖南力博电源科技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285" w:lineRule="atLeast"/>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岳阳煤炭储备基地和岳阳LNG接收站（储备中心）前期、平江抽水蓄能电站项目（4*350MW瓦逆水式抽水蓄能机组）前期、临湘大云山风电场、华容天井山风电场、华容舵杆洲区域风电场、湘阴青山岛风力发电、湖南岳阳煤炭储备基地（云溪区南洋洲）项目、平江伍市镇49MW光伏电站高澜节能密闭式纯冷却设备及控制系统项目、金高电力年产3万吨电力器材标准件项目</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李挚</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张志超</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市发改委</w:t>
            </w:r>
          </w:p>
        </w:tc>
      </w:tr>
      <w:tr>
        <w:trPr>
          <w:trHeight w:val="3555"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4</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现代物流产业链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港务集团、岳阳海吉星国际农产品市场开发有限公司、湖南弘元新港实业发展有限公司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285" w:lineRule="atLeast"/>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龙骧神驰、国联物流、森凯仓储物流、欣港物流、岳阳岳海粮农产业园有限公司、湖南润航国际物流有限公司、湖南建工城陵矶汽车有限公司、南翔万商（岳阳）物流产业有限公司、科德商贸物流、湖南和立东升置业投资有限公司、宏发物流</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240" w:lineRule="atLeast"/>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申报岳阳自贸区和国际快件监管中心、城陵矶综保区国际商贸保税物流中心、森凯化工品交易中心、云港危货物流中心、弘元石化物流、岳阳市胥家桥综合物流园城市配送中心项目、和润集团岳阳粮油精深加工及物流产业园项目、岳阳海吉星国际农产品物流园项目、岳阳智慧商贸物流园项目、建工城陵矶国际汽车城项目、南翔万商（岳阳）国际物流城项目、食品冷链产业园建设项目、物流数据共享平台项目、平江县农产品综合物流园项目</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李挚</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王文华</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湖南城陵矶新港区</w:t>
            </w:r>
          </w:p>
        </w:tc>
      </w:tr>
      <w:tr>
        <w:trPr>
          <w:trHeight w:val="3240"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5</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电子信息及人工智能产业链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新金宝集团、哈工大机器人（岳阳）军民融合研究院、哈国信军创（岳阳）六九零六科技有限公司、中航发长江动力机械厂、岳阳高澜节能装备制造有限公司、湖南晨威高科有限公司、湖南三兴精密工业股份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航天远望科技有限公司、湖南嘉盛德材料科技有限公司、湖南省智兴北斗电子科技有限公司、岳阳县中正电子有限公司、湖南正昇电子股份有限公司、湖南英思达电波科技有限公司、湖南英思特电波科技有限公司、湖南龙智新材料科技有限公司、岳阳千盟电子有限公司、岳阳高新技术产业开发区天元电子技术有限公司、湖南给力达电子有限公司、平江亿达电子材料有限公司、湖南省方正达电子科技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新金宝集团年产1300万台喷墨打印机项目、华为高端制造、哈工大机器人岳阳基地建设项目、湖南航天远望岳阳产业园建设项目、6906湖南军民融合北斗卫星应用产业园、长动航空发动机涨圈核心技术产业化建设项目、方正达高效低耗柔性线路板制造项目、正昇电子产业园项目、龙智新材料5万吨/年锂离子电池用铜箔项目、给力达电子年产量液晶显示模组500万只，摄像头模组500万只、亿达电子FPC新材料（聚酰亚胺膜）</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熊炜</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黄俊钧</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湖南城陵矶新港区</w:t>
            </w:r>
          </w:p>
        </w:tc>
      </w:tr>
      <w:tr>
        <w:trPr>
          <w:trHeight w:val="3555"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6</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生物医药及应用产业链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湖南科伦制药有限公司、岳阳新华达制药有限公司、湖南康润药业有限公司、湖南尤特尔生化有限公司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赛隆药业有限公司、湖南福尔康医用卫生材料股份有限公司、湖南润泽医疗影像科技有限公司、湖南乐邦制药有限公司、湖南海济药业有限公司、湖南利尔康生物股份有限公司、湖南健强药业股份有限公司、岳阳同联药业有限公司、湖南如虹制药有限公司、湖南省高圣生物有限公司、湖南可孚医疗设备有限公司、岳阳市康利医药化工有限公司、湖南金寿制药有限公司、湖南兴蒙制药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科伦药业新药研发及生产项目、新华达制药通用疫苗的研究开发项目、健强医药制造项目、湖南海济生物生产包装基地项目、湖南海济湖南海济药业有限公司二期项目（华容）、环宇药业二期、利尔康生物科技二期项目、可孚智能医疗产业园项目、康利医药化工10吨/年5－溴－7－氮杂吲哚、10吨/年环丙磺酰胺项目、如虹制药年产3万吨车用尿素溶液、500吨精制尿素及300吨雷贝拉唑钠等专用化学品生产建设项目、高圣年产1600吨艾绒中药饮片加工生产线建设项目</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文春方</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黄小年</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岳阳经济技术开发区</w:t>
            </w:r>
          </w:p>
        </w:tc>
      </w:tr>
      <w:tr>
        <w:trPr>
          <w:trHeight w:val="2760"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7</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电磁及磁力装备产业链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湖南中科电气股份有限公司、湖南科美达电气股份有限公司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岳阳大力神电磁机械有限公司、岳阳新一步科技有限公司、湖南海润电气有限公司、岳阳鸿升电磁科技有限公司、岳阳长风电磁机械有限公司、岳阳强力电磁有限公司、湖南和创磁电科技有限公司、岳阳致远电磁技术有限公司、岳阳永金起重永磁铁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科美达先进轨道交通车辆装备核心零部件电磁受流与制动装置产业化建设项目、中科电气冶金连铸大型中间包通道式感应加热与精炼系统研发与应用、鸿升电磁扩能改造、海润电气信号及动力传输设备基地建设（前期）、庆胜新能源聚合物锂电池生产线和高安全动力型倍率锂电池生产线项目、中塑新能源年产100万吨再生塑料建设项目</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谢春生</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严若鹏</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岳阳经济技术开发区</w:t>
            </w:r>
          </w:p>
        </w:tc>
      </w:tr>
      <w:tr>
        <w:trPr>
          <w:trHeight w:val="1035" w:hRule="atLeast"/>
        </w:trPr>
        <w:tc>
          <w:tcPr>
            <w:tcW w:w="385"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8</w:t>
            </w:r>
          </w:p>
        </w:tc>
        <w:tc>
          <w:tcPr>
            <w:tcW w:w="78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装配式建筑及建筑新材料产业链</w:t>
            </w: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装配式建筑产业链</w:t>
            </w:r>
          </w:p>
        </w:tc>
        <w:tc>
          <w:tcPr>
            <w:tcW w:w="1167"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岳阳东方雨虹防水技术股份有限公司、湖南省金为型材有限公司、远大可建科技有限公司</w:t>
            </w:r>
          </w:p>
        </w:tc>
        <w:tc>
          <w:tcPr>
            <w:tcW w:w="2379"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金凤凰建材家居集成科技有限公司、湖南蓝天豚绿色建筑新材料有限公司、岳阳市美建装配式建筑有限公司、建华建材（湖南）有限公司、湖南地生工业设备有限公司、湖南诚今电梯部件制造有限公司、湖南经阁集团有限公司、湖南远瑞机械制造有限公司</w:t>
            </w:r>
          </w:p>
        </w:tc>
        <w:tc>
          <w:tcPr>
            <w:tcW w:w="220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远大可建装配式建筑部品部件生产线升级改造建设项目、东方雨虹岳阳新材料生产基地、金凤凰建材园项目、湖南诚今电梯部件制造项目、美建装配式建筑新材料研发与应用、建华建材（湖南）有限公司二期扩建工程、经卓新材料、远瑞机械智能机械式立体停车设备产业化项目</w:t>
            </w:r>
          </w:p>
        </w:tc>
        <w:tc>
          <w:tcPr>
            <w:tcW w:w="84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黎作凤</w:t>
            </w:r>
          </w:p>
        </w:tc>
        <w:tc>
          <w:tcPr>
            <w:tcW w:w="93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庞国荣</w:t>
            </w:r>
          </w:p>
        </w:tc>
        <w:tc>
          <w:tcPr>
            <w:tcW w:w="468"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湘阴高新技术产业园</w:t>
            </w:r>
          </w:p>
        </w:tc>
      </w:tr>
      <w:tr>
        <w:trPr>
          <w:trHeight w:val="90" w:hRule="atLeast"/>
        </w:trPr>
        <w:tc>
          <w:tcPr>
            <w:tcW w:w="385"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78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建筑新材料产业链</w:t>
            </w:r>
          </w:p>
        </w:tc>
        <w:tc>
          <w:tcPr>
            <w:tcW w:w="1167"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379"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20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84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93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468"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r>
      <w:tr>
        <w:tblPrEx>
          <w:tblLayout w:type="fixed"/>
          <w:tblCellMar>
            <w:top w:w="0" w:type="dxa"/>
            <w:left w:w="0" w:type="dxa"/>
            <w:bottom w:w="0" w:type="dxa"/>
            <w:right w:w="0" w:type="dxa"/>
          </w:tblCellMar>
        </w:tblPrEx>
        <w:trPr>
          <w:trHeight w:val="1470"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9</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纺织产业链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湖南科力嘉纺织股份有限公司、湖南科创纺织股份有限公司、湖南福尔康医用卫生材料股份有限公司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岳阳宝丽纺织品有限公司、新童盟服饰有限公司、湖南华升洞庭麻业有限公司、湖南拓富家纺有限公司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科力嘉5万锭智能化高技术纺纱生产线建设项目、科创纺织5万锭智能化高技术纺纱生产线建设项目、新童盟服装项目、华升洞庭麻功能性水刺无纺材料及其配套医卫产品创新与应用项目（前期）</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黎作凤</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王全军</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华容工业</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集中区</w:t>
            </w:r>
          </w:p>
        </w:tc>
      </w:tr>
      <w:tr>
        <w:trPr>
          <w:trHeight w:val="1260" w:hRule="atLeast"/>
        </w:trPr>
        <w:tc>
          <w:tcPr>
            <w:tcW w:w="385"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10</w:t>
            </w:r>
          </w:p>
        </w:tc>
        <w:tc>
          <w:tcPr>
            <w:tcW w:w="78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金属非金属</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新材料产业链</w:t>
            </w: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先进无机非金属材料产业链</w:t>
            </w:r>
          </w:p>
        </w:tc>
        <w:tc>
          <w:tcPr>
            <w:tcW w:w="1167"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湖南龙智新材料、银联湘北铜业、博发铜业、长青铜业、中联铝业</w:t>
            </w:r>
          </w:p>
        </w:tc>
        <w:tc>
          <w:tcPr>
            <w:tcW w:w="2379"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平江县岳峰云母新材料有限公司、平江县威派云母绝缘材料有限公司、湖南荣泰新材料有限公司、平江县兴科云母制品有限公司、湖南云峰亚克力新型材料有限公司、湖南省虹宇碳素新材料有限公司、岳阳凯门水性助剂有限公司、湖南省鑫源新材料股份有限公司、湖南恒基粉末科技有限责任公司、岳阳宇航新材料有限公司、岳阳昱华冶金新材料有限公司、华容县恒兴建材有限公司、湖南金海科技有限公司、汨罗市福缘新材料有限公司、汨罗新威凌公司、华先碳素、鑫祥碳素、振湘碳素</w:t>
            </w:r>
          </w:p>
        </w:tc>
        <w:tc>
          <w:tcPr>
            <w:tcW w:w="220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威派云母吸塑包装项目、鑫源新材料年产150吨高性能碳/碳-碳化硅复合材料产业化、云母光体亚克力板项目、福缘新材料年产5万吨石墨制品加工项目（前期）、荣泰新材料云母新材料制品项目</w:t>
            </w:r>
          </w:p>
        </w:tc>
        <w:tc>
          <w:tcPr>
            <w:tcW w:w="84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杨昆</w:t>
            </w:r>
          </w:p>
        </w:tc>
        <w:tc>
          <w:tcPr>
            <w:tcW w:w="93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刘勇</w:t>
            </w:r>
          </w:p>
        </w:tc>
        <w:tc>
          <w:tcPr>
            <w:tcW w:w="468" w:type="dxa"/>
            <w:vMerge w:val="restar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汨罗循环经济产业园</w:t>
            </w:r>
          </w:p>
        </w:tc>
      </w:tr>
      <w:tr>
        <w:trPr>
          <w:trHeight w:val="1200" w:hRule="atLeast"/>
        </w:trPr>
        <w:tc>
          <w:tcPr>
            <w:tcW w:w="385"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78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先进复合材料产业链</w:t>
            </w:r>
          </w:p>
        </w:tc>
        <w:tc>
          <w:tcPr>
            <w:tcW w:w="1167"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379"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20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84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93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468"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r>
      <w:tr>
        <w:tblPrEx>
          <w:tblLayout w:type="fixed"/>
          <w:tblCellMar>
            <w:top w:w="0" w:type="dxa"/>
            <w:left w:w="0" w:type="dxa"/>
            <w:bottom w:w="0" w:type="dxa"/>
            <w:right w:w="0" w:type="dxa"/>
          </w:tblCellMar>
        </w:tblPrEx>
        <w:trPr>
          <w:trHeight w:val="675" w:hRule="atLeast"/>
        </w:trPr>
        <w:tc>
          <w:tcPr>
            <w:tcW w:w="385"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78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金属-合金新材料产业链</w:t>
            </w:r>
          </w:p>
        </w:tc>
        <w:tc>
          <w:tcPr>
            <w:tcW w:w="1167"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379"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20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84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93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468" w:type="dxa"/>
            <w:vMerge w:val="continue"/>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r>
      <w:tr>
        <w:tblPrEx>
          <w:tblLayout w:type="fixed"/>
          <w:tblCellMar>
            <w:top w:w="0" w:type="dxa"/>
            <w:left w:w="0" w:type="dxa"/>
            <w:bottom w:w="0" w:type="dxa"/>
            <w:right w:w="0" w:type="dxa"/>
          </w:tblCellMar>
        </w:tblPrEx>
        <w:trPr>
          <w:trHeight w:val="1605" w:hRule="atLeast"/>
        </w:trPr>
        <w:tc>
          <w:tcPr>
            <w:tcW w:w="385" w:type="dxa"/>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11</w:t>
            </w:r>
          </w:p>
        </w:tc>
        <w:tc>
          <w:tcPr>
            <w:tcW w:w="784"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工程机械和农业机械产业链</w:t>
            </w: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工程机械产业链</w:t>
            </w:r>
          </w:p>
        </w:tc>
        <w:tc>
          <w:tcPr>
            <w:tcW w:w="1167"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湖南龙舟农机股份有限公司、湖南运想重工有限公司、湖南新金刚工程机械有限公司、湖南新永利交通科工贸有限公司</w:t>
            </w:r>
          </w:p>
        </w:tc>
        <w:tc>
          <w:tcPr>
            <w:tcW w:w="2379"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岳阳市数博环球实业有限公司、岳阳华立丰电子科技有限公司、岳阳万力机械制造有限责任公司、岳阳东方自控工程设备有限公司、恒立实业发展集团股份有限公司、湖南中联志远车轮有限公司、岳阳安泰起重设备有限公司、湘阴县兴农机械厂、岳阳开明微波能设备有限公司、临湘市东泰饲料机械有限公司（农业机械）、湖南奇思环保设备制造有限公司、广州中樱汽车零部件有限公司、武汉鸿博鑫科技有限公司、湖北东龙科技股份有限公司</w:t>
            </w:r>
          </w:p>
        </w:tc>
        <w:tc>
          <w:tcPr>
            <w:tcW w:w="220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龙舟农机水稻侧深施肥智能装置产业化建设项目、新金刚年产70000台套矿用牙轮钻头建设项目、新金刚冲气锤工程机械项目、数博环球工业产业园项目、贝特新能源年产10万套汽车电动空调及20万套汽车电动压缩机建设二期工程（前期）、经开区汽车产业园（前期）、安泰起重岳阳废旧化工设备循环利用及生产制造维修项目、中樱汽车零配件（前期）、鸿博富诚汽车零配件（前期）、东龙科技汽车零配件（前期）</w:t>
            </w:r>
          </w:p>
        </w:tc>
        <w:tc>
          <w:tcPr>
            <w:tcW w:w="84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邱虹</w:t>
            </w:r>
          </w:p>
        </w:tc>
        <w:tc>
          <w:tcPr>
            <w:tcW w:w="930"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刘勇</w:t>
            </w:r>
          </w:p>
        </w:tc>
        <w:tc>
          <w:tcPr>
            <w:tcW w:w="468" w:type="dxa"/>
            <w:vMerge w:val="restart"/>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汨罗循环经济产业园</w:t>
            </w:r>
          </w:p>
        </w:tc>
      </w:tr>
      <w:tr>
        <w:trPr>
          <w:trHeight w:val="1605" w:hRule="atLeast"/>
        </w:trPr>
        <w:tc>
          <w:tcPr>
            <w:tcW w:w="385" w:type="dxa"/>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784"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654"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农业机械产业链</w:t>
            </w:r>
          </w:p>
        </w:tc>
        <w:tc>
          <w:tcPr>
            <w:tcW w:w="1167"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379"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220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84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930"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c>
          <w:tcPr>
            <w:tcW w:w="468" w:type="dxa"/>
            <w:vMerge w:val="continue"/>
            <w:tcBorders>
              <w:top w:val="nil"/>
              <w:left w:val="nil"/>
              <w:bottom w:val="single" w:color="auto" w:sz="6" w:space="0"/>
              <w:right w:val="single" w:color="auto" w:sz="6" w:space="0"/>
            </w:tcBorders>
            <w:shd w:val="clear"/>
            <w:tcMar>
              <w:top w:w="15" w:type="dxa"/>
              <w:left w:w="15" w:type="dxa"/>
              <w:right w:w="15" w:type="dxa"/>
            </w:tcMar>
            <w:vAlign w:val="center"/>
          </w:tcPr>
          <w:p>
            <w:pPr>
              <w:jc w:val="both"/>
              <w:rPr>
                <w:rFonts w:hint="default" w:ascii="-apple-system-font" w:hAnsi="-apple-system-font" w:eastAsia="-apple-system-font" w:cs="-apple-system-font"/>
                <w:b w:val="0"/>
                <w:i w:val="0"/>
                <w:caps w:val="0"/>
                <w:color w:val="333333"/>
                <w:spacing w:val="8"/>
                <w:sz w:val="25"/>
                <w:szCs w:val="25"/>
                <w:u w:val="none"/>
              </w:rPr>
            </w:pPr>
          </w:p>
        </w:tc>
      </w:tr>
      <w:tr>
        <w:tblPrEx>
          <w:tblLayout w:type="fixed"/>
          <w:tblCellMar>
            <w:top w:w="0" w:type="dxa"/>
            <w:left w:w="0" w:type="dxa"/>
            <w:bottom w:w="0" w:type="dxa"/>
            <w:right w:w="0" w:type="dxa"/>
          </w:tblCellMar>
        </w:tblPrEx>
        <w:trPr>
          <w:trHeight w:val="1260" w:hRule="atLeast"/>
        </w:trPr>
        <w:tc>
          <w:tcPr>
            <w:tcW w:w="385"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12</w:t>
            </w:r>
          </w:p>
        </w:tc>
        <w:tc>
          <w:tcPr>
            <w:tcW w:w="1438" w:type="dxa"/>
            <w:gridSpan w:val="2"/>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节能环保和石油化工</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装备产业链</w:t>
            </w:r>
          </w:p>
        </w:tc>
        <w:tc>
          <w:tcPr>
            <w:tcW w:w="1167"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巴陵炉窑节能股份有限公司、岳阳钟鼎热工电磁科技有限公司、雷勃电气（岳阳）有限公司、湖南元亨冷暖设备有限公司、岳阳筑盛阀门管道有限责任公司、湖南四化建高压阀门管件有限公司、湖南华中天地环保科技有限公司、</w:t>
            </w:r>
          </w:p>
        </w:tc>
        <w:tc>
          <w:tcPr>
            <w:tcW w:w="2379"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湖南天一奥星泵业公司、湖南贝特新能源科技有限公司、湖南汇智天成设备技术有限公司、岳阳远东节能设备有限公司、湖南迅刻节能科技有限公司、湖南省中达换热装备有限公司、岳阳中晟热能科技有限公司、岳阳科达热能设备有限公司、岳阳鑫特热能工程技术有限公司、岳阳恒忠机械工程技术有限公司、湖南弘富制泵有限公司、湖南汇智科技发展有限公司、岳阳三生化工有限公司</w:t>
            </w:r>
          </w:p>
        </w:tc>
        <w:tc>
          <w:tcPr>
            <w:tcW w:w="220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both"/>
              <w:textAlignment w:val="center"/>
            </w:pPr>
            <w:r>
              <w:rPr>
                <w:rFonts w:hint="eastAsia" w:ascii="宋体" w:hAnsi="宋体" w:eastAsia="宋体" w:cs="宋体"/>
                <w:b w:val="0"/>
                <w:i w:val="0"/>
                <w:caps w:val="0"/>
                <w:color w:val="000000"/>
                <w:spacing w:val="8"/>
                <w:sz w:val="19"/>
                <w:szCs w:val="19"/>
                <w:u w:val="none"/>
                <w:bdr w:val="none" w:color="auto" w:sz="0" w:space="0"/>
              </w:rPr>
              <w:t>雷勃电气“高速驱动系统开发”、钟鼎热工石化行业烟气余热回收及超低NOx排放技术研究、筑盛阀门技改扩能项目、汇智天成空气过滤器研发与制造、安达耐火工业炉窑装配式建筑内衬生产线建设项目、鑫特工业炉窑及其附属设备生产、华中超低排放旁插式扁布袋除尘器项目、卓达金谷创新园项目（前期）、申联环保科技项目（前期）</w:t>
            </w:r>
          </w:p>
        </w:tc>
        <w:tc>
          <w:tcPr>
            <w:tcW w:w="84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pPr>
            <w:r>
              <w:rPr>
                <w:rFonts w:hint="eastAsia" w:ascii="宋体" w:hAnsi="宋体" w:eastAsia="宋体" w:cs="宋体"/>
                <w:b w:val="0"/>
                <w:i w:val="0"/>
                <w:caps w:val="0"/>
                <w:color w:val="000000"/>
                <w:spacing w:val="8"/>
                <w:sz w:val="19"/>
                <w:szCs w:val="19"/>
                <w:u w:val="none"/>
                <w:bdr w:val="none" w:color="auto" w:sz="0" w:space="0"/>
              </w:rPr>
              <w:t>邱虹</w:t>
            </w:r>
          </w:p>
        </w:tc>
        <w:tc>
          <w:tcPr>
            <w:tcW w:w="93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谭国良</w:t>
            </w:r>
          </w:p>
        </w:tc>
        <w:tc>
          <w:tcPr>
            <w:tcW w:w="468"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ind w:left="0" w:right="0"/>
              <w:jc w:val="center"/>
              <w:textAlignment w:val="center"/>
            </w:pPr>
            <w:r>
              <w:rPr>
                <w:rFonts w:hint="eastAsia" w:ascii="宋体" w:hAnsi="宋体" w:eastAsia="宋体" w:cs="宋体"/>
                <w:b w:val="0"/>
                <w:i w:val="0"/>
                <w:caps w:val="0"/>
                <w:color w:val="000000"/>
                <w:spacing w:val="8"/>
                <w:sz w:val="19"/>
                <w:szCs w:val="19"/>
                <w:u w:val="none"/>
                <w:bdr w:val="none" w:color="auto" w:sz="0" w:space="0"/>
              </w:rPr>
              <w:t>岳阳经济技术开发区</w:t>
            </w:r>
          </w:p>
        </w:tc>
      </w:tr>
    </w:tbl>
    <w:p>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line="408" w:lineRule="atLeast"/>
        <w:ind w:left="0" w:right="0" w:firstLine="0"/>
        <w:jc w:val="center"/>
        <w:rPr>
          <w:rFonts w:hint="default" w:ascii="-apple-system-font" w:hAnsi="-apple-system-font" w:eastAsia="-apple-system-font" w:cs="-apple-system-font"/>
          <w:b w:val="0"/>
          <w:i w:val="0"/>
          <w:caps w:val="0"/>
          <w:color w:val="333333"/>
          <w:spacing w:val="8"/>
          <w:sz w:val="25"/>
          <w:szCs w:val="25"/>
          <w:u w:val="none"/>
        </w:rPr>
      </w:pPr>
    </w:p>
    <w:p>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ind w:left="0" w:right="0" w:firstLine="0"/>
        <w:jc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fo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2019-10-11T19:53:39Z</dcterms:created>
  <dc:creator>fen的 iPhone</dc:creator>
  <cp:lastModifiedBy>fen的 iPhone</cp:lastModifiedBy>
  <dcterms:modified xsi:type="dcterms:W3CDTF">2019-10-11T19:54:50Z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2052-10.0.0</vt:lpwstr>
  </property>
</Properties>
</file>